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bidi w:val="0"/>
        <w:jc w:val="center"/>
        <w:rPr>
          <w:rFonts w:hint="default"/>
          <w:lang w:val="en-US" w:eastAsia="zh-CN"/>
        </w:rPr>
      </w:pPr>
      <w:bookmarkStart w:id="0" w:name="_Toc10163"/>
      <w:bookmarkStart w:id="1" w:name="_Toc9263"/>
      <w:r>
        <w:rPr>
          <w:rFonts w:hint="eastAsia" w:ascii="Times New Roman" w:hAnsi="Times New Roman" w:cs="Times New Roman"/>
          <w:lang w:val="en-US" w:eastAsia="zh-CN"/>
        </w:rPr>
        <w:t>5</w:t>
      </w:r>
      <w:r>
        <w:rPr>
          <w:rFonts w:hint="eastAsia"/>
          <w:lang w:val="en-US" w:eastAsia="zh-CN"/>
        </w:rPr>
        <w:t>环境现状调查与评价</w:t>
      </w:r>
      <w:bookmarkEnd w:id="0"/>
      <w:bookmarkEnd w:id="1"/>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2" w:name="_Toc19538"/>
      <w:bookmarkStart w:id="3" w:name="_Toc16992"/>
      <w:r>
        <w:rPr>
          <w:rFonts w:hint="eastAsia" w:ascii="Times New Roman" w:hAnsi="Times New Roman" w:eastAsia="宋体" w:cs="Times New Roman"/>
          <w:lang w:val="en-US" w:eastAsia="zh-CN"/>
        </w:rPr>
        <w:t>5</w:t>
      </w:r>
      <w:r>
        <w:rPr>
          <w:rFonts w:hint="default" w:ascii="Times New Roman" w:hAnsi="Times New Roman" w:eastAsia="宋体" w:cs="Times New Roman"/>
          <w:lang w:val="en-US" w:eastAsia="zh-CN"/>
        </w:rPr>
        <w:t>.1</w:t>
      </w:r>
      <w:r>
        <w:rPr>
          <w:rFonts w:hint="eastAsia" w:ascii="宋体" w:hAnsi="宋体" w:eastAsia="宋体" w:cs="宋体"/>
          <w:lang w:val="en-US" w:eastAsia="zh-CN"/>
        </w:rPr>
        <w:t>区域地理位置概况</w:t>
      </w:r>
      <w:bookmarkEnd w:id="2"/>
      <w:bookmarkEnd w:id="3"/>
    </w:p>
    <w:p>
      <w:pPr>
        <w:keepNext w:val="0"/>
        <w:keepLines w:val="0"/>
        <w:pageBreakBefore w:val="0"/>
        <w:widowControl/>
        <w:suppressLineNumbers w:val="0"/>
        <w:kinsoku/>
        <w:wordWrap/>
        <w:overflowPunct/>
        <w:topLinePunct w:val="0"/>
        <w:bidi w:val="0"/>
        <w:snapToGrid w:val="0"/>
        <w:spacing w:line="360" w:lineRule="auto"/>
        <w:ind w:firstLine="480" w:firstLineChars="200"/>
        <w:jc w:val="both"/>
        <w:textAlignment w:val="auto"/>
      </w:pPr>
      <w:r>
        <w:rPr>
          <w:rFonts w:hint="eastAsia" w:ascii="宋体" w:hAnsi="宋体" w:eastAsia="宋体" w:cs="宋体"/>
          <w:color w:val="000000"/>
          <w:kern w:val="0"/>
          <w:sz w:val="24"/>
          <w:szCs w:val="24"/>
          <w:lang w:val="en-US" w:eastAsia="zh-CN" w:bidi="ar"/>
        </w:rPr>
        <w:t>淄博市位于山东省中部鲁中山地与鲁北平原的交接地带，东邻潍坊市，东北与东营相连，北接滨州市，南靠临沂市，西与济南、莱芜两市接壤。东北部距离渤海湾约</w:t>
      </w:r>
      <w:r>
        <w:rPr>
          <w:rFonts w:hint="default" w:ascii="Times New Roman" w:hAnsi="Times New Roman" w:eastAsia="宋体" w:cs="Times New Roman"/>
          <w:color w:val="000000"/>
          <w:kern w:val="0"/>
          <w:sz w:val="24"/>
          <w:szCs w:val="24"/>
          <w:lang w:val="en-US" w:eastAsia="zh-CN" w:bidi="ar"/>
        </w:rPr>
        <w:t>50</w:t>
      </w:r>
      <w:r>
        <w:rPr>
          <w:rFonts w:hint="eastAsia" w:ascii="宋体" w:hAnsi="宋体" w:eastAsia="宋体" w:cs="宋体"/>
          <w:color w:val="000000"/>
          <w:kern w:val="0"/>
          <w:sz w:val="24"/>
          <w:szCs w:val="24"/>
          <w:lang w:val="en-US" w:eastAsia="zh-CN" w:bidi="ar"/>
        </w:rPr>
        <w:t>公里。市域范围介于北纬</w:t>
      </w:r>
      <w:r>
        <w:rPr>
          <w:rFonts w:hint="default" w:ascii="Times New Roman" w:hAnsi="Times New Roman" w:eastAsia="宋体" w:cs="Times New Roman"/>
          <w:color w:val="000000"/>
          <w:kern w:val="0"/>
          <w:sz w:val="24"/>
          <w:szCs w:val="24"/>
          <w:lang w:val="en-US" w:eastAsia="zh-CN" w:bidi="ar"/>
        </w:rPr>
        <w:t>35°55′22″</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37°17′14″</w:t>
      </w:r>
      <w:r>
        <w:rPr>
          <w:rFonts w:hint="eastAsia" w:ascii="宋体" w:hAnsi="宋体" w:eastAsia="宋体" w:cs="宋体"/>
          <w:color w:val="000000"/>
          <w:kern w:val="0"/>
          <w:sz w:val="24"/>
          <w:szCs w:val="24"/>
          <w:lang w:val="en-US" w:eastAsia="zh-CN" w:bidi="ar"/>
        </w:rPr>
        <w:t>、东经</w:t>
      </w:r>
      <w:r>
        <w:rPr>
          <w:rFonts w:hint="default" w:ascii="Times New Roman" w:hAnsi="Times New Roman" w:eastAsia="宋体" w:cs="Times New Roman"/>
          <w:color w:val="000000"/>
          <w:kern w:val="0"/>
          <w:sz w:val="24"/>
          <w:szCs w:val="24"/>
          <w:lang w:val="en-US" w:eastAsia="zh-CN" w:bidi="ar"/>
        </w:rPr>
        <w:t>117°32′15″</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118°31′00″</w:t>
      </w:r>
      <w:r>
        <w:rPr>
          <w:rFonts w:hint="eastAsia" w:ascii="宋体" w:hAnsi="宋体" w:eastAsia="宋体" w:cs="宋体"/>
          <w:color w:val="000000"/>
          <w:kern w:val="0"/>
          <w:sz w:val="24"/>
          <w:szCs w:val="24"/>
          <w:lang w:val="en-US" w:eastAsia="zh-CN" w:bidi="ar"/>
        </w:rPr>
        <w:t>南北狭长的地域之间，东西最大横距离</w:t>
      </w:r>
      <w:r>
        <w:rPr>
          <w:rFonts w:hint="default" w:ascii="Times New Roman" w:hAnsi="Times New Roman" w:eastAsia="宋体" w:cs="Times New Roman"/>
          <w:color w:val="000000"/>
          <w:kern w:val="0"/>
          <w:sz w:val="24"/>
          <w:szCs w:val="24"/>
          <w:lang w:val="en-US" w:eastAsia="zh-CN" w:bidi="ar"/>
        </w:rPr>
        <w:t>87km</w:t>
      </w:r>
      <w:r>
        <w:rPr>
          <w:rFonts w:hint="eastAsia" w:ascii="宋体" w:hAnsi="宋体" w:eastAsia="宋体" w:cs="宋体"/>
          <w:color w:val="000000"/>
          <w:kern w:val="0"/>
          <w:sz w:val="24"/>
          <w:szCs w:val="24"/>
          <w:lang w:val="en-US" w:eastAsia="zh-CN" w:bidi="ar"/>
        </w:rPr>
        <w:t>，南北最大纵距</w:t>
      </w:r>
      <w:r>
        <w:rPr>
          <w:rFonts w:hint="default" w:ascii="Times New Roman" w:hAnsi="Times New Roman" w:eastAsia="宋体" w:cs="Times New Roman"/>
          <w:color w:val="000000"/>
          <w:kern w:val="0"/>
          <w:sz w:val="24"/>
          <w:szCs w:val="24"/>
          <w:lang w:val="en-US" w:eastAsia="zh-CN" w:bidi="ar"/>
        </w:rPr>
        <w:t>151km</w:t>
      </w:r>
      <w:r>
        <w:rPr>
          <w:rFonts w:hint="eastAsia" w:ascii="宋体" w:hAnsi="宋体" w:eastAsia="宋体" w:cs="宋体"/>
          <w:color w:val="000000"/>
          <w:kern w:val="0"/>
          <w:sz w:val="24"/>
          <w:szCs w:val="24"/>
          <w:lang w:val="en-US" w:eastAsia="zh-CN" w:bidi="ar"/>
        </w:rPr>
        <w:t>，总面积</w:t>
      </w:r>
      <w:r>
        <w:rPr>
          <w:rFonts w:hint="default" w:ascii="Times New Roman" w:hAnsi="Times New Roman" w:eastAsia="宋体" w:cs="Times New Roman"/>
          <w:color w:val="000000"/>
          <w:kern w:val="0"/>
          <w:sz w:val="24"/>
          <w:szCs w:val="24"/>
          <w:lang w:val="en-US" w:eastAsia="zh-CN" w:bidi="ar"/>
        </w:rPr>
        <w:t>5964.4km</w:t>
      </w:r>
      <w:r>
        <w:rPr>
          <w:rFonts w:hint="eastAsia" w:ascii="宋体" w:hAnsi="宋体" w:eastAsia="宋体" w:cs="宋体"/>
          <w:color w:val="000000"/>
          <w:kern w:val="0"/>
          <w:sz w:val="24"/>
          <w:szCs w:val="24"/>
          <w:lang w:val="en-US" w:eastAsia="zh-CN" w:bidi="ar"/>
        </w:rPr>
        <w:t>，是中国重要的工业基地和历史文化名城，著名的</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陶瓷之都</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石化之城</w:t>
      </w:r>
      <w:r>
        <w:rPr>
          <w:rFonts w:hint="default" w:ascii="Times New Roman" w:hAnsi="Times New Roman" w:eastAsia="宋体" w:cs="Times New Roman"/>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bidi w:val="0"/>
        <w:snapToGrid w:val="0"/>
        <w:spacing w:line="360" w:lineRule="auto"/>
        <w:ind w:firstLine="480" w:firstLineChars="200"/>
        <w:jc w:val="both"/>
        <w:textAlignment w:val="auto"/>
      </w:pPr>
      <w:r>
        <w:rPr>
          <w:rFonts w:hint="eastAsia" w:ascii="宋体" w:hAnsi="宋体" w:eastAsia="宋体" w:cs="宋体"/>
          <w:color w:val="000000"/>
          <w:kern w:val="0"/>
          <w:sz w:val="24"/>
          <w:szCs w:val="24"/>
          <w:lang w:val="en-US" w:eastAsia="zh-CN" w:bidi="ar"/>
        </w:rPr>
        <w:t>桓台县隶属淄博市，位于山东省中部，淄博市北端。地处东经</w:t>
      </w:r>
      <w:r>
        <w:rPr>
          <w:rFonts w:hint="default" w:ascii="Times New Roman" w:hAnsi="Times New Roman" w:eastAsia="宋体" w:cs="Times New Roman"/>
          <w:color w:val="000000"/>
          <w:kern w:val="0"/>
          <w:sz w:val="24"/>
          <w:szCs w:val="24"/>
          <w:lang w:val="en-US" w:eastAsia="zh-CN" w:bidi="ar"/>
        </w:rPr>
        <w:t>117°50′</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118°10′</w:t>
      </w:r>
      <w:r>
        <w:rPr>
          <w:rFonts w:hint="eastAsia" w:ascii="宋体" w:hAnsi="宋体" w:eastAsia="宋体" w:cs="宋体"/>
          <w:color w:val="000000"/>
          <w:kern w:val="0"/>
          <w:sz w:val="24"/>
          <w:szCs w:val="24"/>
          <w:lang w:val="en-US" w:eastAsia="zh-CN" w:bidi="ar"/>
        </w:rPr>
        <w:t xml:space="preserve">、北纬 </w:t>
      </w:r>
      <w:r>
        <w:rPr>
          <w:rFonts w:hint="default" w:ascii="Times New Roman" w:hAnsi="Times New Roman" w:eastAsia="宋体" w:cs="Times New Roman"/>
          <w:color w:val="000000"/>
          <w:kern w:val="0"/>
          <w:sz w:val="24"/>
          <w:szCs w:val="24"/>
          <w:lang w:val="en-US" w:eastAsia="zh-CN" w:bidi="ar"/>
        </w:rPr>
        <w:t>36°51′</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37°06′</w:t>
      </w:r>
      <w:r>
        <w:rPr>
          <w:rFonts w:hint="eastAsia" w:ascii="宋体" w:hAnsi="宋体" w:eastAsia="宋体" w:cs="宋体"/>
          <w:color w:val="000000"/>
          <w:kern w:val="0"/>
          <w:sz w:val="24"/>
          <w:szCs w:val="24"/>
          <w:lang w:val="en-US" w:eastAsia="zh-CN" w:bidi="ar"/>
        </w:rPr>
        <w:t>，东接临淄区，南靠张店区，西南与周村区交界，西北越小清河与高青县接壤，西连滨州邹平县，东北与滨州博兴县毗连。县境南窄北宽，东西斜长，略呈方形。南北最大纵距</w:t>
      </w:r>
      <w:r>
        <w:rPr>
          <w:rFonts w:hint="default" w:ascii="Times New Roman" w:hAnsi="Times New Roman" w:eastAsia="宋体" w:cs="Times New Roman"/>
          <w:color w:val="000000"/>
          <w:kern w:val="0"/>
          <w:sz w:val="24"/>
          <w:szCs w:val="24"/>
          <w:lang w:val="en-US" w:eastAsia="zh-CN" w:bidi="ar"/>
        </w:rPr>
        <w:t>24.4km</w:t>
      </w:r>
      <w:r>
        <w:rPr>
          <w:rFonts w:hint="eastAsia" w:ascii="宋体" w:hAnsi="宋体" w:eastAsia="宋体" w:cs="宋体"/>
          <w:color w:val="000000"/>
          <w:kern w:val="0"/>
          <w:sz w:val="24"/>
          <w:szCs w:val="24"/>
          <w:lang w:val="en-US" w:eastAsia="zh-CN" w:bidi="ar"/>
        </w:rPr>
        <w:t>，东西最大横距</w:t>
      </w:r>
      <w:r>
        <w:rPr>
          <w:rFonts w:hint="default" w:ascii="Times New Roman" w:hAnsi="Times New Roman" w:eastAsia="宋体" w:cs="Times New Roman"/>
          <w:color w:val="000000"/>
          <w:kern w:val="0"/>
          <w:sz w:val="24"/>
          <w:szCs w:val="24"/>
          <w:lang w:val="en-US" w:eastAsia="zh-CN" w:bidi="ar"/>
        </w:rPr>
        <w:t>27.5km</w:t>
      </w:r>
      <w:r>
        <w:rPr>
          <w:rFonts w:hint="eastAsia" w:ascii="宋体" w:hAnsi="宋体" w:eastAsia="宋体" w:cs="宋体"/>
          <w:color w:val="000000"/>
          <w:kern w:val="0"/>
          <w:sz w:val="24"/>
          <w:szCs w:val="24"/>
          <w:lang w:val="en-US" w:eastAsia="zh-CN" w:bidi="ar"/>
        </w:rPr>
        <w:t>，总面积</w:t>
      </w:r>
      <w:r>
        <w:rPr>
          <w:rFonts w:hint="default" w:ascii="Times New Roman" w:hAnsi="Times New Roman" w:eastAsia="宋体" w:cs="Times New Roman"/>
          <w:color w:val="000000"/>
          <w:kern w:val="0"/>
          <w:sz w:val="24"/>
          <w:szCs w:val="24"/>
          <w:lang w:val="en-US" w:eastAsia="zh-CN" w:bidi="ar"/>
        </w:rPr>
        <w:t>509.53km</w:t>
      </w:r>
      <w:r>
        <w:rPr>
          <w:rFonts w:hint="eastAsia" w:ascii="Times New Roman" w:hAnsi="Times New Roman" w:eastAsia="宋体" w:cs="Times New Roman"/>
          <w:color w:val="000000"/>
          <w:kern w:val="0"/>
          <w:sz w:val="24"/>
          <w:szCs w:val="24"/>
          <w:vertAlign w:val="superscript"/>
          <w:lang w:val="en-US" w:eastAsia="zh-CN" w:bidi="ar"/>
        </w:rPr>
        <w:t>2</w:t>
      </w:r>
      <w:r>
        <w:rPr>
          <w:rFonts w:hint="eastAsia" w:ascii="宋体" w:hAnsi="宋体" w:eastAsia="宋体" w:cs="宋体"/>
          <w:color w:val="000000"/>
          <w:kern w:val="0"/>
          <w:sz w:val="24"/>
          <w:szCs w:val="24"/>
          <w:lang w:val="en-US" w:eastAsia="zh-CN" w:bidi="ar"/>
        </w:rPr>
        <w:t>，人口</w:t>
      </w:r>
      <w:r>
        <w:rPr>
          <w:rFonts w:hint="default" w:ascii="Times New Roman" w:hAnsi="Times New Roman" w:eastAsia="宋体" w:cs="Times New Roman"/>
          <w:color w:val="000000"/>
          <w:kern w:val="0"/>
          <w:sz w:val="24"/>
          <w:szCs w:val="24"/>
          <w:lang w:val="en-US" w:eastAsia="zh-CN" w:bidi="ar"/>
        </w:rPr>
        <w:t>50</w:t>
      </w:r>
      <w:r>
        <w:rPr>
          <w:rFonts w:hint="eastAsia" w:ascii="宋体" w:hAnsi="宋体" w:eastAsia="宋体" w:cs="宋体"/>
          <w:color w:val="000000"/>
          <w:kern w:val="0"/>
          <w:sz w:val="24"/>
          <w:szCs w:val="24"/>
          <w:lang w:val="en-US" w:eastAsia="zh-CN" w:bidi="ar"/>
        </w:rPr>
        <w:t xml:space="preserve">万。 </w:t>
      </w:r>
    </w:p>
    <w:p>
      <w:pPr>
        <w:pStyle w:val="5"/>
        <w:keepNext w:val="0"/>
        <w:keepLines w:val="0"/>
        <w:pageBreakBefore w:val="0"/>
        <w:kinsoku/>
        <w:wordWrap/>
        <w:overflowPunct/>
        <w:topLinePunct w:val="0"/>
        <w:bidi w:val="0"/>
        <w:snapToGrid w:val="0"/>
        <w:spacing w:line="360" w:lineRule="auto"/>
        <w:ind w:firstLine="480" w:firstLineChars="200"/>
        <w:jc w:val="both"/>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本项目厂址位于桓台县马桥化工产业园，山东博汇纸业股份有限公司现有厂区内，项目具体地理位置见图3.1-</w:t>
      </w:r>
      <w:r>
        <w:rPr>
          <w:rFonts w:hint="eastAsia" w:ascii="Times New Roman" w:hAnsi="Times New Roman"/>
          <w:sz w:val="24"/>
          <w:szCs w:val="24"/>
          <w:lang w:val="en-US" w:eastAsia="zh-CN"/>
        </w:rPr>
        <w:t>1</w:t>
      </w:r>
      <w:r>
        <w:rPr>
          <w:rFonts w:hint="default" w:ascii="Times New Roman" w:hAnsi="Times New Roman"/>
          <w:sz w:val="24"/>
          <w:szCs w:val="24"/>
          <w:lang w:val="en-US" w:eastAsia="zh-CN"/>
        </w:rPr>
        <w:t>。</w:t>
      </w: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4" w:name="_Toc11391"/>
      <w:bookmarkStart w:id="5" w:name="_Toc8058"/>
      <w:r>
        <w:rPr>
          <w:rFonts w:hint="eastAsia" w:ascii="Times New Roman" w:hAnsi="Times New Roman" w:eastAsia="宋体" w:cs="Times New Roman"/>
          <w:lang w:val="en-US" w:eastAsia="zh-CN"/>
        </w:rPr>
        <w:t>5</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2</w:t>
      </w:r>
      <w:r>
        <w:rPr>
          <w:rFonts w:hint="eastAsia" w:ascii="宋体" w:hAnsi="宋体" w:eastAsia="宋体" w:cs="宋体"/>
          <w:lang w:val="en-US" w:eastAsia="zh-CN"/>
        </w:rPr>
        <w:t>自然环境现状调查</w:t>
      </w:r>
      <w:bookmarkEnd w:id="4"/>
      <w:bookmarkEnd w:id="5"/>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b/>
          <w:bCs/>
          <w:sz w:val="24"/>
          <w:szCs w:val="24"/>
          <w:lang w:val="en-US" w:eastAsia="zh-CN"/>
        </w:rPr>
        <w:t>地质地貌</w:t>
      </w:r>
    </w:p>
    <w:p>
      <w:pPr>
        <w:keepNext w:val="0"/>
        <w:keepLines w:val="0"/>
        <w:pageBreakBefore w:val="0"/>
        <w:widowControl/>
        <w:suppressLineNumbers w:val="0"/>
        <w:kinsoku/>
        <w:wordWrap/>
        <w:overflowPunct/>
        <w:topLinePunct w:val="0"/>
        <w:bidi w:val="0"/>
        <w:snapToGrid w:val="0"/>
        <w:spacing w:line="360" w:lineRule="auto"/>
        <w:ind w:firstLine="480" w:firstLineChars="200"/>
        <w:jc w:val="both"/>
        <w:textAlignment w:val="auto"/>
        <w:rPr>
          <w:rFonts w:hint="default" w:ascii="Times New Roman" w:hAnsi="Times New Roman"/>
          <w:sz w:val="24"/>
          <w:szCs w:val="24"/>
          <w:lang w:val="en-US" w:eastAsia="zh-CN"/>
        </w:rPr>
      </w:pPr>
      <w:r>
        <w:rPr>
          <w:rFonts w:hint="default" w:ascii="宋体" w:hAnsi="宋体" w:eastAsia="宋体" w:cs="宋体"/>
          <w:color w:val="000000"/>
          <w:kern w:val="0"/>
          <w:sz w:val="24"/>
          <w:szCs w:val="24"/>
          <w:lang w:val="en-US" w:eastAsia="zh-CN" w:bidi="ar"/>
        </w:rPr>
        <w:t>淄博市地处华北地台鲁西台北斜鲁中隆断区的北缘，为一向斜构造，称“淄博向斜”。构造特征是褶皱平缓舒展而不甚发育，除较高一级的“淄博向斜”外，其它系与“淄博向斜”相伴生的次级小型褶皱；区内断层构造较为发育，尤以张性正断层为主，纵横切割。岩浆岩石分布面广，并具有多期活动的特点。主要有金岭闪长岩杂岩体、昆仑辉长岩体等。地势南高北低，南部及东西两翼山峦起伏跌宕，中部低陷向北倾伏，南北落差千余米。以胶济铁路为界，以南大部分为山区、丘陵，岩溶地貌发达；以北大部分为山前冲积平原和黄泛平原，土地平坦肥沃。北部有黄河、小清河流经，发源于淄博的河流有沂河、淄河、孝妇河等。全市山区、丘陵、平原面积分别占全市总面积的</w:t>
      </w:r>
      <w:r>
        <w:rPr>
          <w:rFonts w:hint="default" w:ascii="Times New Roman" w:hAnsi="Times New Roman" w:eastAsia="宋体" w:cs="Times New Roman"/>
          <w:color w:val="000000"/>
          <w:kern w:val="0"/>
          <w:sz w:val="24"/>
          <w:szCs w:val="24"/>
          <w:lang w:val="en-US" w:eastAsia="zh-CN" w:bidi="ar"/>
        </w:rPr>
        <w:t>42%、29.9%和28.1%。</w:t>
      </w:r>
      <w:r>
        <w:rPr>
          <w:rFonts w:hint="default" w:ascii="宋体" w:hAnsi="宋体" w:eastAsia="宋体" w:cs="宋体"/>
          <w:color w:val="000000"/>
          <w:kern w:val="0"/>
          <w:sz w:val="24"/>
          <w:szCs w:val="24"/>
          <w:lang w:val="en-US" w:eastAsia="zh-CN" w:bidi="ar"/>
        </w:rPr>
        <w:t xml:space="preserve">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本项目位于桓台，桓台县境内地势南高北低，由西南向东北倾斜，略呈微波</w:t>
      </w:r>
      <w:bookmarkStart w:id="110" w:name="_GoBack"/>
      <w:bookmarkEnd w:id="110"/>
      <w:r>
        <w:rPr>
          <w:rFonts w:hint="default" w:ascii="Times New Roman" w:hAnsi="Times New Roman"/>
          <w:sz w:val="24"/>
          <w:szCs w:val="24"/>
          <w:lang w:val="en-US" w:eastAsia="zh-CN"/>
        </w:rPr>
        <w:t>状。南部为缓岗，中部为平原，北部是湖洼。缓岗、平原、洼地分别占全县总面积的5.5%、49.4%和45.1%。大寨沟以南地势偏高，呈东西向条带分布，地面坡降在1/800左右；大寨沟以北至南干渠以南（项目所在区域），地势平坦，海拔高度18～10m，地面坡降1/1500左右；北部至小清河南岸，地势低洼，以马踏湖底最低，海拔为5.7～6.8m，地面坡降在1/2500～1/3500之间。项目所在区域地貌类型属鲁中山地向华北平原过渡带的张店-周村山前冲洪积倾斜平原的前锋，其地形平坦、地势南高北低、地表完整、地貌形态单一。</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b/>
          <w:bCs/>
          <w:sz w:val="24"/>
          <w:szCs w:val="24"/>
          <w:lang w:val="en-US" w:eastAsia="zh-CN"/>
        </w:rPr>
        <w:t>气候气象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桓台县属暖温带季风型大陆性气候区，具有温度适宜，光照充足，热量较多，雨水集中，半干旱半湿润的特点。四季气候特征是：春季干旱多风，夏季炎热多雨，秋季天高气爽，冬季寒冷晴燥，年温及日温差异明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（1）气温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全县年平均温度在11.8℃～12.9℃之间，平均为12.5℃。年平均气温的分配比较稳定，振幅不大。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①季温：冬季从12月上旬开始，日平均温度一般维持在0℃以下，次年2月下旬开始恢复到0℃以上。春季温度逐月回升；夏季从6月上旬开始，月平均温度在22℃以上</w:t>
      </w:r>
      <w:r>
        <w:rPr>
          <w:rFonts w:hint="eastAsia" w:ascii="Times New Roman" w:hAnsi="Times New Roman"/>
          <w:sz w:val="24"/>
          <w:szCs w:val="24"/>
          <w:lang w:val="en-US" w:eastAsia="zh-CN"/>
        </w:rPr>
        <w:t>，</w:t>
      </w:r>
      <w:r>
        <w:rPr>
          <w:rFonts w:hint="default" w:ascii="Times New Roman" w:hAnsi="Times New Roman"/>
          <w:sz w:val="24"/>
          <w:szCs w:val="24"/>
          <w:lang w:val="en-US" w:eastAsia="zh-CN"/>
        </w:rPr>
        <w:t>7月份为全年温度最高月份，月平均温度26.5℃。秋季温度逐月下降，从 9 月上旬开始，日平均温度一般下降到20℃以下，11月上旬降至10℃以下，11月下旬降到5℃以下。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②月温：1月份月平均温度最低，为-3.7℃，7月份月均温度最高。2月至7月温度逐月上升。8月之后逐月下降，至1月出现一年最低值。</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③年、月极端最高、最低温度：历年极端最高温度为40.9℃，历年极端最低温度为-23.2℃。日极端最高、最低温度：日最高温度大于35℃的最长炎热日数为21天；日最低温度小于-10℃的最长寒冷日数为56天。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（2）降水量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 xml:space="preserve">桓台县境内年平均降水量为586.4mm，最多年降水量为1077.7mm，最少年降水量为358.3mm，东南部及西南部分别比北部湖区年平均降水量多20～30mm。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 xml:space="preserve">①季降水量的分布特点：集中于夏季，冬季雨量最小，秋季多于春季，往往春旱比秋旱严重。春季（4～5月），平均降水量为71.3mm，占年总降水量的12%；夏季（6月1日至9月5日），平均降水量为361mm，占年总降水量的61.69%；秋季（9月6日至11月5日），平均降水量为100.9mm，占年总降水量的17.2%，冬季（11月6日至3月31日），平均降水量为53.2mm，占年总降水量的9.1%。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②月降水量以1月最少，为5.7mm；7月最多，为181.7mm。1～4月和9～11月为降水量最小月份，均在5mm以下，时常出现早涝不均的现象。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③历年各月、旬平均降水量，以7月中、下旬和8月中旬最大，1月上旬最小。12月上旬至次年3月下旬，各旬平均不足6mm。</w:t>
      </w:r>
    </w:p>
    <w:p>
      <w:pPr>
        <w:keepNext w:val="0"/>
        <w:keepLines w:val="0"/>
        <w:pageBreakBefore w:val="0"/>
        <w:widowControl w:val="0"/>
        <w:kinsoku/>
        <w:wordWrap/>
        <w:overflowPunct/>
        <w:topLinePunct w:val="0"/>
        <w:autoSpaceDE/>
        <w:autoSpaceDN/>
        <w:bidi w:val="0"/>
        <w:adjustRightInd/>
        <w:snapToGrid w:val="0"/>
        <w:spacing w:line="360" w:lineRule="auto"/>
        <w:ind w:left="479" w:leftChars="228" w:firstLine="0" w:firstLineChars="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④累年1日最大降水量为148.2mm，累年一次最大降水量为252.2mm。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⑤降雪与积雪年大于0.1mm的降雪日数平均在10.3天，多集中在1～2月份。历年最大积雪深度为29mm，历年最大雪压为52.2kg/m</w:t>
      </w:r>
      <w:r>
        <w:rPr>
          <w:rFonts w:hint="default" w:ascii="Times New Roman" w:hAnsi="Times New Roman"/>
          <w:sz w:val="24"/>
          <w:szCs w:val="24"/>
          <w:vertAlign w:val="superscript"/>
          <w:lang w:val="en-US" w:eastAsia="zh-CN"/>
        </w:rPr>
        <w:t>2</w:t>
      </w:r>
      <w:r>
        <w:rPr>
          <w:rFonts w:hint="default" w:ascii="Times New Roman" w:hAnsi="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（3）湿度和蒸发</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①年、月平均相对湿度</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境内年平均相对湿度为66%。冬季相对湿度较小，11月为67%，12月为62%，1月为66%。2、3、4、5月各为61%。6月份为58%，为全年最小。夏季空气含水量最，7月份为77%，8月份为81%，为全年最大。秋季，湿度逐月递减，9月份为72%，10月份为66%。</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②年、月蒸发量历年平均年蒸发量为1030.8mm，比年平均降水量多444.4mm。月蒸发量从1月份开始逐月递增，至夏季6月达月平均最大值，为174.1mm。从9月份开始呈逐渐减少趋势，仅次于春季。秋季至12月逐月减少，12月份平均蒸发量仅37.3m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（4）风向、风速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default" w:ascii="Times New Roman" w:hAnsi="Times New Roman"/>
          <w:sz w:val="24"/>
          <w:szCs w:val="24"/>
          <w:lang w:val="en-US" w:eastAsia="zh-CN"/>
        </w:rPr>
        <w:t>南风及西南风最多，占全年各风向频率的37%；北到东北风次之，频率17%；年平均风速：2.6～3.4m/s；春季主导风向：西南风，平均风速3.7m/s，最大风速20m/s；冬季主导风向：北风，平均风速2.8m/s，最大风速16m/s；10分钟最大风速：（地面以上10m处）27m/s；风载荷：（地面以上10m处）45kg/m</w:t>
      </w:r>
      <w:r>
        <w:rPr>
          <w:rFonts w:hint="default" w:ascii="Times New Roman" w:hAnsi="Times New Roman"/>
          <w:sz w:val="24"/>
          <w:szCs w:val="24"/>
          <w:vertAlign w:val="superscript"/>
          <w:lang w:val="en-US" w:eastAsia="zh-CN"/>
        </w:rPr>
        <w:t>2</w:t>
      </w:r>
      <w:r>
        <w:rPr>
          <w:rFonts w:hint="default" w:ascii="Times New Roman" w:hAnsi="Times New Roman"/>
          <w:sz w:val="24"/>
          <w:szCs w:val="24"/>
          <w:lang w:val="en-US" w:eastAsia="zh-CN"/>
        </w:rPr>
        <w:t xml:space="preserve">。 </w:t>
      </w:r>
      <w:r>
        <w:rPr>
          <w:rFonts w:hint="eastAsia" w:ascii="Times New Roman" w:hAnsi="Times New Roman"/>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（5）</w:t>
      </w:r>
      <w:r>
        <w:rPr>
          <w:rFonts w:hint="default" w:ascii="Times New Roman" w:hAnsi="Times New Roman"/>
          <w:sz w:val="24"/>
          <w:szCs w:val="24"/>
          <w:lang w:val="en-US" w:eastAsia="zh-CN"/>
        </w:rPr>
        <w:t>日照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年平均日照时数为2832.7小时，以5月份最多，为301.3小时；2月份最少，为193.4小时。日照率为62%。南部、中部因受山区影响，月平均日照时数高于北部湖洼地区5小时左右。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（6）灾害性天气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①暴雨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境内水灾主要由较强的暴雨形成，以7、8月份居多，占年总降水量的65.1%。累年暴雨日数年平均为1.6 天。暴雨主要出现在6～9月份，以7、8月份较多，7月份最多，年平均暴雨量为76.7mm。其间，暴雨强度亦很大，一日最大暴雨量为148.2mm，三日最大暴雨量为166.2mm。暴雨中心在境内中部、南部。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②雷暴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历年平均雷暴日数为25.3天，最多为40天，最少15天；月变化以7月份最多，平均为8.2天。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③飓风</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境内飓风出现往往伴有雷暴、冰雹和阵雨。在飓风沿线带有时出现龙卷风，风力达10级以上，多出现在春、冬两季。极端最大风速的风向，多为北到西北，西南向次之。发生地点多在周家、果里、索镇、马桥4乡（镇）的西南部和新城、唐山两镇的南部。</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eastAsia"/>
          <w:b/>
          <w:bCs/>
          <w:sz w:val="24"/>
          <w:szCs w:val="24"/>
          <w:lang w:val="en-US" w:eastAsia="zh-CN"/>
        </w:rPr>
        <w:t>水文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1、</w:t>
      </w:r>
      <w:r>
        <w:rPr>
          <w:rFonts w:hint="eastAsia" w:ascii="Times New Roman" w:hAnsi="Times New Roman" w:cs="Times New Roman"/>
          <w:sz w:val="24"/>
          <w:szCs w:val="24"/>
          <w:lang w:val="en-US" w:eastAsia="zh-CN"/>
        </w:rPr>
        <w:t>地表水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桓台县境内有大小河流11条，多发源于鲁中山区，依地势由南而北汇集于锦秋、马踏湖，注入小清河。东有乌河，中有东、西猪龙河，西有孝妇河，南有涝淄河，北有小清河、预备河，皆属黄河流域小清河水系。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（1）小清河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小清河发源于济南市槐荫区西部的睦里庄闸，系汇济南诸泉而成的河流，自睦里庄闸起由西向东流经济南、淄博、滨州、东营、潍坊五地市，于潍坊寿光市羊角沟注入莱州湾，全长237km。小清河从邹平县张官庄北入桓台县境，西东流向，至崔家庄东北入博兴县，境内长18.8km，流域面积13779km</w:t>
      </w:r>
      <w:r>
        <w:rPr>
          <w:rFonts w:hint="default" w:ascii="Times New Roman" w:hAnsi="Times New Roman"/>
          <w:sz w:val="24"/>
          <w:szCs w:val="24"/>
          <w:vertAlign w:val="superscript"/>
          <w:lang w:val="en-US" w:eastAsia="zh-CN"/>
        </w:rPr>
        <w:t>2</w:t>
      </w:r>
      <w:r>
        <w:rPr>
          <w:rFonts w:hint="default" w:ascii="Times New Roman" w:hAnsi="Times New Roman"/>
          <w:sz w:val="24"/>
          <w:szCs w:val="24"/>
          <w:lang w:val="en-US" w:eastAsia="zh-CN"/>
        </w:rPr>
        <w:t>，排洪能力230m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/s，主要支流有孝妇河、猪龙河、涝淄河和乌河等。小清河平水期水深0.88～1.17m，常年平均水深2m左右，平均流量10.37m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/s，流速0.3～0.5m/s；枯水期流量5.22m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/s；汛期平均流量97m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/s，最大流量300m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/s，流速1.2m/s。</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历年平均过境水量3.27亿m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，水位涨落3m左右，含黄色泥沙。</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（2）东猪龙河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东猪龙河发源于张店区沣水南，从张店区朱家庄北入县境，南北流向。经果里、唐山、邢家3乡（镇〕，穿过跃进河注入小清河。境内长23.7km，流域面积878.3km</w:t>
      </w:r>
      <w:r>
        <w:rPr>
          <w:rFonts w:hint="default" w:ascii="Times New Roman" w:hAnsi="Times New Roman"/>
          <w:sz w:val="24"/>
          <w:szCs w:val="24"/>
          <w:vertAlign w:val="superscript"/>
          <w:lang w:val="en-US" w:eastAsia="zh-CN"/>
        </w:rPr>
        <w:t>2</w:t>
      </w:r>
      <w:r>
        <w:rPr>
          <w:rFonts w:hint="default" w:ascii="Times New Roman" w:hAnsi="Times New Roman"/>
          <w:sz w:val="24"/>
          <w:szCs w:val="24"/>
          <w:lang w:val="en-US" w:eastAsia="zh-CN"/>
        </w:rPr>
        <w:t>，排洪能力25～30m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/s。平水期一般流量为2～3m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/s；汛期最大流量25m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/s，流速0.5～0.7m/s。1966年起，成为淄博工矿区的主要排污河道，日过境水量为7.88万m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238"/>
          <w:cols w:space="425" w:num="1"/>
          <w:docGrid w:type="lines" w:linePitch="312" w:charSpace="0"/>
        </w:sectPr>
      </w:pPr>
      <w:r>
        <w:rPr>
          <w:rFonts w:hint="default" w:ascii="Times New Roman" w:hAnsi="Times New Roman"/>
          <w:sz w:val="24"/>
          <w:szCs w:val="24"/>
          <w:lang w:val="en-US" w:eastAsia="zh-CN"/>
        </w:rPr>
        <w:t>项目所在区域地表水系分布见图</w:t>
      </w:r>
      <w:r>
        <w:rPr>
          <w:rFonts w:hint="eastAsia" w:ascii="Times New Roman" w:hAnsi="Times New Roman"/>
          <w:sz w:val="24"/>
          <w:szCs w:val="24"/>
          <w:lang w:val="en-US" w:eastAsia="zh-CN"/>
        </w:rPr>
        <w:t>5</w:t>
      </w:r>
      <w:r>
        <w:rPr>
          <w:rFonts w:hint="default" w:ascii="Times New Roman" w:hAnsi="Times New Roman"/>
          <w:sz w:val="24"/>
          <w:szCs w:val="24"/>
          <w:lang w:val="en-US" w:eastAsia="zh-CN"/>
        </w:rPr>
        <w:t>.1-1。</w:t>
      </w:r>
    </w:p>
    <w:p>
      <w:pPr>
        <w:pStyle w:val="5"/>
        <w:jc w:val="center"/>
      </w:pPr>
      <w:r>
        <w:drawing>
          <wp:anchor distT="0" distB="0" distL="114300" distR="114300" simplePos="0" relativeHeight="251661312" behindDoc="0" locked="0" layoutInCell="1" allowOverlap="1">
            <wp:simplePos x="0" y="0"/>
            <wp:positionH relativeFrom="column">
              <wp:posOffset>7140575</wp:posOffset>
            </wp:positionH>
            <wp:positionV relativeFrom="paragraph">
              <wp:posOffset>240030</wp:posOffset>
            </wp:positionV>
            <wp:extent cx="861060" cy="778510"/>
            <wp:effectExtent l="9525" t="9525" r="24765" b="12065"/>
            <wp:wrapNone/>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91"/>
                    <a:stretch>
                      <a:fillRect/>
                    </a:stretch>
                  </pic:blipFill>
                  <pic:spPr>
                    <a:xfrm>
                      <a:off x="0" y="0"/>
                      <a:ext cx="861060" cy="778510"/>
                    </a:xfrm>
                    <a:prstGeom prst="rect">
                      <a:avLst/>
                    </a:prstGeom>
                    <a:noFill/>
                    <a:ln>
                      <a:solidFill>
                        <a:schemeClr val="tx1"/>
                      </a:solidFill>
                    </a:ln>
                  </pic:spPr>
                </pic:pic>
              </a:graphicData>
            </a:graphic>
          </wp:anchor>
        </w:drawing>
      </w:r>
      <w:r>
        <w:rPr>
          <w:sz w:val="21"/>
        </w:rPr>
        <mc:AlternateContent>
          <mc:Choice Requires="wps">
            <w:drawing>
              <wp:anchor distT="0" distB="0" distL="114300" distR="114300" simplePos="0" relativeHeight="251660288" behindDoc="0" locked="0" layoutInCell="1" allowOverlap="1">
                <wp:simplePos x="0" y="0"/>
                <wp:positionH relativeFrom="column">
                  <wp:posOffset>2756535</wp:posOffset>
                </wp:positionH>
                <wp:positionV relativeFrom="paragraph">
                  <wp:posOffset>1954530</wp:posOffset>
                </wp:positionV>
                <wp:extent cx="902335" cy="295910"/>
                <wp:effectExtent l="683895" t="513715" r="13970" b="9525"/>
                <wp:wrapNone/>
                <wp:docPr id="13" name="圆角矩形标注 13"/>
                <wp:cNvGraphicFramePr/>
                <a:graphic xmlns:a="http://schemas.openxmlformats.org/drawingml/2006/main">
                  <a:graphicData uri="http://schemas.microsoft.com/office/word/2010/wordprocessingShape">
                    <wps:wsp>
                      <wps:cNvSpPr/>
                      <wps:spPr>
                        <a:xfrm>
                          <a:off x="2999105" y="2596515"/>
                          <a:ext cx="902335" cy="295910"/>
                        </a:xfrm>
                        <a:prstGeom prst="wedgeRoundRectCallout">
                          <a:avLst>
                            <a:gd name="adj1" fmla="val -120654"/>
                            <a:gd name="adj2" fmla="val -214377"/>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FFFF00"/>
                                <w:highlight w:val="red"/>
                                <w:lang w:val="en-US" w:eastAsia="zh-CN"/>
                              </w:rPr>
                            </w:pPr>
                            <w:r>
                              <w:rPr>
                                <w:rFonts w:hint="eastAsia"/>
                                <w:b/>
                                <w:bCs/>
                                <w:color w:val="FFFF00"/>
                                <w:highlight w:val="red"/>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7.05pt;margin-top:153.9pt;height:23.3pt;width:71.05pt;z-index:251660288;v-text-anchor:middle;mso-width-relative:page;mso-height-relative:page;" filled="f" stroked="t" coordsize="21600,21600" o:gfxdata="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Byl4jo3AAAAAsBAAAPAAAAAAAAAAEAIAAA&#10;ACIAAABkcnMvZG93bnJldi54bWxQSwECFAAUAAAACACHTuJAgH1FqbMCAAArBQAADgAAAAAAAAAB&#10;ACAAAAArAQAAZHJzL2Uyb0RvYy54bWxQSwUGAAAAAAYABgBZAQAAUAYAAAAA&#10;" adj="-15261,-35505,14400">
                <v:fill on="f" focussize="0,0"/>
                <v:stroke weight="1pt" color="#FF0000 [3204]" miterlimit="8" joinstyle="miter"/>
                <v:imagedata o:title=""/>
                <o:lock v:ext="edit" aspectratio="f"/>
                <v:textbox>
                  <w:txbxContent>
                    <w:p>
                      <w:pPr>
                        <w:jc w:val="center"/>
                        <w:rPr>
                          <w:rFonts w:hint="eastAsia" w:eastAsia="宋体"/>
                          <w:b/>
                          <w:bCs/>
                          <w:color w:val="FFFF00"/>
                          <w:highlight w:val="red"/>
                          <w:lang w:val="en-US" w:eastAsia="zh-CN"/>
                        </w:rPr>
                      </w:pPr>
                      <w:r>
                        <w:rPr>
                          <w:rFonts w:hint="eastAsia"/>
                          <w:b/>
                          <w:bCs/>
                          <w:color w:val="FFFF00"/>
                          <w:highlight w:val="red"/>
                          <w:lang w:val="en-US" w:eastAsia="zh-CN"/>
                        </w:rPr>
                        <w:t>项目位置</w:t>
                      </w:r>
                    </w:p>
                  </w:txbxContent>
                </v:textbox>
              </v:shape>
            </w:pict>
          </mc:Fallback>
        </mc:AlternateContent>
      </w:r>
      <w:r>
        <w:rPr>
          <w:sz w:val="21"/>
        </w:rPr>
        <mc:AlternateContent>
          <mc:Choice Requires="wps">
            <w:drawing>
              <wp:anchor distT="0" distB="0" distL="114300" distR="114300" simplePos="0" relativeHeight="251659264" behindDoc="0" locked="0" layoutInCell="1" allowOverlap="1">
                <wp:simplePos x="0" y="0"/>
                <wp:positionH relativeFrom="column">
                  <wp:posOffset>2039620</wp:posOffset>
                </wp:positionH>
                <wp:positionV relativeFrom="paragraph">
                  <wp:posOffset>1403350</wp:posOffset>
                </wp:positionV>
                <wp:extent cx="75565" cy="75565"/>
                <wp:effectExtent l="9525" t="9525" r="10160" b="10160"/>
                <wp:wrapNone/>
                <wp:docPr id="12" name="矩形 12"/>
                <wp:cNvGraphicFramePr/>
                <a:graphic xmlns:a="http://schemas.openxmlformats.org/drawingml/2006/main">
                  <a:graphicData uri="http://schemas.microsoft.com/office/word/2010/wordprocessingShape">
                    <wps:wsp>
                      <wps:cNvSpPr/>
                      <wps:spPr>
                        <a:xfrm>
                          <a:off x="2954020" y="2546350"/>
                          <a:ext cx="75565" cy="755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0.6pt;margin-top:110.5pt;height:5.95pt;width:5.95pt;z-index:251659264;v-text-anchor:middle;mso-width-relative:page;mso-height-relative:page;" filled="f" stroked="t" coordsize="21600,21600" o:gfxdata="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sjAHgtgA&#10;AAALAQAADwAAAAAAAAABACAAAAAiAAAAZHJzL2Rvd25yZXYueG1sUEsBAhQAFAAAAAgAh07iQAUR&#10;sA5YAgAAiAQAAA4AAAAAAAAAAQAgAAAAJwEAAGRycy9lMm9Eb2MueG1sUEsFBgAAAAAGAAYAWQEA&#10;APEFAAAAAA==&#10;">
                <v:fill on="f" focussize="0,0"/>
                <v:stroke weight="1.5pt" color="#FF0000 [3204]" miterlimit="8" joinstyle="miter"/>
                <v:imagedata o:title=""/>
                <o:lock v:ext="edit" aspectratio="f"/>
              </v:rect>
            </w:pict>
          </mc:Fallback>
        </mc:AlternateContent>
      </w:r>
      <w:r>
        <w:drawing>
          <wp:inline distT="0" distB="0" distL="114300" distR="114300">
            <wp:extent cx="7536815" cy="4866005"/>
            <wp:effectExtent l="0" t="0" r="6985" b="10795"/>
            <wp:docPr id="11" name="图片 2"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C:\Users\Administrator\Desktop\图片1.png图片1"/>
                    <pic:cNvPicPr>
                      <a:picLocks noChangeAspect="1"/>
                    </pic:cNvPicPr>
                  </pic:nvPicPr>
                  <pic:blipFill>
                    <a:blip r:embed="rId92"/>
                    <a:srcRect/>
                    <a:stretch>
                      <a:fillRect/>
                    </a:stretch>
                  </pic:blipFill>
                  <pic:spPr>
                    <a:xfrm>
                      <a:off x="0" y="0"/>
                      <a:ext cx="7536815" cy="4866005"/>
                    </a:xfrm>
                    <a:prstGeom prst="rect">
                      <a:avLst/>
                    </a:prstGeom>
                    <a:noFill/>
                    <a:ln>
                      <a:noFill/>
                    </a:ln>
                  </pic:spPr>
                </pic:pic>
              </a:graphicData>
            </a:graphic>
          </wp:inline>
        </w:drawing>
      </w:r>
    </w:p>
    <w:p>
      <w:pPr>
        <w:pStyle w:val="5"/>
        <w:jc w:val="center"/>
        <w:rPr>
          <w:rFonts w:hint="default"/>
          <w:b/>
          <w:bCs/>
          <w:lang w:val="en-US" w:eastAsia="zh-CN"/>
        </w:rPr>
      </w:pPr>
      <w:r>
        <w:rPr>
          <w:rFonts w:hint="default"/>
          <w:b/>
          <w:bCs/>
          <w:lang w:val="en-US" w:eastAsia="zh-CN"/>
        </w:rPr>
        <w:t>图</w:t>
      </w:r>
      <w:r>
        <w:rPr>
          <w:rFonts w:hint="eastAsia" w:ascii="Times New Roman" w:hAnsi="Times New Roman" w:cs="Times New Roman"/>
          <w:b/>
          <w:bCs/>
          <w:lang w:val="en-US" w:eastAsia="zh-CN"/>
        </w:rPr>
        <w:t>5</w:t>
      </w:r>
      <w:r>
        <w:rPr>
          <w:rFonts w:hint="default" w:ascii="Times New Roman" w:hAnsi="Times New Roman" w:cs="Times New Roman"/>
          <w:b/>
          <w:bCs/>
          <w:lang w:val="en-US" w:eastAsia="zh-CN"/>
        </w:rPr>
        <w:t>.1-1</w:t>
      </w:r>
      <w:r>
        <w:rPr>
          <w:rFonts w:hint="default"/>
          <w:b/>
          <w:bCs/>
          <w:lang w:val="en-US" w:eastAsia="zh-CN"/>
        </w:rPr>
        <w:t xml:space="preserve"> 项目所在区域地表水系图</w:t>
      </w:r>
    </w:p>
    <w:p>
      <w:pPr>
        <w:pStyle w:val="5"/>
        <w:jc w:val="center"/>
        <w:rPr>
          <w:rFonts w:hint="default"/>
          <w:lang w:val="en-US" w:eastAsia="zh-CN"/>
        </w:rPr>
        <w:sectPr>
          <w:headerReference r:id="rId5" w:type="default"/>
          <w:footerReference r:id="rId6"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5"/>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sz w:val="24"/>
          <w:szCs w:val="24"/>
          <w:lang w:val="en-US" w:eastAsia="zh-CN"/>
        </w:rPr>
      </w:pPr>
      <w:r>
        <w:rPr>
          <w:rFonts w:hint="default" w:ascii="Times New Roman" w:hAnsi="Times New Roman" w:cs="Times New Roman"/>
          <w:sz w:val="24"/>
          <w:szCs w:val="24"/>
          <w:lang w:val="en-US" w:eastAsia="zh-CN"/>
        </w:rPr>
        <w:t>2、</w:t>
      </w:r>
      <w:r>
        <w:rPr>
          <w:rFonts w:hint="eastAsia"/>
          <w:sz w:val="24"/>
          <w:szCs w:val="24"/>
          <w:lang w:val="en-US" w:eastAsia="zh-CN"/>
        </w:rPr>
        <w:t>地下水</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该地区地下水流向为西南-东北，地下水类型系晚第三系、第四系沉积层孔隙水，根据岩石性质和含水特性，含水层由新至老，分为三层：埋深小于50米的浅层孔隙水，厚度为8～15米，出水量60～100m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/h；埋深为50～100米的中层承压水，钻孔涌水量约为120 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/h；埋深大于100米的深层承压水，厚度为45～70米，单井出水量80～1000m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/h，地下水含量丰富，区域内小清河主要靠地下水补给。</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eastAsia"/>
          <w:b/>
          <w:bCs/>
          <w:sz w:val="24"/>
          <w:szCs w:val="24"/>
          <w:lang w:val="en-US" w:eastAsia="zh-CN"/>
        </w:rPr>
        <w:t>地质及水文地质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1、地质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桓台县地处新华夏系第二隆起带与第二沉降带的衔接部位，以齐河-广饶深大断裂为界，北部属华北坳陷区（Ⅱ级构造单元）济阳坳陷〔Ⅲ级）的东南部；中部、南部处于鲁西隆起区（Ⅱ级）泰山-沂山隆起（Ⅲ级）的凹陷北端。</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（1）地层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桓台县境内地层由古生界的二叠系、石炭系和奥陶系、中生界的白垩系和侏罗系以及新生界的第四系和第三系组成。其地层结构从下至上依次为：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①古生界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奥陶系境内仅见中奥陶系地层，厚度208m左右，浅部距地表仅20余米，分布于东南部的侯庄、老官庄、龙南村一带。主要岩性为深灰色厚层状灰岩、夹豹皮状灰岩、泥质白云质灰岩，属浅海相碳酸盐沉积，含生物群化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石炭系分布于侯庄、龙南、龙北村以北地区，厚度约140m。主要岩性为沙页岩互层夹灰岩，属海陆交互相含煤沉积建造，含动植物化石，赋存煤、铝、粘土等矿产。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二叠系分布在境内南部的张义公路两侧，姚家略断层以东，炒米店断层以南及侯庄以北地区。主要岩性上部为紫色页岩，石英砂岩及页岩互层；中部为黄绿色砂岩夹紫色页岩，以灰白色中厚层砂岩为主，页岩次之。其中万山亚组底部含“A”层硬质粘土矿，上部夹不稳定的“AO”层粘土；下部为黄褐色具交错层理的长石砂岩与黄褐色、紫色、绿色、灰色页岩互层，属半干旱内陆盆地的陆相沉积，含植物化石，厚度约400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②中生界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侏罗系分布于县境北部的齐河~广饶深大断裂以北地区。主要岩性为灰绿色、灰黄色长石石英砂岩和紫红色，灰绿色交错层长石砂岩互层，下部为紫红色、灰白色交错层砂砾岩，属河湖沼泽相沉积，含植物化石，厚度180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白垩系分布于齐河～广饶深大断裂以南，炒米店断层以北，张店逆断层以西广大地区，厚度大于1000m。岩层由一套火山岩和火山碎屑岩（安山岩、辉碛山岩、杂色安山岩、角砾安山玄武岩等）组成。本区火山岩与沂沐裂谷邹平火山口的火山岩为同期生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③新生界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第三系分布于县境北部齐河-广饶深大断裂两侧，马桥乡西部，断层厚度约为850m，马桥镇东北断层厚度为920m，为一套湖相细碎屑堆积厚层。岩性以浅灰黄、灰绿、棕红色泥沙岩为主，局部有玄武岩，赋存石油、石膏等矿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第四系广泛分布于境内山前洪冲积层和黄泛冲积及湖相交互沉积地区。主要岩性由亚沙土、沙质粘土层等组成。沉积厚度，境内东南部约20m，北部大于200m。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（2）地质构造</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境内地质构造由西东向构造体系与新华夏构造体系组成主要构造骨架，其它大小构造形迹的形成和展布均与其有成生联系。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西东向断裂：齐河-广饶深大断裂由县境北部经过，西起齐河县，横穿境内北部的北营、马桥、北岭、里仁、荆家、华沟、鱼龙、起凤、牟寨、东巩庄约24km，东至广饶县南部。断层走向NW65°～80°E，倾向NW，倾角50°～60°，属北降南升正断层，落差1000～2000米。中生代～新生代活动剧烈。</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北北东-北东向断裂：姚家峪断层南起莱芜市苗山东南，向北过樵岭前、姚家峪、周村，纵贯境内宫家、黄郭、北岭12km，与齐河-广饶断裂衔接。断层走向NS.NNE，倾向东至南东，倾角55°～78°，局部88°，属西升东降正断层：落差370～1500m；张店逆断层南起张店，北沿张（店）-东（营）铁路左右，经杜科、乔庄，纵穿境内马王、河崖头、永安桥、东巩庄24km，与齐河～广饶断裂衔接。断层走向北东20°～30°，倾向南东，西盘下降，落差达1000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东南-西北向断裂：炒米店断层南起张店区高炳宿，经炒米店、麻营村，斜穿境内的太平官庄、康家、李王村、宫家庄14km，与姚家峪断层相会。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2、水文地质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（1）地下水类型，埋藏深度及含水层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桓台县地处华北地台鲁西背斜鲁中隆断与辽冀台向斜济阳坳陷接壤处的边缘，根据地下水含水介质的性质，将该县地下水分为碳酸盐岩类岩溶水和松散岩类空隙水两大类。前者主要在县内东南部的候庄一带（隐伏）分布，范围较小；后者（第三系、第四系松散岩类）分布范围广，厚度大，蕴藏着丰富的孔隙水，是最具供水意义的地下水类型。根据地下水动力特征和含水层分布，孔隙水大致可分为三层，其中50m以上为潜水、微承压水的浅层含水层；50～80m为微承压中层含水层，该含水砂层不甚发育，富水性较弱，粘土层厚度大且分布稳定，可视为浅、深层地下水的隔水层；80m以下为深层承压孔隙水含水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①浅层孔隙水埋深小于50m，含水岩性主要为细砂及砂土夹钙质结核层，以粉砂最广，一般3～4m，总厚度为8～15m，各层间无良好隔水层。水位降至6m 时的单井出水量一般为30～50m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/h。新城镇至索镇及果里镇东南部含水层透水性较强，岩性为细砂、粉砂，局部有中粗砂及砾石，其厚度大于10m，单井出水量为60～100m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/h。侯庄一带有一古河道，宽1km，沉积粗砂砾石层，埋深在20m 左右，单层厚度3m，水位深度3～4m。古河道中心，部分富水性好，降深6m时，单井出水量达150m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/h。河流未波及的河间地区，含水层岩性一般由粗砂或粘土夹砾石组成。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②中层承压水埋深大于50～150m，含水层岩性以细砂为主，中砂及砾石次之，一般2～3层，钻孔涌水量为12m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/h 左右。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③深层承压水埋深大于150m，含水层岩性以中砂为主，粗砂及细砂次之。钻孔揭示300m内，淡水含水层一般有13层，总厚度为45～70m。砂层之间粘土相隔，属承压水。新城以东，起凤以南地区为自流水，水头高度一般高出地面5m左右，天然流量为10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/h。</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（2）地下水水位及季节变化、运动方向</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境内地下水水位变化，有明显的季节性。一般年景随汛期到来，灌溉用水量的减少，地下水位缓慢上升。随晚春或晚秋的来临，用水量的增加而逐渐下降。据观测，全县平均地下水埋深以3月份最小，为2.45m；10月份最大，为5.02m，年平均3.02m。3～7月份为全县集中开采期，水位明显下降。小庞至前大王，侯庄至果里，索镇的绪河两岸和耿桥—带，出现局部漏斗区。西分洪河、南干渠以南地区，地下水位等值线呈平行排列，密度较大，地下水力坡度为1/700～1/800，流向自南而北和自西南向东北；北部湖区地下水位等值线很稀，且不规则，水力坡度在1/1000以上，地下水流向不定。全县平均地下水位从24m到5m，相差19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（3）地下水的矿化度</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境内地下水矿化度小于0.5g/L的淡水面积为86831亩，占总面积的11.36%；0.5～2g/L的弱矿化度水面积为639470亩，占83.67%；2～5g/L的中矿化度水面积为37988亩，占4.97%。</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（4）地下水含氟量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桓台县属于髙氟区，最高含氟量为6.6mg/L。全县343个村，只有39个村的水井达到饮水标准。含氟量小于1mg/L 的主要分布于新城镇西北部，陈庄、马桥2乡的西部，小清河南岸，田庄镇驻地附近，侯庄乡的三龙、玉皇阁，索镇的刘茅、张茅，周家乡的苇河、沈家等地。含氟量大于3mg/L 的地区，在邢家乡东部和耿桥乡西部。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目前，桓台县地下水开采强度较大，浅层及深层地下水均已超采，在城区和中部地区己形成以东、西猪龙河为分水岭的三个降落漏斗，根据项目区实地调查结果，地下水埋深深达100m左右，只靠当地水资源，已不能保障经济快速发展，为此桓台县将实施引黄河水措施，来满足其工农业持续发展用水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另外，根据《淄博市水资源保护规划》，桓台县饮用水水源为埋藏深度在150m以下的淡水，其浅层水一般不作为饮用水水源。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项目厂址区域周围水文地质图见图</w:t>
      </w:r>
      <w:r>
        <w:rPr>
          <w:rFonts w:hint="eastAsia" w:ascii="Times New Roman" w:hAnsi="Times New Roman"/>
          <w:sz w:val="24"/>
          <w:szCs w:val="24"/>
          <w:lang w:val="en-US" w:eastAsia="zh-CN"/>
        </w:rPr>
        <w:t>5</w:t>
      </w:r>
      <w:r>
        <w:rPr>
          <w:rFonts w:hint="default" w:ascii="Times New Roman" w:hAnsi="Times New Roman"/>
          <w:sz w:val="24"/>
          <w:szCs w:val="24"/>
          <w:lang w:val="en-US" w:eastAsia="zh-CN"/>
        </w:rPr>
        <w:t>.1-2。</w:t>
      </w:r>
    </w:p>
    <w:p>
      <w:pPr>
        <w:bidi w:val="0"/>
        <w:rPr>
          <w:rFonts w:hint="default" w:ascii="Times New Roman" w:hAnsi="Times New Roman"/>
          <w:sz w:val="24"/>
          <w:szCs w:val="24"/>
          <w:lang w:val="en-US" w:eastAsia="zh-CN"/>
        </w:rPr>
        <w:sectPr>
          <w:headerReference r:id="rId7" w:type="default"/>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5"/>
      </w:pPr>
      <w:r>
        <w:drawing>
          <wp:inline distT="0" distB="0" distL="114300" distR="114300">
            <wp:extent cx="8862695" cy="4435475"/>
            <wp:effectExtent l="0" t="0" r="14605" b="3175"/>
            <wp:docPr id="18" name="图片 5" descr="C:\Users\Administrator\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descr="C:\Users\Administrator\Desktop\图片2.png图片2"/>
                    <pic:cNvPicPr>
                      <a:picLocks noChangeAspect="1"/>
                    </pic:cNvPicPr>
                  </pic:nvPicPr>
                  <pic:blipFill>
                    <a:blip r:embed="rId93"/>
                    <a:srcRect/>
                    <a:stretch>
                      <a:fillRect/>
                    </a:stretch>
                  </pic:blipFill>
                  <pic:spPr>
                    <a:xfrm>
                      <a:off x="0" y="0"/>
                      <a:ext cx="8862695" cy="4435475"/>
                    </a:xfrm>
                    <a:prstGeom prst="rect">
                      <a:avLst/>
                    </a:prstGeom>
                    <a:noFill/>
                    <a:ln>
                      <a:noFill/>
                    </a:ln>
                  </pic:spPr>
                </pic:pic>
              </a:graphicData>
            </a:graphic>
          </wp:inline>
        </w:drawing>
      </w:r>
    </w:p>
    <w:p>
      <w:pPr>
        <w:pStyle w:val="5"/>
        <w:jc w:val="center"/>
        <w:rPr>
          <w:rFonts w:hint="default"/>
          <w:b/>
          <w:bCs/>
          <w:sz w:val="24"/>
          <w:szCs w:val="24"/>
          <w:lang w:val="en-US" w:eastAsia="zh-CN"/>
        </w:rPr>
        <w:sectPr>
          <w:headerReference r:id="rId9" w:type="default"/>
          <w:footerReference r:id="rId10"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b/>
          <w:bCs/>
          <w:sz w:val="24"/>
          <w:szCs w:val="24"/>
          <w:lang w:val="en-US" w:eastAsia="zh-CN"/>
        </w:rPr>
        <w:t>图</w:t>
      </w:r>
      <w:r>
        <w:rPr>
          <w:rFonts w:hint="eastAsia" w:ascii="Times New Roman" w:hAnsi="Times New Roman" w:cs="Times New Roman"/>
          <w:b/>
          <w:bCs/>
          <w:sz w:val="24"/>
          <w:szCs w:val="24"/>
          <w:lang w:val="en-US" w:eastAsia="zh-CN"/>
        </w:rPr>
        <w:t>5.1</w:t>
      </w:r>
      <w:r>
        <w:rPr>
          <w:rFonts w:hint="default" w:ascii="Times New Roman" w:hAnsi="Times New Roman" w:cs="Times New Roman"/>
          <w:b/>
          <w:bCs/>
          <w:sz w:val="24"/>
          <w:szCs w:val="24"/>
          <w:lang w:val="en-US" w:eastAsia="zh-CN"/>
        </w:rPr>
        <w:t>-2</w:t>
      </w:r>
      <w:r>
        <w:rPr>
          <w:rFonts w:hint="default"/>
          <w:b/>
          <w:bCs/>
          <w:sz w:val="24"/>
          <w:szCs w:val="24"/>
          <w:lang w:val="en-US" w:eastAsia="zh-CN"/>
        </w:rPr>
        <w:t xml:space="preserve"> 项目所在区域水文地质图</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eastAsia"/>
          <w:b/>
          <w:bCs/>
          <w:sz w:val="24"/>
          <w:szCs w:val="24"/>
          <w:lang w:val="en-US" w:eastAsia="zh-CN"/>
        </w:rPr>
        <w:t>生态环境</w:t>
      </w:r>
    </w:p>
    <w:p>
      <w:pPr>
        <w:pStyle w:val="5"/>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1、</w:t>
      </w:r>
      <w:r>
        <w:rPr>
          <w:rFonts w:hint="eastAsia" w:ascii="Times New Roman" w:hAnsi="Times New Roman" w:cs="Times New Roman"/>
          <w:sz w:val="24"/>
          <w:szCs w:val="24"/>
          <w:lang w:val="en-US" w:eastAsia="zh-CN"/>
        </w:rPr>
        <w:t>动植物</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境内生物资源种类较多，以野生经济植物的利用价值最大，以草本植物种类居多。</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（1）野生植物</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野生植物按其经济价值和用途，分为7大类，近300种：</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①淀粉糖类植物 境内野生淀粉糖类植物较多，比较重要的有菖蒲、山药、地环、槐树、芦苇、菱白、莲子等，遍布全县沟头崖岭和湖区。它们含有大量淀粉及糖类物质，可作酿造、制糖、制胶、制药及其他工业原料等。</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②油脂类植物境内分布很普遍，比较重要的有臭椿、刺槐、枫杨、菟丝子、苍耳子、车前子、黄须菜、芍药、蒺藜、碱篷、大麻、君迁子等，它们的种子含油率比较高，用途亦较广。</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③纤维类植物境内野生纤维植物很多，其中可供纺织的有罗布麻、野荫等，分布广，数量多，出麻率高，纤维细长（相当于80支的细羊毛），拉力强（约等于棉纤维的3～8倍），纤维洁白、柔软，可作纺织及高级纸原料。</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④芳香油类植物境内分布广，产量大，含挥发油多，可作食品及化妆品工业原料。</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⑤鞣质植物境内主要有线菊、君迁子、酸枣、皂角树等，为拷胶的重要原料，主要用于鞣草、染鱼网、软化蒸气机及工业锅炉水中的金属盐。</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⑥植物性药材境内有泽兰、薄荷、益母草、半夏、槐花、苍术等261种植物中药材，主要分布在马踏湖及中部、北部平原、洼地，南部缓岗地区分布较少。</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⑦水生维管束植物 湖区有47种，分隶于2门、20科、30属，主要优势种类有芦苇、莲藕、槐叶萍、紫背浮萍、苦草、黑藻、眼子菜、菹草等，前几种多分布于北部水域，后几种多生长于南部水域的沟渠、河道中。</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（2）野生动物</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境内野生动物主要有兽类、鸟类、昆虫类、爬行类：</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①兽类主要有野兔、山狸、獾、黄鼠狼、地猴、狐狸、刺猬，为目前常见兽类。</w:t>
      </w:r>
    </w:p>
    <w:p>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②鸟类主要有13目、32科、148种，其中旅鸟73种，夏鸟39种、冬鸟18种，留鸟18种。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③动物性药材土元、鸡合皮、狗鞭、蚕衣、蝉蜕、蜂房、夜明砂、蚕沙、姜蚕、子河车、宝月砂、蛇蜕、蟋蟀、牡蛎、虻虫、地龙、鳖、甲鱼、鳝鱼等。</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④软体动物有螺类（田螺、湖螺、耳状罗卜螺、乌螺、钉螺、扁螺等），蚌类（杜氏蚌、长蚌、园蚌、淡水壳菜等）两大类。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经调查，</w:t>
      </w:r>
      <w:r>
        <w:rPr>
          <w:rFonts w:hint="eastAsia" w:ascii="Times New Roman" w:hAnsi="Times New Roman"/>
          <w:sz w:val="24"/>
          <w:szCs w:val="24"/>
          <w:lang w:val="en-US" w:eastAsia="zh-CN"/>
        </w:rPr>
        <w:t>本项目</w:t>
      </w:r>
      <w:r>
        <w:rPr>
          <w:rFonts w:hint="default" w:ascii="Times New Roman" w:hAnsi="Times New Roman"/>
          <w:sz w:val="24"/>
          <w:szCs w:val="24"/>
          <w:lang w:val="en-US" w:eastAsia="zh-CN"/>
        </w:rPr>
        <w:t>区域内没有受国家保护的珍惜濒危动植物资源。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2、土壤</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桓台县境内地势平坦，土质肥沃，是山东省的主要商品粮生产基地，素有“鲁中粮仓”的美誉。</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境内地势南高北低，缓岗占全县总面积的5.5%，平原占49.4%，洼地占45.1%，平均海拔6.5～29.5m，南部、中部为土壤肥沃的微斜平原，占总面积的75.62%，北部为马踏湖旅游区，占全县总面积的24.38%，全县主要土壤类型为褐土、砂姜黑土和潮土三大类，其中褐土土类面积为20065公顷，占49.7%，广泛分别在县境中南部地区；砂姜黑土土类面积为11050公顷，占27.04%，不规则的分布在三湖、八洼；潮土土类面积为9203公顷，占22.84%，主要分布在县境北部，是典型的华北农业区。</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eastAsia"/>
          <w:b/>
          <w:bCs/>
          <w:sz w:val="24"/>
          <w:szCs w:val="24"/>
          <w:lang w:val="en-US" w:eastAsia="zh-CN"/>
        </w:rPr>
        <w:t>地震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根据《中国地震动参数区划图》（GB18306-2001）确定，该区抗震设防烈度为7度，设计基本地震加速度值为0.1～0.15g。</w:t>
      </w: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6" w:name="_Toc20071"/>
      <w:bookmarkStart w:id="7" w:name="_Toc1213"/>
      <w:r>
        <w:rPr>
          <w:rFonts w:hint="eastAsia" w:ascii="Times New Roman" w:hAnsi="Times New Roman" w:eastAsia="宋体" w:cs="Times New Roman"/>
          <w:lang w:val="en-US" w:eastAsia="zh-CN"/>
        </w:rPr>
        <w:t>5</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3</w:t>
      </w:r>
      <w:r>
        <w:rPr>
          <w:rFonts w:hint="eastAsia" w:ascii="宋体" w:hAnsi="宋体" w:eastAsia="宋体" w:cs="宋体"/>
          <w:lang w:val="en-US" w:eastAsia="zh-CN"/>
        </w:rPr>
        <w:t>社会经济环境</w:t>
      </w:r>
      <w:bookmarkEnd w:id="6"/>
      <w:bookmarkEnd w:id="7"/>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b/>
          <w:bCs/>
          <w:sz w:val="24"/>
          <w:szCs w:val="24"/>
          <w:lang w:val="en-US" w:eastAsia="zh-CN"/>
        </w:rPr>
        <w:t>桓台县社会经济概况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桓台县地处鲁中平原，县域总面积509平方公里，辖8个镇、1个街道办事处、2个省级经济园区，335个行政村、13个城市社区，是全国百强县、全国文明县城。</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桓台历史悠久，早在4000年前就出现了人类文明，境内史家遗址出土了中国迄今最早的甲骨文。公元前206年设县，1228年置新城县，1914年因境内有齐桓公戏马台，更名为“桓台县”至今。</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桓台文化积淀深厚，出生于桓台新城的清初诗坛领袖王渔洋，不但因其清正廉洁被誉为“一代廉吏”，更因创立“神韵说”被誉为“一代正宗”，王渔洋故里景区现为国家4A级景区。县境北部方圆100平方公里的马踏湖，相传为春秋首霸齐桓公会盟诸侯马踏成湖，现为国家级湿地公园。</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桓台是全国闻名的“吨粮首县”和“建筑之乡”，相继建成了江北第一个“吨粮县”、小麦千斤县、双千县，建筑业连年稳居全省十强县之首。自上世纪九十年代起，工业成为桓台的支柱产业。目前，淄博东岳经济开发区、桓台经济开发区、马桥产业园三大园区占全县经济总量比重超过80%，15种产品形成国内同行业最大产能。桓台县被授予“中国膜谷”称号，淄博东岳经济开发区着力打造千亿级氟硅材料产业基地。</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lang w:val="en-US" w:eastAsia="zh-CN"/>
        </w:rPr>
      </w:pPr>
      <w:r>
        <w:rPr>
          <w:rFonts w:hint="eastAsia" w:ascii="Times New Roman" w:hAnsi="Times New Roman"/>
          <w:sz w:val="24"/>
          <w:szCs w:val="24"/>
          <w:lang w:val="en-US" w:eastAsia="zh-CN"/>
        </w:rPr>
        <w:t>近年来，桓台县深入学习贯彻习近平新时代中国特色社会主义思想和党的十九大精神，以党建为统领，突出工业强县、文化旅游、生态文明、城乡融合等重点工作，认真较真、狠抓落实，实干苦干、永争一流，经济社会保持平稳健康发展的良好态势。</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2018年10月，入选2018年度全国投资潜力百强县市、全国绿色发展百强县市、全国科技创新百强县市、全国新型城镇化质量百强县市。 2018年11月，入选2018年工业百强县（市）。 2018年12月，入选全国县域经济综合竞争力100强。 2019年10月8日，被评为2019年度全国综合实力百强县市、2019年全国科技创新百强县市、 2019年度全国新型城镇化质量百强县市 。第二批国家农产品质量安全县。 2020年山东省四星级新型智慧城市建设预试点城市。2020年12月，入选全国县域经济综合竞争力100强。</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b/>
          <w:bCs/>
          <w:sz w:val="24"/>
          <w:szCs w:val="24"/>
          <w:lang w:val="en-US" w:eastAsia="zh-CN"/>
        </w:rPr>
        <w:t>马桥镇社会经济概况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位于桓台县西北部，地处东经</w:t>
      </w:r>
      <w:r>
        <w:rPr>
          <w:rFonts w:hint="default" w:ascii="Times New Roman" w:hAnsi="Times New Roman" w:cs="Times New Roman"/>
          <w:sz w:val="24"/>
          <w:szCs w:val="24"/>
          <w:lang w:val="en-US" w:eastAsia="zh-CN"/>
        </w:rPr>
        <w:t>117°49'—117°54'</w:t>
      </w:r>
      <w:r>
        <w:rPr>
          <w:rFonts w:hint="eastAsia" w:ascii="Times New Roman" w:hAnsi="Times New Roman"/>
          <w:sz w:val="24"/>
          <w:szCs w:val="24"/>
          <w:lang w:val="en-US" w:eastAsia="zh-CN"/>
        </w:rPr>
        <w:t>，北纬</w:t>
      </w:r>
      <w:r>
        <w:rPr>
          <w:rFonts w:hint="default" w:ascii="Times New Roman" w:hAnsi="Times New Roman" w:cs="Times New Roman"/>
          <w:sz w:val="24"/>
          <w:szCs w:val="24"/>
          <w:lang w:val="en-US" w:eastAsia="zh-CN"/>
        </w:rPr>
        <w:t>37°02'—37°04'</w:t>
      </w:r>
      <w:r>
        <w:rPr>
          <w:rFonts w:hint="eastAsia" w:ascii="Times New Roman" w:hAnsi="Times New Roman"/>
          <w:sz w:val="24"/>
          <w:szCs w:val="24"/>
          <w:lang w:val="en-US" w:eastAsia="zh-CN"/>
        </w:rPr>
        <w:t>之间，北邻小清河，与高青县接壤，西部与邹平县接壤，张田路横贯南北，小清河贯穿东西。镇域面积79.12平方公里，总人口6.3万人，辖52个行政村。马桥镇坚持以产业园区建设为中心，把握新生小城市建设和社会管理服务能力提升工作主线，以建设绿色化工新城和生态宜居小城市为目标，全力推动了镇域经济的快速发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先后被列为全国重点镇、全国文明村镇、全国高水平综合发展镇、全国深化投融资搞个试点镇、山东省首批行政管理体制改革试点镇、全省“百镇建设示范行动”示范镇、全省十个新生小城市建设试点镇。</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eastAsia"/>
          <w:b/>
          <w:bCs/>
          <w:sz w:val="24"/>
          <w:szCs w:val="24"/>
          <w:lang w:val="en-US" w:eastAsia="zh-CN"/>
        </w:rPr>
        <w:t>项目周围环境状况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项目位于桓台县马桥镇化工产业园区山东博汇纸业股份有限公司内。项目周围近距离范围内主要分布着其它企业，主要有山东天源热电有限公司、山东国金化工有限公司、山东海力化工股份有限公司。周围主要单位分布及周边社会关系见表5.3-1及图5.3-3。</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b/>
          <w:bCs/>
          <w:sz w:val="24"/>
          <w:szCs w:val="24"/>
          <w:lang w:val="en-US" w:eastAsia="zh-CN"/>
        </w:rPr>
      </w:pPr>
      <w:r>
        <w:rPr>
          <w:rFonts w:hint="eastAsia"/>
          <w:b/>
          <w:bCs/>
          <w:sz w:val="24"/>
          <w:szCs w:val="24"/>
          <w:lang w:val="en-US" w:eastAsia="zh-CN"/>
        </w:rPr>
        <w:t>表</w:t>
      </w:r>
      <w:r>
        <w:rPr>
          <w:rFonts w:hint="default" w:ascii="Times New Roman" w:hAnsi="Times New Roman" w:cs="Times New Roman"/>
          <w:b/>
          <w:bCs/>
          <w:sz w:val="24"/>
          <w:szCs w:val="24"/>
          <w:lang w:val="en-US" w:eastAsia="zh-CN"/>
        </w:rPr>
        <w:t>5.3-1</w:t>
      </w:r>
      <w:r>
        <w:rPr>
          <w:rFonts w:hint="eastAsia"/>
          <w:b/>
          <w:bCs/>
          <w:sz w:val="24"/>
          <w:szCs w:val="24"/>
          <w:lang w:val="en-US" w:eastAsia="zh-CN"/>
        </w:rPr>
        <w:t xml:space="preserve"> 项目周围相关单位</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9"/>
        <w:gridCol w:w="4980"/>
        <w:gridCol w:w="1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439" w:type="dxa"/>
            <w:vAlign w:val="center"/>
          </w:tcPr>
          <w:p>
            <w:pPr>
              <w:bidi w:val="0"/>
              <w:jc w:val="center"/>
              <w:rPr>
                <w:rFonts w:hint="default"/>
                <w:lang w:val="en-US" w:eastAsia="zh-CN"/>
              </w:rPr>
            </w:pPr>
            <w:r>
              <w:rPr>
                <w:rFonts w:hint="eastAsia"/>
                <w:lang w:val="en-US" w:eastAsia="zh-CN"/>
              </w:rPr>
              <w:t>序号</w:t>
            </w:r>
          </w:p>
        </w:tc>
        <w:tc>
          <w:tcPr>
            <w:tcW w:w="4980" w:type="dxa"/>
            <w:vAlign w:val="center"/>
          </w:tcPr>
          <w:p>
            <w:pPr>
              <w:bidi w:val="0"/>
              <w:jc w:val="center"/>
              <w:rPr>
                <w:rFonts w:hint="default"/>
                <w:lang w:val="en-US" w:eastAsia="zh-CN"/>
              </w:rPr>
            </w:pPr>
            <w:r>
              <w:rPr>
                <w:rFonts w:hint="eastAsia"/>
                <w:lang w:val="en-US" w:eastAsia="zh-CN"/>
              </w:rPr>
              <w:t>目标</w:t>
            </w:r>
          </w:p>
        </w:tc>
        <w:tc>
          <w:tcPr>
            <w:tcW w:w="1879" w:type="dxa"/>
            <w:vAlign w:val="center"/>
          </w:tcPr>
          <w:p>
            <w:pPr>
              <w:bidi w:val="0"/>
              <w:jc w:val="center"/>
              <w:rPr>
                <w:rFonts w:hint="eastAsia"/>
                <w:lang w:val="en-US" w:eastAsia="zh-CN"/>
              </w:rPr>
            </w:pPr>
            <w:r>
              <w:rPr>
                <w:rFonts w:hint="eastAsia"/>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439" w:type="dxa"/>
            <w:vAlign w:val="center"/>
          </w:tcPr>
          <w:p>
            <w:pPr>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4980" w:type="dxa"/>
            <w:vAlign w:val="center"/>
          </w:tcPr>
          <w:p>
            <w:pPr>
              <w:bidi w:val="0"/>
              <w:jc w:val="center"/>
              <w:rPr>
                <w:rFonts w:hint="eastAsia"/>
                <w:lang w:val="en-US" w:eastAsia="zh-CN"/>
              </w:rPr>
            </w:pPr>
            <w:r>
              <w:rPr>
                <w:rFonts w:hint="eastAsia"/>
                <w:lang w:val="en-US" w:eastAsia="zh-CN"/>
              </w:rPr>
              <w:t>山东天源热电有限公司</w:t>
            </w:r>
          </w:p>
        </w:tc>
        <w:tc>
          <w:tcPr>
            <w:tcW w:w="1879" w:type="dxa"/>
            <w:vAlign w:val="center"/>
          </w:tcPr>
          <w:p>
            <w:pPr>
              <w:bidi w:val="0"/>
              <w:jc w:val="center"/>
              <w:rPr>
                <w:rFonts w:hint="default"/>
                <w:lang w:val="en-US" w:eastAsia="zh-CN"/>
              </w:rPr>
            </w:pPr>
            <w:r>
              <w:rPr>
                <w:rFonts w:hint="eastAsia"/>
                <w:lang w:val="en-US" w:eastAsia="zh-CN"/>
              </w:rPr>
              <w:t>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439" w:type="dxa"/>
            <w:vAlign w:val="center"/>
          </w:tcPr>
          <w:p>
            <w:pPr>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2</w:t>
            </w:r>
          </w:p>
        </w:tc>
        <w:tc>
          <w:tcPr>
            <w:tcW w:w="4980" w:type="dxa"/>
            <w:vAlign w:val="center"/>
          </w:tcPr>
          <w:p>
            <w:pPr>
              <w:bidi w:val="0"/>
              <w:jc w:val="center"/>
              <w:rPr>
                <w:rFonts w:hint="eastAsia"/>
                <w:lang w:val="en-US" w:eastAsia="zh-CN"/>
              </w:rPr>
            </w:pPr>
            <w:r>
              <w:rPr>
                <w:rFonts w:hint="eastAsia"/>
                <w:lang w:val="en-US" w:eastAsia="zh-CN"/>
              </w:rPr>
              <w:t>山东国金化工有限公司</w:t>
            </w:r>
          </w:p>
        </w:tc>
        <w:tc>
          <w:tcPr>
            <w:tcW w:w="1879" w:type="dxa"/>
            <w:vAlign w:val="center"/>
          </w:tcPr>
          <w:p>
            <w:pPr>
              <w:bidi w:val="0"/>
              <w:jc w:val="center"/>
              <w:rPr>
                <w:rFonts w:hint="eastAsia"/>
                <w:lang w:val="en-US" w:eastAsia="zh-CN"/>
              </w:rPr>
            </w:pPr>
            <w:r>
              <w:rPr>
                <w:rFonts w:hint="eastAsia"/>
                <w:lang w:val="en-US" w:eastAsia="zh-CN"/>
              </w:rPr>
              <w:t>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439" w:type="dxa"/>
            <w:vAlign w:val="center"/>
          </w:tcPr>
          <w:p>
            <w:pPr>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3</w:t>
            </w:r>
          </w:p>
        </w:tc>
        <w:tc>
          <w:tcPr>
            <w:tcW w:w="4980" w:type="dxa"/>
            <w:vAlign w:val="center"/>
          </w:tcPr>
          <w:p>
            <w:pPr>
              <w:bidi w:val="0"/>
              <w:jc w:val="center"/>
              <w:rPr>
                <w:rFonts w:hint="eastAsia"/>
                <w:lang w:val="en-US" w:eastAsia="zh-CN"/>
              </w:rPr>
            </w:pPr>
            <w:r>
              <w:rPr>
                <w:rFonts w:hint="eastAsia"/>
                <w:lang w:val="en-US" w:eastAsia="zh-CN"/>
              </w:rPr>
              <w:t>山东海力化工股份有限公司</w:t>
            </w:r>
          </w:p>
        </w:tc>
        <w:tc>
          <w:tcPr>
            <w:tcW w:w="1879" w:type="dxa"/>
            <w:vAlign w:val="center"/>
          </w:tcPr>
          <w:p>
            <w:pPr>
              <w:bidi w:val="0"/>
              <w:jc w:val="center"/>
              <w:rPr>
                <w:rFonts w:hint="eastAsia"/>
                <w:lang w:val="en-US" w:eastAsia="zh-CN"/>
              </w:rPr>
            </w:pPr>
            <w:r>
              <w:rPr>
                <w:rFonts w:hint="eastAsia"/>
                <w:lang w:val="en-US" w:eastAsia="zh-CN"/>
              </w:rPr>
              <w:t>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439" w:type="dxa"/>
            <w:vAlign w:val="center"/>
          </w:tcPr>
          <w:p>
            <w:pPr>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4</w:t>
            </w:r>
          </w:p>
        </w:tc>
        <w:tc>
          <w:tcPr>
            <w:tcW w:w="4980" w:type="dxa"/>
            <w:vAlign w:val="center"/>
          </w:tcPr>
          <w:p>
            <w:pPr>
              <w:bidi w:val="0"/>
              <w:jc w:val="center"/>
              <w:rPr>
                <w:rFonts w:hint="default"/>
                <w:lang w:val="en-US" w:eastAsia="zh-CN"/>
              </w:rPr>
            </w:pPr>
            <w:r>
              <w:rPr>
                <w:rFonts w:hint="eastAsia"/>
                <w:lang w:val="en-US" w:eastAsia="zh-CN"/>
              </w:rPr>
              <w:t>山东金城石化有限公司</w:t>
            </w:r>
          </w:p>
        </w:tc>
        <w:tc>
          <w:tcPr>
            <w:tcW w:w="1879" w:type="dxa"/>
            <w:vAlign w:val="center"/>
          </w:tcPr>
          <w:p>
            <w:pPr>
              <w:bidi w:val="0"/>
              <w:jc w:val="center"/>
              <w:rPr>
                <w:rFonts w:hint="default"/>
                <w:lang w:val="en-US" w:eastAsia="zh-CN"/>
              </w:rPr>
            </w:pPr>
            <w:r>
              <w:rPr>
                <w:rFonts w:hint="eastAsia"/>
                <w:lang w:val="en-US" w:eastAsia="zh-CN"/>
              </w:rPr>
              <w:t>企业</w:t>
            </w:r>
          </w:p>
        </w:tc>
      </w:tr>
    </w:tbl>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eastAsia" w:ascii="Times New Roman" w:hAnsi="Times New Roman" w:eastAsia="宋体" w:cs="Times New Roman"/>
          <w:lang w:val="en-US" w:eastAsia="zh-CN"/>
        </w:rPr>
      </w:pPr>
    </w:p>
    <w:p>
      <w:pPr>
        <w:bidi w:val="0"/>
        <w:rPr>
          <w:rFonts w:hint="eastAsia" w:ascii="Times New Roman" w:hAnsi="Times New Roman" w:eastAsia="宋体" w:cs="Times New Roman"/>
          <w:lang w:val="en-US" w:eastAsia="zh-CN"/>
        </w:rPr>
      </w:pPr>
      <w:r>
        <w:rPr>
          <w:sz w:val="32"/>
        </w:rPr>
        <mc:AlternateContent>
          <mc:Choice Requires="wps">
            <w:drawing>
              <wp:anchor distT="0" distB="0" distL="114300" distR="114300" simplePos="0" relativeHeight="251688960" behindDoc="0" locked="0" layoutInCell="1" allowOverlap="1">
                <wp:simplePos x="0" y="0"/>
                <wp:positionH relativeFrom="column">
                  <wp:posOffset>4481195</wp:posOffset>
                </wp:positionH>
                <wp:positionV relativeFrom="paragraph">
                  <wp:posOffset>2681605</wp:posOffset>
                </wp:positionV>
                <wp:extent cx="786130" cy="208915"/>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786130" cy="208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textAlignment w:val="auto"/>
                              <w:rPr>
                                <w:rFonts w:hint="default" w:eastAsia="宋体"/>
                                <w:sz w:val="11"/>
                                <w:szCs w:val="11"/>
                                <w:lang w:val="en-US" w:eastAsia="zh-CN"/>
                              </w:rPr>
                            </w:pPr>
                            <w:r>
                              <w:rPr>
                                <w:rFonts w:hint="eastAsia"/>
                                <w:b/>
                                <w:bCs/>
                                <w:sz w:val="13"/>
                                <w:szCs w:val="13"/>
                                <w:lang w:val="en-US" w:eastAsia="zh-CN"/>
                              </w:rPr>
                              <w:t>山东国金化工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2.85pt;margin-top:211.15pt;height:16.45pt;width:61.9pt;z-index:251688960;mso-width-relative:page;mso-height-relative:page;" filled="f" stroked="f" coordsize="21600,21600" o:gfxdata="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kKSc3AAAAAsBAAAPAAAAAAAAAAEAIAAAACIAAABkcnMvZG93bnJldi54bWxQSwECFAAUAAAACACH&#10;TuJAHwhfBiACAAAZBAAADgAAAAAAAAABACAAAAArAQAAZHJzL2Uyb0RvYy54bWxQSwUGAAAAAAYA&#10;BgBZAQAAv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textAlignment w:val="auto"/>
                        <w:rPr>
                          <w:rFonts w:hint="default" w:eastAsia="宋体"/>
                          <w:sz w:val="11"/>
                          <w:szCs w:val="11"/>
                          <w:lang w:val="en-US" w:eastAsia="zh-CN"/>
                        </w:rPr>
                      </w:pPr>
                      <w:r>
                        <w:rPr>
                          <w:rFonts w:hint="eastAsia"/>
                          <w:b/>
                          <w:bCs/>
                          <w:sz w:val="13"/>
                          <w:szCs w:val="13"/>
                          <w:lang w:val="en-US" w:eastAsia="zh-CN"/>
                        </w:rPr>
                        <w:t>山东国金化工</w:t>
                      </w:r>
                    </w:p>
                  </w:txbxContent>
                </v:textbox>
              </v:shape>
            </w:pict>
          </mc:Fallback>
        </mc:AlternateContent>
      </w:r>
      <w:r>
        <w:rPr>
          <w:sz w:val="32"/>
        </w:rPr>
        <mc:AlternateContent>
          <mc:Choice Requires="wps">
            <w:drawing>
              <wp:anchor distT="0" distB="0" distL="114300" distR="114300" simplePos="0" relativeHeight="251687936" behindDoc="0" locked="0" layoutInCell="1" allowOverlap="1">
                <wp:simplePos x="0" y="0"/>
                <wp:positionH relativeFrom="column">
                  <wp:posOffset>4489450</wp:posOffset>
                </wp:positionH>
                <wp:positionV relativeFrom="paragraph">
                  <wp:posOffset>2524125</wp:posOffset>
                </wp:positionV>
                <wp:extent cx="786130" cy="208915"/>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786130" cy="208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textAlignment w:val="auto"/>
                              <w:rPr>
                                <w:rFonts w:hint="default" w:eastAsia="宋体"/>
                                <w:sz w:val="11"/>
                                <w:szCs w:val="11"/>
                                <w:lang w:val="en-US" w:eastAsia="zh-CN"/>
                              </w:rPr>
                            </w:pPr>
                            <w:r>
                              <w:rPr>
                                <w:rFonts w:hint="eastAsia"/>
                                <w:b/>
                                <w:bCs/>
                                <w:sz w:val="13"/>
                                <w:szCs w:val="13"/>
                                <w:lang w:val="en-US" w:eastAsia="zh-CN"/>
                              </w:rPr>
                              <w:t>山东海利化工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5pt;margin-top:198.75pt;height:16.45pt;width:61.9pt;z-index:251687936;mso-width-relative:page;mso-height-relative:page;" filled="f" stroked="f" coordsize="21600,21600" o:gfxdata="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K&#10;RMED3QAAAAsBAAAPAAAAAAAAAAEAIAAAACIAAABkcnMvZG93bnJldi54bWxQSwECFAAUAAAACACH&#10;TuJAWn6E8R8CAAAZBAAADgAAAAAAAAABACAAAAAsAQAAZHJzL2Uyb0RvYy54bWxQSwUGAAAAAAYA&#10;BgBZAQAAv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textAlignment w:val="auto"/>
                        <w:rPr>
                          <w:rFonts w:hint="default" w:eastAsia="宋体"/>
                          <w:sz w:val="11"/>
                          <w:szCs w:val="11"/>
                          <w:lang w:val="en-US" w:eastAsia="zh-CN"/>
                        </w:rPr>
                      </w:pPr>
                      <w:r>
                        <w:rPr>
                          <w:rFonts w:hint="eastAsia"/>
                          <w:b/>
                          <w:bCs/>
                          <w:sz w:val="13"/>
                          <w:szCs w:val="13"/>
                          <w:lang w:val="en-US" w:eastAsia="zh-CN"/>
                        </w:rPr>
                        <w:t>山东海利化工</w:t>
                      </w:r>
                    </w:p>
                  </w:txbxContent>
                </v:textbox>
              </v:shape>
            </w:pict>
          </mc:Fallback>
        </mc:AlternateContent>
      </w:r>
      <w:r>
        <w:rPr>
          <w:sz w:val="32"/>
        </w:rPr>
        <mc:AlternateContent>
          <mc:Choice Requires="wps">
            <w:drawing>
              <wp:anchor distT="0" distB="0" distL="114300" distR="114300" simplePos="0" relativeHeight="251686912" behindDoc="0" locked="0" layoutInCell="1" allowOverlap="1">
                <wp:simplePos x="0" y="0"/>
                <wp:positionH relativeFrom="column">
                  <wp:posOffset>4483735</wp:posOffset>
                </wp:positionH>
                <wp:positionV relativeFrom="paragraph">
                  <wp:posOffset>2367280</wp:posOffset>
                </wp:positionV>
                <wp:extent cx="786130" cy="208915"/>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786130" cy="208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textAlignment w:val="auto"/>
                              <w:rPr>
                                <w:rFonts w:hint="default" w:eastAsia="宋体"/>
                                <w:sz w:val="11"/>
                                <w:szCs w:val="11"/>
                                <w:lang w:val="en-US" w:eastAsia="zh-CN"/>
                              </w:rPr>
                            </w:pPr>
                            <w:r>
                              <w:rPr>
                                <w:rFonts w:hint="eastAsia"/>
                                <w:b/>
                                <w:bCs/>
                                <w:sz w:val="13"/>
                                <w:szCs w:val="13"/>
                                <w:lang w:val="en-US" w:eastAsia="zh-CN"/>
                              </w:rPr>
                              <w:t>山东天源热电</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05pt;margin-top:186.4pt;height:16.45pt;width:61.9pt;z-index:251686912;mso-width-relative:page;mso-height-relative:page;" filled="f" stroked="f" coordsize="21600,21600" o:gfxdata="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x&#10;hhyX3AAAAAsBAAAPAAAAAAAAAAEAIAAAACIAAABkcnMvZG93bnJldi54bWxQSwECFAAUAAAACACH&#10;TuJAAAFHGSACAAAZBAAADgAAAAAAAAABACAAAAArAQAAZHJzL2Uyb0RvYy54bWxQSwUGAAAAAAYA&#10;BgBZAQAAv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textAlignment w:val="auto"/>
                        <w:rPr>
                          <w:rFonts w:hint="default" w:eastAsia="宋体"/>
                          <w:sz w:val="11"/>
                          <w:szCs w:val="11"/>
                          <w:lang w:val="en-US" w:eastAsia="zh-CN"/>
                        </w:rPr>
                      </w:pPr>
                      <w:r>
                        <w:rPr>
                          <w:rFonts w:hint="eastAsia"/>
                          <w:b/>
                          <w:bCs/>
                          <w:sz w:val="13"/>
                          <w:szCs w:val="13"/>
                          <w:lang w:val="en-US" w:eastAsia="zh-CN"/>
                        </w:rPr>
                        <w:t>山东天源热电</w:t>
                      </w:r>
                    </w:p>
                  </w:txbxContent>
                </v:textbox>
              </v:shape>
            </w:pict>
          </mc:Fallback>
        </mc:AlternateContent>
      </w:r>
      <w:r>
        <w:rPr>
          <w:sz w:val="32"/>
        </w:rPr>
        <mc:AlternateContent>
          <mc:Choice Requires="wps">
            <w:drawing>
              <wp:anchor distT="0" distB="0" distL="114300" distR="114300" simplePos="0" relativeHeight="251685888" behindDoc="0" locked="0" layoutInCell="1" allowOverlap="1">
                <wp:simplePos x="0" y="0"/>
                <wp:positionH relativeFrom="column">
                  <wp:posOffset>4483100</wp:posOffset>
                </wp:positionH>
                <wp:positionV relativeFrom="paragraph">
                  <wp:posOffset>2188845</wp:posOffset>
                </wp:positionV>
                <wp:extent cx="786130" cy="208915"/>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786130" cy="208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textAlignment w:val="auto"/>
                              <w:rPr>
                                <w:rFonts w:hint="default" w:eastAsia="宋体"/>
                                <w:sz w:val="11"/>
                                <w:szCs w:val="11"/>
                                <w:lang w:val="en-US" w:eastAsia="zh-CN"/>
                              </w:rPr>
                            </w:pPr>
                            <w:r>
                              <w:rPr>
                                <w:rFonts w:hint="eastAsia"/>
                                <w:b/>
                                <w:bCs/>
                                <w:sz w:val="13"/>
                                <w:szCs w:val="13"/>
                                <w:lang w:val="en-US" w:eastAsia="zh-CN"/>
                              </w:rPr>
                              <w:t>山东博汇纸业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pt;margin-top:172.35pt;height:16.45pt;width:61.9pt;z-index:251685888;mso-width-relative:page;mso-height-relative:page;" filled="f" stroked="f" coordsize="21600,21600" o:gfxdata="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Od2&#10;rVjcAAAACwEAAA8AAAAAAAAAAQAgAAAAIgAAAGRycy9kb3ducmV2LnhtbFBLAQIUABQAAAAIAIdO&#10;4kCvhnP7HwIAABkEAAAOAAAAAAAAAAEAIAAAACsBAABkcnMvZTJvRG9jLnhtbFBLBQYAAAAABgAG&#10;AFkBAAC8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textAlignment w:val="auto"/>
                        <w:rPr>
                          <w:rFonts w:hint="default" w:eastAsia="宋体"/>
                          <w:sz w:val="11"/>
                          <w:szCs w:val="11"/>
                          <w:lang w:val="en-US" w:eastAsia="zh-CN"/>
                        </w:rPr>
                      </w:pPr>
                      <w:r>
                        <w:rPr>
                          <w:rFonts w:hint="eastAsia"/>
                          <w:b/>
                          <w:bCs/>
                          <w:sz w:val="13"/>
                          <w:szCs w:val="13"/>
                          <w:lang w:val="en-US" w:eastAsia="zh-CN"/>
                        </w:rPr>
                        <w:t>山东博汇纸业</w:t>
                      </w:r>
                    </w:p>
                  </w:txbxContent>
                </v:textbox>
              </v:shape>
            </w:pict>
          </mc:Fallback>
        </mc:AlternateContent>
      </w:r>
      <w:r>
        <w:rPr>
          <w:sz w:val="32"/>
        </w:rPr>
        <mc:AlternateContent>
          <mc:Choice Requires="wps">
            <w:drawing>
              <wp:anchor distT="0" distB="0" distL="114300" distR="114300" simplePos="0" relativeHeight="251684864" behindDoc="0" locked="0" layoutInCell="1" allowOverlap="1">
                <wp:simplePos x="0" y="0"/>
                <wp:positionH relativeFrom="column">
                  <wp:posOffset>4503420</wp:posOffset>
                </wp:positionH>
                <wp:positionV relativeFrom="paragraph">
                  <wp:posOffset>2024380</wp:posOffset>
                </wp:positionV>
                <wp:extent cx="561975" cy="208915"/>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561975" cy="208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textAlignment w:val="auto"/>
                              <w:rPr>
                                <w:rFonts w:hint="default" w:eastAsia="宋体"/>
                                <w:b/>
                                <w:bCs/>
                                <w:sz w:val="11"/>
                                <w:szCs w:val="11"/>
                                <w:lang w:val="en-US" w:eastAsia="zh-CN"/>
                              </w:rPr>
                            </w:pPr>
                            <w:r>
                              <w:rPr>
                                <w:rFonts w:hint="eastAsia"/>
                                <w:b/>
                                <w:bCs/>
                                <w:sz w:val="13"/>
                                <w:szCs w:val="13"/>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6pt;margin-top:159.4pt;height:16.45pt;width:44.25pt;z-index:251684864;mso-width-relative:page;mso-height-relative:page;" filled="f" stroked="f" coordsize="21600,21600" o:gfxdata="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3&#10;NdKW3AAAAAsBAAAPAAAAAAAAAAEAIAAAACIAAABkcnMvZG93bnJldi54bWxQSwECFAAUAAAACACH&#10;TuJAGia4nSACAAAZBAAADgAAAAAAAAABACAAAAArAQAAZHJzL2Uyb0RvYy54bWxQSwUGAAAAAAYA&#10;BgBZAQAAv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textAlignment w:val="auto"/>
                        <w:rPr>
                          <w:rFonts w:hint="default" w:eastAsia="宋体"/>
                          <w:b/>
                          <w:bCs/>
                          <w:sz w:val="11"/>
                          <w:szCs w:val="11"/>
                          <w:lang w:val="en-US" w:eastAsia="zh-CN"/>
                        </w:rPr>
                      </w:pPr>
                      <w:r>
                        <w:rPr>
                          <w:rFonts w:hint="eastAsia"/>
                          <w:b/>
                          <w:bCs/>
                          <w:sz w:val="13"/>
                          <w:szCs w:val="13"/>
                          <w:lang w:val="en-US" w:eastAsia="zh-CN"/>
                        </w:rPr>
                        <w:t>项目位置</w:t>
                      </w:r>
                    </w:p>
                  </w:txbxContent>
                </v:textbox>
              </v:shape>
            </w:pict>
          </mc:Fallback>
        </mc:AlternateContent>
      </w:r>
      <w:r>
        <w:rPr>
          <w:sz w:val="32"/>
        </w:rPr>
        <mc:AlternateContent>
          <mc:Choice Requires="wps">
            <w:drawing>
              <wp:anchor distT="0" distB="0" distL="114300" distR="114300" simplePos="0" relativeHeight="251683840" behindDoc="0" locked="0" layoutInCell="1" allowOverlap="1">
                <wp:simplePos x="0" y="0"/>
                <wp:positionH relativeFrom="column">
                  <wp:posOffset>4213225</wp:posOffset>
                </wp:positionH>
                <wp:positionV relativeFrom="paragraph">
                  <wp:posOffset>2739390</wp:posOffset>
                </wp:positionV>
                <wp:extent cx="262255" cy="83185"/>
                <wp:effectExtent l="5080" t="4445" r="18415" b="7620"/>
                <wp:wrapNone/>
                <wp:docPr id="59" name="矩形 59"/>
                <wp:cNvGraphicFramePr/>
                <a:graphic xmlns:a="http://schemas.openxmlformats.org/drawingml/2006/main">
                  <a:graphicData uri="http://schemas.microsoft.com/office/word/2010/wordprocessingShape">
                    <wps:wsp>
                      <wps:cNvSpPr/>
                      <wps:spPr>
                        <a:xfrm>
                          <a:off x="0" y="0"/>
                          <a:ext cx="262255" cy="83185"/>
                        </a:xfrm>
                        <a:prstGeom prst="rect">
                          <a:avLst/>
                        </a:prstGeom>
                        <a:solidFill>
                          <a:srgbClr val="00B050">
                            <a:alpha val="40000"/>
                          </a:srgbClr>
                        </a:solidFill>
                        <a:ln w="952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1.75pt;margin-top:215.7pt;height:6.55pt;width:20.65pt;z-index:251683840;v-text-anchor:middle;mso-width-relative:page;mso-height-relative:page;" fillcolor="#00B050" filled="t" stroked="t" coordsize="21600,21600" o:gfxdata="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UMZ3Z2AAAAAsBAAAPAAAAAAAAAAEAIAAAACIAAABkcnMvZG93bnJldi54bWxQSwECFAAU&#10;AAAACACHTuJAw3WUoGMCAADGBAAADgAAAAAAAAABACAAAAAnAQAAZHJzL2Uyb0RvYy54bWxQSwUG&#10;AAAAAAYABgBZAQAA/AUAAAAA&#10;">
                <v:fill on="t" opacity="26214f" focussize="0,0"/>
                <v:stroke color="#00B050 [3204]" miterlimit="8" joinstyle="miter"/>
                <v:imagedata o:title=""/>
                <o:lock v:ext="edit" aspectratio="f"/>
              </v:rect>
            </w:pict>
          </mc:Fallback>
        </mc:AlternateContent>
      </w:r>
      <w:r>
        <w:rPr>
          <w:sz w:val="32"/>
        </w:rPr>
        <mc:AlternateContent>
          <mc:Choice Requires="wps">
            <w:drawing>
              <wp:anchor distT="0" distB="0" distL="114300" distR="114300" simplePos="0" relativeHeight="251680768" behindDoc="0" locked="0" layoutInCell="1" allowOverlap="1">
                <wp:simplePos x="0" y="0"/>
                <wp:positionH relativeFrom="column">
                  <wp:posOffset>4213860</wp:posOffset>
                </wp:positionH>
                <wp:positionV relativeFrom="paragraph">
                  <wp:posOffset>2576830</wp:posOffset>
                </wp:positionV>
                <wp:extent cx="262255" cy="83185"/>
                <wp:effectExtent l="5080" t="4445" r="18415" b="7620"/>
                <wp:wrapNone/>
                <wp:docPr id="58" name="矩形 58"/>
                <wp:cNvGraphicFramePr/>
                <a:graphic xmlns:a="http://schemas.openxmlformats.org/drawingml/2006/main">
                  <a:graphicData uri="http://schemas.microsoft.com/office/word/2010/wordprocessingShape">
                    <wps:wsp>
                      <wps:cNvSpPr/>
                      <wps:spPr>
                        <a:xfrm>
                          <a:off x="0" y="0"/>
                          <a:ext cx="262255" cy="83185"/>
                        </a:xfrm>
                        <a:prstGeom prst="rect">
                          <a:avLst/>
                        </a:prstGeom>
                        <a:solidFill>
                          <a:srgbClr val="7030A0">
                            <a:alpha val="40000"/>
                          </a:srgbClr>
                        </a:solidFill>
                        <a:ln w="952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1.8pt;margin-top:202.9pt;height:6.55pt;width:20.65pt;z-index:251680768;v-text-anchor:middle;mso-width-relative:page;mso-height-relative:page;" fillcolor="#7030A0" filled="t" stroked="t" coordsize="21600,21600" o:gfxdata="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Rk76naAAAACwEAAA8AAAAAAAAAAQAgAAAAIgAAAGRycy9kb3ducmV2LnhtbFBLAQIU&#10;ABQAAAAIAIdO4kCMoDjPYwIAAMYEAAAOAAAAAAAAAAEAIAAAACkBAABkcnMvZTJvRG9jLnhtbFBL&#10;BQYAAAAABgAGAFkBAAD+BQAAAAA=&#10;">
                <v:fill on="t" opacity="26214f" focussize="0,0"/>
                <v:stroke color="#7030A0 [3204]" miterlimit="8" joinstyle="miter"/>
                <v:imagedata o:title=""/>
                <o:lock v:ext="edit" aspectratio="f"/>
              </v:rect>
            </w:pict>
          </mc:Fallback>
        </mc:AlternateContent>
      </w:r>
      <w:r>
        <w:rPr>
          <w:sz w:val="32"/>
        </w:rPr>
        <mc:AlternateContent>
          <mc:Choice Requires="wps">
            <w:drawing>
              <wp:anchor distT="0" distB="0" distL="114300" distR="114300" simplePos="0" relativeHeight="251679744" behindDoc="0" locked="0" layoutInCell="1" allowOverlap="1">
                <wp:simplePos x="0" y="0"/>
                <wp:positionH relativeFrom="column">
                  <wp:posOffset>4213860</wp:posOffset>
                </wp:positionH>
                <wp:positionV relativeFrom="paragraph">
                  <wp:posOffset>2421890</wp:posOffset>
                </wp:positionV>
                <wp:extent cx="262255" cy="83185"/>
                <wp:effectExtent l="5080" t="4445" r="18415" b="7620"/>
                <wp:wrapNone/>
                <wp:docPr id="57" name="矩形 57"/>
                <wp:cNvGraphicFramePr/>
                <a:graphic xmlns:a="http://schemas.openxmlformats.org/drawingml/2006/main">
                  <a:graphicData uri="http://schemas.microsoft.com/office/word/2010/wordprocessingShape">
                    <wps:wsp>
                      <wps:cNvSpPr/>
                      <wps:spPr>
                        <a:xfrm>
                          <a:off x="0" y="0"/>
                          <a:ext cx="262255" cy="83185"/>
                        </a:xfrm>
                        <a:prstGeom prst="rect">
                          <a:avLst/>
                        </a:prstGeom>
                        <a:solidFill>
                          <a:srgbClr val="00B0F0">
                            <a:alpha val="40000"/>
                          </a:srgbClr>
                        </a:solidFill>
                        <a:ln w="95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1.8pt;margin-top:190.7pt;height:6.55pt;width:20.65pt;z-index:251679744;v-text-anchor:middle;mso-width-relative:page;mso-height-relative:page;" fillcolor="#00B0F0" filled="t" stroked="t" coordsize="21600,21600" o:gfxdata="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xWgrtwAAAALAQAADwAAAAAAAAABACAAAAAiAAAAZHJzL2Rvd25yZXYueG1sUEsB&#10;AhQAFAAAAAgAh07iQEstPIRjAgAAxgQAAA4AAAAAAAAAAQAgAAAAKwEAAGRycy9lMm9Eb2MueG1s&#10;UEsFBgAAAAAGAAYAWQEAAAAGAAAAAA==&#10;">
                <v:fill on="t" opacity="26214f" focussize="0,0"/>
                <v:stroke color="#00B0F0 [3204]" miterlimit="8" joinstyle="miter"/>
                <v:imagedata o:title=""/>
                <o:lock v:ext="edit" aspectratio="f"/>
              </v:rect>
            </w:pict>
          </mc:Fallback>
        </mc:AlternateContent>
      </w:r>
      <w:r>
        <w:rPr>
          <w:sz w:val="32"/>
        </w:rPr>
        <mc:AlternateContent>
          <mc:Choice Requires="wps">
            <w:drawing>
              <wp:anchor distT="0" distB="0" distL="114300" distR="114300" simplePos="0" relativeHeight="251678720" behindDoc="0" locked="0" layoutInCell="1" allowOverlap="1">
                <wp:simplePos x="0" y="0"/>
                <wp:positionH relativeFrom="column">
                  <wp:posOffset>4201160</wp:posOffset>
                </wp:positionH>
                <wp:positionV relativeFrom="paragraph">
                  <wp:posOffset>2245995</wp:posOffset>
                </wp:positionV>
                <wp:extent cx="262255" cy="83185"/>
                <wp:effectExtent l="5080" t="4445" r="18415" b="7620"/>
                <wp:wrapNone/>
                <wp:docPr id="56" name="矩形 56"/>
                <wp:cNvGraphicFramePr/>
                <a:graphic xmlns:a="http://schemas.openxmlformats.org/drawingml/2006/main">
                  <a:graphicData uri="http://schemas.microsoft.com/office/word/2010/wordprocessingShape">
                    <wps:wsp>
                      <wps:cNvSpPr/>
                      <wps:spPr>
                        <a:xfrm>
                          <a:off x="0" y="0"/>
                          <a:ext cx="262255" cy="83185"/>
                        </a:xfrm>
                        <a:prstGeom prst="rect">
                          <a:avLst/>
                        </a:prstGeom>
                        <a:solidFill>
                          <a:srgbClr val="FFFF00">
                            <a:alpha val="40000"/>
                          </a:srgbClr>
                        </a:solid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0.8pt;margin-top:176.85pt;height:6.55pt;width:20.65pt;z-index:251678720;v-text-anchor:middle;mso-width-relative:page;mso-height-relative:page;" fillcolor="#FFFF00" filled="t" stroked="t" coordsize="21600,21600" o:gfxdata="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DxKSYDbAAAACwEAAA8AAAAAAAAAAQAgAAAAIgAAAGRycy9kb3ducmV2LnhtbFBLAQIU&#10;ABQAAAAIAIdO4kBi2A5vYgIAAMYEAAAOAAAAAAAAAAEAIAAAACoBAABkcnMvZTJvRG9jLnhtbFBL&#10;BQYAAAAABgAGAFkBAAD+BQAAAAA=&#10;">
                <v:fill on="t" opacity="26214f" focussize="0,0"/>
                <v:stroke color="#FFFF00 [3204]" miterlimit="8" joinstyle="miter"/>
                <v:imagedata o:title=""/>
                <o:lock v:ext="edit" aspectratio="f"/>
              </v:rect>
            </w:pict>
          </mc:Fallback>
        </mc:AlternateContent>
      </w:r>
      <w:r>
        <w:rPr>
          <w:sz w:val="32"/>
        </w:rPr>
        <mc:AlternateContent>
          <mc:Choice Requires="wps">
            <w:drawing>
              <wp:anchor distT="0" distB="0" distL="114300" distR="114300" simplePos="0" relativeHeight="251677696" behindDoc="0" locked="0" layoutInCell="1" allowOverlap="1">
                <wp:simplePos x="0" y="0"/>
                <wp:positionH relativeFrom="column">
                  <wp:posOffset>4208145</wp:posOffset>
                </wp:positionH>
                <wp:positionV relativeFrom="paragraph">
                  <wp:posOffset>2082165</wp:posOffset>
                </wp:positionV>
                <wp:extent cx="262255" cy="83185"/>
                <wp:effectExtent l="5080" t="4445" r="18415" b="7620"/>
                <wp:wrapNone/>
                <wp:docPr id="55" name="矩形 55"/>
                <wp:cNvGraphicFramePr/>
                <a:graphic xmlns:a="http://schemas.openxmlformats.org/drawingml/2006/main">
                  <a:graphicData uri="http://schemas.microsoft.com/office/word/2010/wordprocessingShape">
                    <wps:wsp>
                      <wps:cNvSpPr/>
                      <wps:spPr>
                        <a:xfrm>
                          <a:off x="5563870" y="5688330"/>
                          <a:ext cx="262255" cy="83185"/>
                        </a:xfrm>
                        <a:prstGeom prst="rect">
                          <a:avLst/>
                        </a:prstGeom>
                        <a:solidFill>
                          <a:srgbClr val="FF0000">
                            <a:alpha val="40000"/>
                          </a:srgbClr>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1.35pt;margin-top:163.95pt;height:6.55pt;width:20.65pt;z-index:251677696;v-text-anchor:middle;mso-width-relative:page;mso-height-relative:page;" fillcolor="#FF0000" filled="t" stroked="t" coordsize="21600,21600" o:gfxdata="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LVq+xvbAAAACwEAAA8AAAAAAAAAAQAgAAAAIgAAAGRycy9kb3ducmV2&#10;LnhtbFBLAQIUABQAAAAIAIdO4kB0TTXGawIAANIEAAAOAAAAAAAAAAEAIAAAACoBAABkcnMvZTJv&#10;RG9jLnhtbFBLBQYAAAAABgAGAFkBAAAHBgAAAAA=&#10;">
                <v:fill on="t" opacity="26214f" focussize="0,0"/>
                <v:stroke color="#FF0000 [3204]" miterlimit="8" joinstyle="miter"/>
                <v:imagedata o:title=""/>
                <o:lock v:ext="edit" aspectratio="f"/>
              </v:rect>
            </w:pict>
          </mc:Fallback>
        </mc:AlternateContent>
      </w:r>
      <w:r>
        <w:rPr>
          <w:sz w:val="32"/>
        </w:rPr>
        <mc:AlternateContent>
          <mc:Choice Requires="wps">
            <w:drawing>
              <wp:anchor distT="0" distB="0" distL="114300" distR="114300" simplePos="0" relativeHeight="251676672" behindDoc="0" locked="0" layoutInCell="1" allowOverlap="1">
                <wp:simplePos x="0" y="0"/>
                <wp:positionH relativeFrom="column">
                  <wp:posOffset>4104640</wp:posOffset>
                </wp:positionH>
                <wp:positionV relativeFrom="paragraph">
                  <wp:posOffset>1840865</wp:posOffset>
                </wp:positionV>
                <wp:extent cx="400050" cy="208915"/>
                <wp:effectExtent l="0" t="0" r="0" b="0"/>
                <wp:wrapNone/>
                <wp:docPr id="54" name="文本框 54"/>
                <wp:cNvGraphicFramePr/>
                <a:graphic xmlns:a="http://schemas.openxmlformats.org/drawingml/2006/main">
                  <a:graphicData uri="http://schemas.microsoft.com/office/word/2010/wordprocessingShape">
                    <wps:wsp>
                      <wps:cNvSpPr txBox="1"/>
                      <wps:spPr>
                        <a:xfrm>
                          <a:off x="5508625" y="5497830"/>
                          <a:ext cx="400050" cy="208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textAlignment w:val="auto"/>
                              <w:rPr>
                                <w:rFonts w:hint="eastAsia" w:eastAsia="宋体"/>
                                <w:sz w:val="11"/>
                                <w:szCs w:val="11"/>
                                <w:lang w:val="en-US" w:eastAsia="zh-CN"/>
                              </w:rPr>
                            </w:pPr>
                            <w:r>
                              <w:rPr>
                                <w:rFonts w:hint="eastAsia"/>
                                <w:sz w:val="13"/>
                                <w:szCs w:val="13"/>
                                <w:lang w:val="en-US" w:eastAsia="zh-CN"/>
                              </w:rPr>
                              <w:t>图例</w:t>
                            </w:r>
                            <w:r>
                              <w:rPr>
                                <w:rFonts w:hint="eastAsia"/>
                                <w:sz w:val="11"/>
                                <w:szCs w:val="11"/>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2pt;margin-top:144.95pt;height:16.45pt;width:31.5pt;z-index:251676672;mso-width-relative:page;mso-height-relative:page;" filled="f" stroked="f" coordsize="21600,21600" o:gfxdata="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vgF3RdwAAAALAQAADwAAAAAAAAABACAAAAAiAAAAZHJzL2Rvd25yZXYueG1sUEsB&#10;AhQAFAAAAAgAh07iQAvqmvsqAgAAJQQAAA4AAAAAAAAAAQAgAAAAKwEAAGRycy9lMm9Eb2MueG1s&#10;UEsFBgAAAAAGAAYAWQEAAMc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textAlignment w:val="auto"/>
                        <w:rPr>
                          <w:rFonts w:hint="eastAsia" w:eastAsia="宋体"/>
                          <w:sz w:val="11"/>
                          <w:szCs w:val="11"/>
                          <w:lang w:val="en-US" w:eastAsia="zh-CN"/>
                        </w:rPr>
                      </w:pPr>
                      <w:r>
                        <w:rPr>
                          <w:rFonts w:hint="eastAsia"/>
                          <w:sz w:val="13"/>
                          <w:szCs w:val="13"/>
                          <w:lang w:val="en-US" w:eastAsia="zh-CN"/>
                        </w:rPr>
                        <w:t>图例</w:t>
                      </w:r>
                      <w:r>
                        <w:rPr>
                          <w:rFonts w:hint="eastAsia"/>
                          <w:sz w:val="11"/>
                          <w:szCs w:val="11"/>
                          <w:lang w:val="en-US" w:eastAsia="zh-CN"/>
                        </w:rPr>
                        <w:t>：</w:t>
                      </w:r>
                    </w:p>
                  </w:txbxContent>
                </v:textbox>
              </v:shape>
            </w:pict>
          </mc:Fallback>
        </mc:AlternateContent>
      </w:r>
      <w:r>
        <w:rPr>
          <w:sz w:val="32"/>
        </w:rPr>
        <mc:AlternateContent>
          <mc:Choice Requires="wps">
            <w:drawing>
              <wp:anchor distT="0" distB="0" distL="114300" distR="114300" simplePos="0" relativeHeight="251675648" behindDoc="0" locked="0" layoutInCell="1" allowOverlap="1">
                <wp:simplePos x="0" y="0"/>
                <wp:positionH relativeFrom="column">
                  <wp:posOffset>4056380</wp:posOffset>
                </wp:positionH>
                <wp:positionV relativeFrom="paragraph">
                  <wp:posOffset>1847215</wp:posOffset>
                </wp:positionV>
                <wp:extent cx="1114425" cy="1033145"/>
                <wp:effectExtent l="5080" t="5080" r="4445" b="9525"/>
                <wp:wrapNone/>
                <wp:docPr id="53" name="矩形 53"/>
                <wp:cNvGraphicFramePr/>
                <a:graphic xmlns:a="http://schemas.openxmlformats.org/drawingml/2006/main">
                  <a:graphicData uri="http://schemas.microsoft.com/office/word/2010/wordprocessingShape">
                    <wps:wsp>
                      <wps:cNvSpPr/>
                      <wps:spPr>
                        <a:xfrm>
                          <a:off x="1201420" y="5608320"/>
                          <a:ext cx="1114425" cy="1033145"/>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9.4pt;margin-top:145.45pt;height:81.35pt;width:87.75pt;z-index:251675648;v-text-anchor:middle;mso-width-relative:page;mso-height-relative:page;" fillcolor="#FFFFFF [3212]" filled="t" stroked="t" coordsize="21600,21600" o:gfxdata="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u9xNO3AAAAAsBAAAPAAAAAAAAAAEAIAAAACIAAABkcnMvZG93bnJldi54bWxQSwECFAAUAAAA&#10;CACHTuJAeDg1XlwCAAC0BAAADgAAAAAAAAABACAAAAArAQAAZHJzL2Uyb0RvYy54bWxQSwUGAAAA&#10;AAYABgBZAQAA+QUAAAAA&#10;">
                <v:fill on="t" focussize="0,0"/>
                <v:stroke color="#000000 [3213]" miterlimit="8" joinstyle="miter"/>
                <v:imagedata o:title=""/>
                <o:lock v:ext="edit" aspectratio="f"/>
              </v:rect>
            </w:pict>
          </mc:Fallback>
        </mc:AlternateContent>
      </w:r>
      <w:r>
        <w:rPr>
          <w:sz w:val="32"/>
        </w:rPr>
        <mc:AlternateContent>
          <mc:Choice Requires="wps">
            <w:drawing>
              <wp:anchor distT="0" distB="0" distL="114300" distR="114300" simplePos="0" relativeHeight="251671552" behindDoc="0" locked="0" layoutInCell="1" allowOverlap="1">
                <wp:simplePos x="0" y="0"/>
                <wp:positionH relativeFrom="column">
                  <wp:posOffset>3480435</wp:posOffset>
                </wp:positionH>
                <wp:positionV relativeFrom="paragraph">
                  <wp:posOffset>1802130</wp:posOffset>
                </wp:positionV>
                <wp:extent cx="374650" cy="516255"/>
                <wp:effectExtent l="5080" t="5080" r="20320" b="12065"/>
                <wp:wrapNone/>
                <wp:docPr id="49" name="任意多边形 49"/>
                <wp:cNvGraphicFramePr/>
                <a:graphic xmlns:a="http://schemas.openxmlformats.org/drawingml/2006/main">
                  <a:graphicData uri="http://schemas.microsoft.com/office/word/2010/wordprocessingShape">
                    <wps:wsp>
                      <wps:cNvSpPr/>
                      <wps:spPr>
                        <a:xfrm>
                          <a:off x="4619625" y="5412105"/>
                          <a:ext cx="374650" cy="516255"/>
                        </a:xfrm>
                        <a:custGeom>
                          <a:avLst/>
                          <a:gdLst>
                            <a:gd name="connisteX0" fmla="*/ 0 w 374650"/>
                            <a:gd name="connsiteY0" fmla="*/ 506730 h 516255"/>
                            <a:gd name="connisteX1" fmla="*/ 356235 w 374650"/>
                            <a:gd name="connsiteY1" fmla="*/ 516255 h 516255"/>
                            <a:gd name="connisteX2" fmla="*/ 374650 w 374650"/>
                            <a:gd name="connsiteY2" fmla="*/ 20955 h 516255"/>
                            <a:gd name="connisteX3" fmla="*/ 46355 w 374650"/>
                            <a:gd name="connsiteY3" fmla="*/ 0 h 516255"/>
                            <a:gd name="connisteX4" fmla="*/ 0 w 374650"/>
                            <a:gd name="connsiteY4" fmla="*/ 506730 h 51625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74650" h="516255">
                              <a:moveTo>
                                <a:pt x="0" y="506730"/>
                              </a:moveTo>
                              <a:lnTo>
                                <a:pt x="356235" y="516255"/>
                              </a:lnTo>
                              <a:lnTo>
                                <a:pt x="374650" y="20955"/>
                              </a:lnTo>
                              <a:lnTo>
                                <a:pt x="46355" y="0"/>
                              </a:lnTo>
                              <a:lnTo>
                                <a:pt x="0" y="506730"/>
                              </a:lnTo>
                              <a:close/>
                            </a:path>
                          </a:pathLst>
                        </a:custGeom>
                        <a:solidFill>
                          <a:srgbClr val="00B0F0">
                            <a:alpha val="40000"/>
                          </a:srgbClr>
                        </a:solidFill>
                        <a:ln w="95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74.05pt;margin-top:141.9pt;height:40.65pt;width:29.5pt;z-index:251671552;mso-width-relative:page;mso-height-relative:page;" fillcolor="#00B0F0" filled="t" stroked="t" coordsize="374650,516255" o:gfxdata="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" path="m0,506730l356235,516255,374650,20955,46355,0,0,506730xe">
                <v:path o:connectlocs="0,506730;356235,516255;374650,20955;46355,0;0,506730" o:connectangles="0,0,0,0,0"/>
                <v:fill on="t" opacity="26214f" focussize="0,0"/>
                <v:stroke color="#00B0F0 [3204]" miterlimit="8" joinstyle="miter"/>
                <v:imagedata o:title=""/>
                <o:lock v:ext="edit" aspectratio="f"/>
              </v:shape>
            </w:pict>
          </mc:Fallback>
        </mc:AlternateContent>
      </w:r>
      <w:r>
        <w:rPr>
          <w:sz w:val="32"/>
        </w:rPr>
        <mc:AlternateContent>
          <mc:Choice Requires="wps">
            <w:drawing>
              <wp:anchor distT="0" distB="0" distL="114300" distR="114300" simplePos="0" relativeHeight="251674624" behindDoc="0" locked="0" layoutInCell="1" allowOverlap="1">
                <wp:simplePos x="0" y="0"/>
                <wp:positionH relativeFrom="column">
                  <wp:posOffset>2785745</wp:posOffset>
                </wp:positionH>
                <wp:positionV relativeFrom="paragraph">
                  <wp:posOffset>1346835</wp:posOffset>
                </wp:positionV>
                <wp:extent cx="749300" cy="965200"/>
                <wp:effectExtent l="5080" t="6985" r="7620" b="18415"/>
                <wp:wrapNone/>
                <wp:docPr id="52" name="任意多边形 52"/>
                <wp:cNvGraphicFramePr/>
                <a:graphic xmlns:a="http://schemas.openxmlformats.org/drawingml/2006/main">
                  <a:graphicData uri="http://schemas.microsoft.com/office/word/2010/wordprocessingShape">
                    <wps:wsp>
                      <wps:cNvSpPr/>
                      <wps:spPr>
                        <a:xfrm>
                          <a:off x="3928745" y="4953000"/>
                          <a:ext cx="749300" cy="965200"/>
                        </a:xfrm>
                        <a:custGeom>
                          <a:avLst/>
                          <a:gdLst>
                            <a:gd name="connisteX0" fmla="*/ 0 w 749300"/>
                            <a:gd name="connsiteY0" fmla="*/ 708025 h 965200"/>
                            <a:gd name="connisteX1" fmla="*/ 353060 w 749300"/>
                            <a:gd name="connsiteY1" fmla="*/ 429260 h 965200"/>
                            <a:gd name="connisteX2" fmla="*/ 615315 w 749300"/>
                            <a:gd name="connsiteY2" fmla="*/ 74930 h 965200"/>
                            <a:gd name="connisteX3" fmla="*/ 713105 w 749300"/>
                            <a:gd name="connsiteY3" fmla="*/ 0 h 965200"/>
                            <a:gd name="connisteX4" fmla="*/ 749300 w 749300"/>
                            <a:gd name="connsiteY4" fmla="*/ 60960 h 965200"/>
                            <a:gd name="connisteX5" fmla="*/ 671830 w 749300"/>
                            <a:gd name="connsiteY5" fmla="*/ 965200 h 965200"/>
                            <a:gd name="connisteX6" fmla="*/ 13335 w 749300"/>
                            <a:gd name="connsiteY6" fmla="*/ 957580 h 965200"/>
                            <a:gd name="connisteX7" fmla="*/ 0 w 749300"/>
                            <a:gd name="connsiteY7" fmla="*/ 708025 h 9652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749300" h="965200">
                              <a:moveTo>
                                <a:pt x="0" y="708025"/>
                              </a:moveTo>
                              <a:lnTo>
                                <a:pt x="353060" y="429260"/>
                              </a:lnTo>
                              <a:lnTo>
                                <a:pt x="615315" y="74930"/>
                              </a:lnTo>
                              <a:lnTo>
                                <a:pt x="713105" y="0"/>
                              </a:lnTo>
                              <a:lnTo>
                                <a:pt x="749300" y="60960"/>
                              </a:lnTo>
                              <a:lnTo>
                                <a:pt x="671830" y="965200"/>
                              </a:lnTo>
                              <a:lnTo>
                                <a:pt x="13335" y="957580"/>
                              </a:lnTo>
                              <a:lnTo>
                                <a:pt x="0" y="708025"/>
                              </a:lnTo>
                              <a:close/>
                            </a:path>
                          </a:pathLst>
                        </a:custGeom>
                        <a:solidFill>
                          <a:srgbClr val="7030A0">
                            <a:alpha val="40000"/>
                          </a:srgbClr>
                        </a:solidFill>
                        <a:ln w="952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19.35pt;margin-top:106.05pt;height:76pt;width:59pt;z-index:251674624;mso-width-relative:page;mso-height-relative:page;" fillcolor="#7030A0" filled="t" stroked="t" coordsize="749300,965200" o:gfxdata="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" path="m0,708025l353060,429260,615315,74930,713105,0,749300,60960,671830,965200,13335,957580,0,708025xe">
                <v:path o:connectlocs="0,708025;353060,429260;615315,74930;713105,0;749300,60960;671830,965200;13335,957580;0,708025" o:connectangles="0,0,0,0,0,0,0,0"/>
                <v:fill on="t" opacity="26214f" focussize="0,0"/>
                <v:stroke color="#7030A0 [3204]" miterlimit="8" joinstyle="miter"/>
                <v:imagedata o:title=""/>
                <o:lock v:ext="edit" aspectratio="f"/>
              </v:shape>
            </w:pict>
          </mc:Fallback>
        </mc:AlternateContent>
      </w:r>
      <w:r>
        <w:rPr>
          <w:sz w:val="32"/>
        </w:rPr>
        <mc:AlternateContent>
          <mc:Choice Requires="wps">
            <w:drawing>
              <wp:anchor distT="0" distB="0" distL="114300" distR="114300" simplePos="0" relativeHeight="251673600" behindDoc="0" locked="0" layoutInCell="1" allowOverlap="1">
                <wp:simplePos x="0" y="0"/>
                <wp:positionH relativeFrom="column">
                  <wp:posOffset>2794000</wp:posOffset>
                </wp:positionH>
                <wp:positionV relativeFrom="paragraph">
                  <wp:posOffset>810895</wp:posOffset>
                </wp:positionV>
                <wp:extent cx="504190" cy="981075"/>
                <wp:effectExtent l="5080" t="6350" r="5080" b="22225"/>
                <wp:wrapNone/>
                <wp:docPr id="51" name="任意多边形 51"/>
                <wp:cNvGraphicFramePr/>
                <a:graphic xmlns:a="http://schemas.openxmlformats.org/drawingml/2006/main">
                  <a:graphicData uri="http://schemas.microsoft.com/office/word/2010/wordprocessingShape">
                    <wps:wsp>
                      <wps:cNvSpPr/>
                      <wps:spPr>
                        <a:xfrm>
                          <a:off x="3937000" y="4417060"/>
                          <a:ext cx="504190" cy="981075"/>
                        </a:xfrm>
                        <a:custGeom>
                          <a:avLst/>
                          <a:gdLst>
                            <a:gd name="connisteX0" fmla="*/ 20320 w 504190"/>
                            <a:gd name="connsiteY0" fmla="*/ 72390 h 981075"/>
                            <a:gd name="connisteX1" fmla="*/ 377825 w 504190"/>
                            <a:gd name="connsiteY1" fmla="*/ 28575 h 981075"/>
                            <a:gd name="connisteX2" fmla="*/ 447675 w 504190"/>
                            <a:gd name="connsiteY2" fmla="*/ 0 h 981075"/>
                            <a:gd name="connisteX3" fmla="*/ 488950 w 504190"/>
                            <a:gd name="connsiteY3" fmla="*/ 134620 h 981075"/>
                            <a:gd name="connisteX4" fmla="*/ 504190 w 504190"/>
                            <a:gd name="connsiteY4" fmla="*/ 555625 h 981075"/>
                            <a:gd name="connisteX5" fmla="*/ 184785 w 504190"/>
                            <a:gd name="connsiteY5" fmla="*/ 923925 h 981075"/>
                            <a:gd name="connisteX6" fmla="*/ 81915 w 504190"/>
                            <a:gd name="connsiteY6" fmla="*/ 981075 h 981075"/>
                            <a:gd name="connisteX7" fmla="*/ 0 w 504190"/>
                            <a:gd name="connsiteY7" fmla="*/ 977900 h 981075"/>
                            <a:gd name="connisteX8" fmla="*/ 20320 w 504190"/>
                            <a:gd name="connsiteY8" fmla="*/ 72390 h 9810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504190" h="981075">
                              <a:moveTo>
                                <a:pt x="20320" y="72390"/>
                              </a:moveTo>
                              <a:lnTo>
                                <a:pt x="377825" y="28575"/>
                              </a:lnTo>
                              <a:lnTo>
                                <a:pt x="447675" y="0"/>
                              </a:lnTo>
                              <a:lnTo>
                                <a:pt x="488950" y="134620"/>
                              </a:lnTo>
                              <a:lnTo>
                                <a:pt x="504190" y="555625"/>
                              </a:lnTo>
                              <a:lnTo>
                                <a:pt x="184785" y="923925"/>
                              </a:lnTo>
                              <a:lnTo>
                                <a:pt x="81915" y="981075"/>
                              </a:lnTo>
                              <a:lnTo>
                                <a:pt x="0" y="977900"/>
                              </a:lnTo>
                              <a:lnTo>
                                <a:pt x="20320" y="72390"/>
                              </a:lnTo>
                              <a:close/>
                            </a:path>
                          </a:pathLst>
                        </a:custGeom>
                        <a:solidFill>
                          <a:srgbClr val="7030A0">
                            <a:alpha val="40000"/>
                          </a:srgbClr>
                        </a:solidFill>
                        <a:ln w="952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20pt;margin-top:63.85pt;height:77.25pt;width:39.7pt;z-index:251673600;mso-width-relative:page;mso-height-relative:page;" fillcolor="#7030A0" filled="t" stroked="t" coordsize="504190,981075" o:gfxdata="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" path="m20320,72390l377825,28575,447675,0,488950,134620,504190,555625,184785,923925,81915,981075,0,977900,20320,72390xe">
                <v:path o:connectlocs="20320,72390;377825,28575;447675,0;488950,134620;504190,555625;184785,923925;81915,981075;0,977900;20320,72390" o:connectangles="0,0,0,0,0,0,0,0,0"/>
                <v:fill on="t" opacity="26214f" focussize="0,0"/>
                <v:stroke color="#7030A0 [3204]" miterlimit="8" joinstyle="miter"/>
                <v:imagedata o:title=""/>
                <o:lock v:ext="edit" aspectratio="f"/>
              </v:shape>
            </w:pict>
          </mc:Fallback>
        </mc:AlternateContent>
      </w:r>
      <w:r>
        <w:rPr>
          <w:sz w:val="32"/>
        </w:rPr>
        <mc:AlternateContent>
          <mc:Choice Requires="wps">
            <w:drawing>
              <wp:anchor distT="0" distB="0" distL="114300" distR="114300" simplePos="0" relativeHeight="251672576" behindDoc="0" locked="0" layoutInCell="1" allowOverlap="1">
                <wp:simplePos x="0" y="0"/>
                <wp:positionH relativeFrom="column">
                  <wp:posOffset>654685</wp:posOffset>
                </wp:positionH>
                <wp:positionV relativeFrom="paragraph">
                  <wp:posOffset>945515</wp:posOffset>
                </wp:positionV>
                <wp:extent cx="1196975" cy="1186180"/>
                <wp:effectExtent l="5715" t="5080" r="16510" b="8890"/>
                <wp:wrapNone/>
                <wp:docPr id="50" name="任意多边形 50"/>
                <wp:cNvGraphicFramePr/>
                <a:graphic xmlns:a="http://schemas.openxmlformats.org/drawingml/2006/main">
                  <a:graphicData uri="http://schemas.microsoft.com/office/word/2010/wordprocessingShape">
                    <wps:wsp>
                      <wps:cNvSpPr/>
                      <wps:spPr>
                        <a:xfrm>
                          <a:off x="1797685" y="4551680"/>
                          <a:ext cx="1196975" cy="1186180"/>
                        </a:xfrm>
                        <a:custGeom>
                          <a:avLst/>
                          <a:gdLst>
                            <a:gd name="connisteX0" fmla="*/ 167005 w 1196975"/>
                            <a:gd name="connsiteY0" fmla="*/ 63500 h 1186180"/>
                            <a:gd name="connisteX1" fmla="*/ 1191895 w 1196975"/>
                            <a:gd name="connsiteY1" fmla="*/ 0 h 1186180"/>
                            <a:gd name="connisteX2" fmla="*/ 1196975 w 1196975"/>
                            <a:gd name="connsiteY2" fmla="*/ 771525 h 1186180"/>
                            <a:gd name="connisteX3" fmla="*/ 748665 w 1196975"/>
                            <a:gd name="connsiteY3" fmla="*/ 751205 h 1186180"/>
                            <a:gd name="connisteX4" fmla="*/ 738505 w 1196975"/>
                            <a:gd name="connsiteY4" fmla="*/ 1134745 h 1186180"/>
                            <a:gd name="connisteX5" fmla="*/ 514350 w 1196975"/>
                            <a:gd name="connsiteY5" fmla="*/ 1186180 h 1186180"/>
                            <a:gd name="connisteX6" fmla="*/ 17780 w 1196975"/>
                            <a:gd name="connsiteY6" fmla="*/ 746125 h 1186180"/>
                            <a:gd name="connisteX7" fmla="*/ 0 w 1196975"/>
                            <a:gd name="connsiteY7" fmla="*/ 655955 h 1186180"/>
                            <a:gd name="connisteX8" fmla="*/ 354965 w 1196975"/>
                            <a:gd name="connsiteY8" fmla="*/ 622300 h 1186180"/>
                            <a:gd name="connisteX9" fmla="*/ 311150 w 1196975"/>
                            <a:gd name="connsiteY9" fmla="*/ 377825 h 1186180"/>
                            <a:gd name="connisteX10" fmla="*/ 352425 w 1196975"/>
                            <a:gd name="connsiteY10" fmla="*/ 365125 h 1186180"/>
                            <a:gd name="connisteX11" fmla="*/ 316230 w 1196975"/>
                            <a:gd name="connsiteY11" fmla="*/ 236855 h 1186180"/>
                            <a:gd name="connisteX12" fmla="*/ 213360 w 1196975"/>
                            <a:gd name="connsiteY12" fmla="*/ 254000 h 1186180"/>
                            <a:gd name="connisteX13" fmla="*/ 167005 w 1196975"/>
                            <a:gd name="connsiteY13" fmla="*/ 63500 h 11861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1196975" h="1186180">
                              <a:moveTo>
                                <a:pt x="167005" y="63500"/>
                              </a:moveTo>
                              <a:lnTo>
                                <a:pt x="1191895" y="0"/>
                              </a:lnTo>
                              <a:lnTo>
                                <a:pt x="1196975" y="771525"/>
                              </a:lnTo>
                              <a:lnTo>
                                <a:pt x="748665" y="751205"/>
                              </a:lnTo>
                              <a:lnTo>
                                <a:pt x="738505" y="1134745"/>
                              </a:lnTo>
                              <a:lnTo>
                                <a:pt x="514350" y="1186180"/>
                              </a:lnTo>
                              <a:lnTo>
                                <a:pt x="17780" y="746125"/>
                              </a:lnTo>
                              <a:lnTo>
                                <a:pt x="0" y="655955"/>
                              </a:lnTo>
                              <a:lnTo>
                                <a:pt x="354965" y="622300"/>
                              </a:lnTo>
                              <a:lnTo>
                                <a:pt x="311150" y="377825"/>
                              </a:lnTo>
                              <a:lnTo>
                                <a:pt x="352425" y="365125"/>
                              </a:lnTo>
                              <a:lnTo>
                                <a:pt x="316230" y="236855"/>
                              </a:lnTo>
                              <a:lnTo>
                                <a:pt x="213360" y="254000"/>
                              </a:lnTo>
                              <a:lnTo>
                                <a:pt x="167005" y="63500"/>
                              </a:lnTo>
                              <a:close/>
                            </a:path>
                          </a:pathLst>
                        </a:custGeom>
                        <a:solidFill>
                          <a:srgbClr val="7030A0">
                            <a:alpha val="40000"/>
                          </a:srgbClr>
                        </a:solidFill>
                        <a:ln w="952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1.55pt;margin-top:74.45pt;height:93.4pt;width:94.25pt;z-index:251672576;mso-width-relative:page;mso-height-relative:page;" fillcolor="#7030A0" filled="t" stroked="t" coordsize="1196975,1186180" o:gfxdata="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" path="m167005,63500l1191895,0,1196975,771525,748665,751205,738505,1134745,514350,1186180,17780,746125,0,655955,354965,622300,311150,377825,352425,365125,316230,236855,213360,254000,167005,63500xe">
                <v:path o:connectlocs="167005,63500;1191895,0;1196975,771525;748665,751205;738505,1134745;514350,1186180;17780,746125;0,655955;354965,622300;311150,377825;352425,365125;316230,236855;213360,254000;167005,63500" o:connectangles="0,0,0,0,0,0,0,0,0,0,0,0,0,0"/>
                <v:fill on="t" opacity="26214f" focussize="0,0"/>
                <v:stroke color="#7030A0 [3204]" miterlimit="8" joinstyle="miter"/>
                <v:imagedata o:title=""/>
                <o:lock v:ext="edit" aspectratio="f"/>
              </v:shape>
            </w:pict>
          </mc:Fallback>
        </mc:AlternateContent>
      </w:r>
      <w:r>
        <w:rPr>
          <w:sz w:val="32"/>
        </w:rPr>
        <mc:AlternateContent>
          <mc:Choice Requires="wps">
            <w:drawing>
              <wp:anchor distT="0" distB="0" distL="114300" distR="114300" simplePos="0" relativeHeight="251670528" behindDoc="0" locked="0" layoutInCell="1" allowOverlap="1">
                <wp:simplePos x="0" y="0"/>
                <wp:positionH relativeFrom="column">
                  <wp:posOffset>1411605</wp:posOffset>
                </wp:positionH>
                <wp:positionV relativeFrom="paragraph">
                  <wp:posOffset>1720215</wp:posOffset>
                </wp:positionV>
                <wp:extent cx="669925" cy="347345"/>
                <wp:effectExtent l="5080" t="5080" r="10795" b="9525"/>
                <wp:wrapNone/>
                <wp:docPr id="48" name="任意多边形 48"/>
                <wp:cNvGraphicFramePr/>
                <a:graphic xmlns:a="http://schemas.openxmlformats.org/drawingml/2006/main">
                  <a:graphicData uri="http://schemas.microsoft.com/office/word/2010/wordprocessingShape">
                    <wps:wsp>
                      <wps:cNvSpPr/>
                      <wps:spPr>
                        <a:xfrm>
                          <a:off x="2554605" y="5326380"/>
                          <a:ext cx="669925" cy="347345"/>
                        </a:xfrm>
                        <a:custGeom>
                          <a:avLst/>
                          <a:gdLst>
                            <a:gd name="connisteX0" fmla="*/ 9525 w 669925"/>
                            <a:gd name="connsiteY0" fmla="*/ 0 h 347345"/>
                            <a:gd name="connisteX1" fmla="*/ 669925 w 669925"/>
                            <a:gd name="connsiteY1" fmla="*/ 33655 h 347345"/>
                            <a:gd name="connisteX2" fmla="*/ 664210 w 669925"/>
                            <a:gd name="connsiteY2" fmla="*/ 316230 h 347345"/>
                            <a:gd name="connisteX3" fmla="*/ 218440 w 669925"/>
                            <a:gd name="connsiteY3" fmla="*/ 306705 h 347345"/>
                            <a:gd name="connisteX4" fmla="*/ 0 w 669925"/>
                            <a:gd name="connsiteY4" fmla="*/ 347345 h 347345"/>
                            <a:gd name="connisteX5" fmla="*/ 9525 w 669925"/>
                            <a:gd name="connsiteY5" fmla="*/ 0 h 3473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669925" h="347345">
                              <a:moveTo>
                                <a:pt x="9525" y="0"/>
                              </a:moveTo>
                              <a:lnTo>
                                <a:pt x="669925" y="33655"/>
                              </a:lnTo>
                              <a:lnTo>
                                <a:pt x="664210" y="316230"/>
                              </a:lnTo>
                              <a:lnTo>
                                <a:pt x="218440" y="306705"/>
                              </a:lnTo>
                              <a:lnTo>
                                <a:pt x="0" y="347345"/>
                              </a:lnTo>
                              <a:lnTo>
                                <a:pt x="9525" y="0"/>
                              </a:lnTo>
                              <a:close/>
                            </a:path>
                          </a:pathLst>
                        </a:custGeom>
                        <a:solidFill>
                          <a:srgbClr val="00B0F0">
                            <a:alpha val="40000"/>
                          </a:srgbClr>
                        </a:solidFill>
                        <a:ln w="95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11.15pt;margin-top:135.45pt;height:27.35pt;width:52.75pt;z-index:251670528;mso-width-relative:page;mso-height-relative:page;" fillcolor="#00B0F0" filled="t" stroked="t" coordsize="669925,347345" o:gfxdata="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" path="m9525,0l669925,33655,664210,316230,218440,306705,0,347345,9525,0xe">
                <v:path o:connectlocs="9525,0;669925,33655;664210,316230;218440,306705;0,347345;9525,0" o:connectangles="0,0,0,0,0,0"/>
                <v:fill on="t" opacity="26214f" focussize="0,0"/>
                <v:stroke color="#00B0F0 [3204]" miterlimit="8" joinstyle="miter"/>
                <v:imagedata o:title=""/>
                <o:lock v:ext="edit" aspectratio="f"/>
              </v:shape>
            </w:pict>
          </mc:Fallback>
        </mc:AlternateContent>
      </w:r>
      <w:r>
        <w:rPr>
          <w:sz w:val="32"/>
        </w:rPr>
        <mc:AlternateContent>
          <mc:Choice Requires="wps">
            <w:drawing>
              <wp:anchor distT="0" distB="0" distL="114300" distR="114300" simplePos="0" relativeHeight="251669504" behindDoc="0" locked="0" layoutInCell="1" allowOverlap="1">
                <wp:simplePos x="0" y="0"/>
                <wp:positionH relativeFrom="column">
                  <wp:posOffset>520700</wp:posOffset>
                </wp:positionH>
                <wp:positionV relativeFrom="paragraph">
                  <wp:posOffset>1012825</wp:posOffset>
                </wp:positionV>
                <wp:extent cx="469900" cy="571500"/>
                <wp:effectExtent l="5715" t="5080" r="19685" b="13970"/>
                <wp:wrapNone/>
                <wp:docPr id="47" name="任意多边形 47"/>
                <wp:cNvGraphicFramePr/>
                <a:graphic xmlns:a="http://schemas.openxmlformats.org/drawingml/2006/main">
                  <a:graphicData uri="http://schemas.microsoft.com/office/word/2010/wordprocessingShape">
                    <wps:wsp>
                      <wps:cNvSpPr/>
                      <wps:spPr>
                        <a:xfrm>
                          <a:off x="1663700" y="4389755"/>
                          <a:ext cx="469900" cy="571500"/>
                        </a:xfrm>
                        <a:custGeom>
                          <a:avLst/>
                          <a:gdLst>
                            <a:gd name="connisteX0" fmla="*/ 0 w 469900"/>
                            <a:gd name="connsiteY0" fmla="*/ 30480 h 571500"/>
                            <a:gd name="connisteX1" fmla="*/ 128905 w 469900"/>
                            <a:gd name="connsiteY1" fmla="*/ 571500 h 571500"/>
                            <a:gd name="connisteX2" fmla="*/ 469900 w 469900"/>
                            <a:gd name="connsiteY2" fmla="*/ 541655 h 571500"/>
                            <a:gd name="connisteX3" fmla="*/ 421005 w 469900"/>
                            <a:gd name="connsiteY3" fmla="*/ 295275 h 571500"/>
                            <a:gd name="connisteX4" fmla="*/ 469900 w 469900"/>
                            <a:gd name="connsiteY4" fmla="*/ 285750 h 571500"/>
                            <a:gd name="connisteX5" fmla="*/ 442595 w 469900"/>
                            <a:gd name="connsiteY5" fmla="*/ 187325 h 571500"/>
                            <a:gd name="connisteX6" fmla="*/ 337820 w 469900"/>
                            <a:gd name="connsiteY6" fmla="*/ 203200 h 571500"/>
                            <a:gd name="connisteX7" fmla="*/ 276860 w 469900"/>
                            <a:gd name="connsiteY7" fmla="*/ 0 h 571500"/>
                            <a:gd name="connisteX8" fmla="*/ 0 w 469900"/>
                            <a:gd name="connsiteY8" fmla="*/ 30480 h 571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469900" h="571500">
                              <a:moveTo>
                                <a:pt x="0" y="30480"/>
                              </a:moveTo>
                              <a:lnTo>
                                <a:pt x="128905" y="571500"/>
                              </a:lnTo>
                              <a:lnTo>
                                <a:pt x="469900" y="541655"/>
                              </a:lnTo>
                              <a:lnTo>
                                <a:pt x="421005" y="295275"/>
                              </a:lnTo>
                              <a:lnTo>
                                <a:pt x="469900" y="285750"/>
                              </a:lnTo>
                              <a:lnTo>
                                <a:pt x="442595" y="187325"/>
                              </a:lnTo>
                              <a:lnTo>
                                <a:pt x="337820" y="203200"/>
                              </a:lnTo>
                              <a:lnTo>
                                <a:pt x="276860" y="0"/>
                              </a:lnTo>
                              <a:lnTo>
                                <a:pt x="0" y="30480"/>
                              </a:lnTo>
                              <a:close/>
                            </a:path>
                          </a:pathLst>
                        </a:custGeom>
                        <a:solidFill>
                          <a:srgbClr val="00B050">
                            <a:alpha val="40000"/>
                          </a:srgbClr>
                        </a:solidFill>
                        <a:ln w="952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1pt;margin-top:79.75pt;height:45pt;width:37pt;z-index:251669504;mso-width-relative:page;mso-height-relative:page;" fillcolor="#00B050" filled="t" stroked="t" coordsize="469900,571500" o:gfxdata="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" path="m0,30480l128905,571500,469900,541655,421005,295275,469900,285750,442595,187325,337820,203200,276860,0,0,30480xe">
                <v:path o:connectlocs="0,30480;128905,571500;469900,541655;421005,295275;469900,285750;442595,187325;337820,203200;276860,0;0,30480" o:connectangles="0,0,0,0,0,0,0,0,0"/>
                <v:fill on="t" opacity="26214f" focussize="0,0"/>
                <v:stroke color="#00B050 [3204]" miterlimit="8" joinstyle="miter"/>
                <v:imagedata o:title=""/>
                <o:lock v:ext="edit" aspectratio="f"/>
              </v:shape>
            </w:pict>
          </mc:Fallback>
        </mc:AlternateContent>
      </w:r>
      <w:r>
        <w:rPr>
          <w:sz w:val="32"/>
        </w:rPr>
        <mc:AlternateContent>
          <mc:Choice Requires="wps">
            <w:drawing>
              <wp:anchor distT="0" distB="0" distL="114300" distR="114300" simplePos="0" relativeHeight="251668480" behindDoc="0" locked="0" layoutInCell="1" allowOverlap="1">
                <wp:simplePos x="0" y="0"/>
                <wp:positionH relativeFrom="column">
                  <wp:posOffset>3975100</wp:posOffset>
                </wp:positionH>
                <wp:positionV relativeFrom="paragraph">
                  <wp:posOffset>565150</wp:posOffset>
                </wp:positionV>
                <wp:extent cx="276225" cy="214630"/>
                <wp:effectExtent l="6350" t="8890" r="22225" b="24130"/>
                <wp:wrapNone/>
                <wp:docPr id="46" name="任意多边形 46"/>
                <wp:cNvGraphicFramePr/>
                <a:graphic xmlns:a="http://schemas.openxmlformats.org/drawingml/2006/main">
                  <a:graphicData uri="http://schemas.microsoft.com/office/word/2010/wordprocessingShape">
                    <wps:wsp>
                      <wps:cNvSpPr/>
                      <wps:spPr>
                        <a:xfrm>
                          <a:off x="5118100" y="3942080"/>
                          <a:ext cx="276225" cy="214630"/>
                        </a:xfrm>
                        <a:custGeom>
                          <a:avLst/>
                          <a:gdLst>
                            <a:gd name="connisteX0" fmla="*/ 0 w 276225"/>
                            <a:gd name="connsiteY0" fmla="*/ 69850 h 214630"/>
                            <a:gd name="connisteX1" fmla="*/ 48895 w 276225"/>
                            <a:gd name="connsiteY1" fmla="*/ 214630 h 214630"/>
                            <a:gd name="connisteX2" fmla="*/ 276225 w 276225"/>
                            <a:gd name="connsiteY2" fmla="*/ 0 h 214630"/>
                            <a:gd name="connisteX3" fmla="*/ 0 w 276225"/>
                            <a:gd name="connsiteY3" fmla="*/ 69850 h 214630"/>
                          </a:gdLst>
                          <a:ahLst/>
                          <a:cxnLst>
                            <a:cxn ang="0">
                              <a:pos x="connisteX0" y="connsiteY0"/>
                            </a:cxn>
                            <a:cxn ang="0">
                              <a:pos x="connisteX1" y="connsiteY1"/>
                            </a:cxn>
                            <a:cxn ang="0">
                              <a:pos x="connisteX2" y="connsiteY2"/>
                            </a:cxn>
                            <a:cxn ang="0">
                              <a:pos x="connisteX3" y="connsiteY3"/>
                            </a:cxn>
                          </a:cxnLst>
                          <a:rect l="l" t="t" r="r" b="b"/>
                          <a:pathLst>
                            <a:path w="276225" h="214630">
                              <a:moveTo>
                                <a:pt x="0" y="69850"/>
                              </a:moveTo>
                              <a:lnTo>
                                <a:pt x="48895" y="214630"/>
                              </a:lnTo>
                              <a:lnTo>
                                <a:pt x="276225" y="0"/>
                              </a:lnTo>
                              <a:lnTo>
                                <a:pt x="0" y="69850"/>
                              </a:lnTo>
                              <a:close/>
                            </a:path>
                          </a:pathLst>
                        </a:custGeom>
                        <a:solidFill>
                          <a:srgbClr val="00B050">
                            <a:alpha val="40000"/>
                          </a:srgbClr>
                        </a:solidFill>
                        <a:ln w="952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13pt;margin-top:44.5pt;height:16.9pt;width:21.75pt;z-index:251668480;mso-width-relative:page;mso-height-relative:page;" fillcolor="#00B050" filled="t" stroked="t" coordsize="276225,214630" o:gfxdata="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C5wDrz2AAAAAoBAAAPAAAAAAAAAAEAIAAAACIAAABk&#10;cnMvZG93bnJldi54bWxQSwECFAAUAAAACACHTuJAhNLrHOoCAAByBwAADgAAAAAAAAABACAAAAAn&#10;AQAAZHJzL2Uyb0RvYy54bWxQSwUGAAAAAAYABgBZAQAAgwYAAAAA&#10;" path="m0,69850l48895,214630,276225,0,0,69850xe">
                <v:path o:connectlocs="0,69850;48895,214630;276225,0;0,69850" o:connectangles="0,0,0,0"/>
                <v:fill on="t" opacity="26214f" focussize="0,0"/>
                <v:stroke color="#00B050 [3204]" miterlimit="8" joinstyle="miter"/>
                <v:imagedata o:title=""/>
                <o:lock v:ext="edit" aspectratio="f"/>
              </v:shape>
            </w:pict>
          </mc:Fallback>
        </mc:AlternateContent>
      </w:r>
      <w:r>
        <w:rPr>
          <w:sz w:val="32"/>
        </w:rPr>
        <mc:AlternateContent>
          <mc:Choice Requires="wps">
            <w:drawing>
              <wp:anchor distT="0" distB="0" distL="114300" distR="114300" simplePos="0" relativeHeight="251667456" behindDoc="0" locked="0" layoutInCell="1" allowOverlap="1">
                <wp:simplePos x="0" y="0"/>
                <wp:positionH relativeFrom="column">
                  <wp:posOffset>3528695</wp:posOffset>
                </wp:positionH>
                <wp:positionV relativeFrom="paragraph">
                  <wp:posOffset>462280</wp:posOffset>
                </wp:positionV>
                <wp:extent cx="1367790" cy="1337945"/>
                <wp:effectExtent l="6350" t="5715" r="16510" b="8890"/>
                <wp:wrapNone/>
                <wp:docPr id="45" name="任意多边形 45"/>
                <wp:cNvGraphicFramePr/>
                <a:graphic xmlns:a="http://schemas.openxmlformats.org/drawingml/2006/main">
                  <a:graphicData uri="http://schemas.microsoft.com/office/word/2010/wordprocessingShape">
                    <wps:wsp>
                      <wps:cNvSpPr/>
                      <wps:spPr>
                        <a:xfrm>
                          <a:off x="4671695" y="3839210"/>
                          <a:ext cx="1367790" cy="1337945"/>
                        </a:xfrm>
                        <a:custGeom>
                          <a:avLst/>
                          <a:gdLst>
                            <a:gd name="connisteX0" fmla="*/ 0 w 1367790"/>
                            <a:gd name="connsiteY0" fmla="*/ 893445 h 1337945"/>
                            <a:gd name="connisteX1" fmla="*/ 29210 w 1367790"/>
                            <a:gd name="connsiteY1" fmla="*/ 942975 h 1337945"/>
                            <a:gd name="connisteX2" fmla="*/ 10160 w 1367790"/>
                            <a:gd name="connsiteY2" fmla="*/ 1323975 h 1337945"/>
                            <a:gd name="connisteX3" fmla="*/ 374015 w 1367790"/>
                            <a:gd name="connsiteY3" fmla="*/ 1337945 h 1337945"/>
                            <a:gd name="connisteX4" fmla="*/ 386080 w 1367790"/>
                            <a:gd name="connsiteY4" fmla="*/ 1111250 h 1337945"/>
                            <a:gd name="connisteX5" fmla="*/ 434975 w 1367790"/>
                            <a:gd name="connsiteY5" fmla="*/ 1106170 h 1337945"/>
                            <a:gd name="connisteX6" fmla="*/ 466725 w 1367790"/>
                            <a:gd name="connsiteY6" fmla="*/ 661670 h 1337945"/>
                            <a:gd name="connisteX7" fmla="*/ 1199515 w 1367790"/>
                            <a:gd name="connsiteY7" fmla="*/ 583565 h 1337945"/>
                            <a:gd name="connisteX8" fmla="*/ 1196975 w 1367790"/>
                            <a:gd name="connsiteY8" fmla="*/ 420370 h 1337945"/>
                            <a:gd name="connisteX9" fmla="*/ 1219200 w 1367790"/>
                            <a:gd name="connsiteY9" fmla="*/ 372745 h 1337945"/>
                            <a:gd name="connisteX10" fmla="*/ 1275080 w 1367790"/>
                            <a:gd name="connsiteY10" fmla="*/ 321945 h 1337945"/>
                            <a:gd name="connisteX11" fmla="*/ 1367790 w 1367790"/>
                            <a:gd name="connsiteY11" fmla="*/ 282575 h 1337945"/>
                            <a:gd name="connisteX12" fmla="*/ 1362710 w 1367790"/>
                            <a:gd name="connsiteY12" fmla="*/ 187325 h 1337945"/>
                            <a:gd name="connisteX13" fmla="*/ 1240790 w 1367790"/>
                            <a:gd name="connsiteY13" fmla="*/ 207645 h 1337945"/>
                            <a:gd name="connisteX14" fmla="*/ 1172210 w 1367790"/>
                            <a:gd name="connsiteY14" fmla="*/ 0 h 1337945"/>
                            <a:gd name="connisteX15" fmla="*/ 830580 w 1367790"/>
                            <a:gd name="connsiteY15" fmla="*/ 75565 h 1337945"/>
                            <a:gd name="connisteX16" fmla="*/ 561975 w 1367790"/>
                            <a:gd name="connsiteY16" fmla="*/ 375920 h 1337945"/>
                            <a:gd name="connisteX17" fmla="*/ 232410 w 1367790"/>
                            <a:gd name="connsiteY17" fmla="*/ 517525 h 1337945"/>
                            <a:gd name="connisteX18" fmla="*/ 215265 w 1367790"/>
                            <a:gd name="connsiteY18" fmla="*/ 536575 h 1337945"/>
                            <a:gd name="connisteX19" fmla="*/ 124460 w 1367790"/>
                            <a:gd name="connsiteY19" fmla="*/ 807720 h 1337945"/>
                            <a:gd name="connisteX20" fmla="*/ 0 w 1367790"/>
                            <a:gd name="connsiteY20" fmla="*/ 893445 h 13379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Lst>
                          <a:rect l="l" t="t" r="r" b="b"/>
                          <a:pathLst>
                            <a:path w="1367790" h="1337945">
                              <a:moveTo>
                                <a:pt x="0" y="893445"/>
                              </a:moveTo>
                              <a:lnTo>
                                <a:pt x="29210" y="942975"/>
                              </a:lnTo>
                              <a:lnTo>
                                <a:pt x="10160" y="1323975"/>
                              </a:lnTo>
                              <a:lnTo>
                                <a:pt x="374015" y="1337945"/>
                              </a:lnTo>
                              <a:lnTo>
                                <a:pt x="386080" y="1111250"/>
                              </a:lnTo>
                              <a:lnTo>
                                <a:pt x="434975" y="1106170"/>
                              </a:lnTo>
                              <a:lnTo>
                                <a:pt x="466725" y="661670"/>
                              </a:lnTo>
                              <a:lnTo>
                                <a:pt x="1199515" y="583565"/>
                              </a:lnTo>
                              <a:lnTo>
                                <a:pt x="1196975" y="420370"/>
                              </a:lnTo>
                              <a:lnTo>
                                <a:pt x="1219200" y="372745"/>
                              </a:lnTo>
                              <a:lnTo>
                                <a:pt x="1275080" y="321945"/>
                              </a:lnTo>
                              <a:lnTo>
                                <a:pt x="1367790" y="282575"/>
                              </a:lnTo>
                              <a:lnTo>
                                <a:pt x="1362710" y="187325"/>
                              </a:lnTo>
                              <a:lnTo>
                                <a:pt x="1240790" y="207645"/>
                              </a:lnTo>
                              <a:lnTo>
                                <a:pt x="1172210" y="0"/>
                              </a:lnTo>
                              <a:lnTo>
                                <a:pt x="830580" y="75565"/>
                              </a:lnTo>
                              <a:lnTo>
                                <a:pt x="561975" y="375920"/>
                              </a:lnTo>
                              <a:lnTo>
                                <a:pt x="232410" y="517525"/>
                              </a:lnTo>
                              <a:lnTo>
                                <a:pt x="215265" y="536575"/>
                              </a:lnTo>
                              <a:lnTo>
                                <a:pt x="124460" y="807720"/>
                              </a:lnTo>
                              <a:lnTo>
                                <a:pt x="0" y="893445"/>
                              </a:lnTo>
                              <a:close/>
                            </a:path>
                          </a:pathLst>
                        </a:custGeom>
                        <a:solidFill>
                          <a:srgbClr val="FFFF00">
                            <a:alpha val="40000"/>
                          </a:srgbClr>
                        </a:solid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77.85pt;margin-top:36.4pt;height:105.35pt;width:107.7pt;z-index:251667456;mso-width-relative:page;mso-height-relative:page;" fillcolor="#FFFF00" filled="t" stroked="t" coordsize="1367790,1337945" o:gfxdata="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" path="m0,893445l29210,942975,10160,1323975,374015,1337945,386080,1111250,434975,1106170,466725,661670,1199515,583565,1196975,420370,1219200,372745,1275080,321945,1367790,282575,1362710,187325,1240790,207645,1172210,0,830580,75565,561975,375920,232410,517525,215265,536575,124460,807720,0,893445xe">
                <v:path o:connectlocs="0,893445;29210,942975;10160,1323975;374015,1337945;386080,1111250;434975,1106170;466725,661670;1199515,583565;1196975,420370;1219200,372745;1275080,321945;1367790,282575;1362710,187325;1240790,207645;1172210,0;830580,75565;561975,375920;232410,517525;215265,536575;124460,807720;0,893445" o:connectangles="0,0,0,0,0,0,0,0,0,0,0,0,0,0,0,0,0,0,0,0,0"/>
                <v:fill on="t" opacity="26214f" focussize="0,0"/>
                <v:stroke color="#FFFF00 [3204]" miterlimit="8" joinstyle="miter"/>
                <v:imagedata o:title=""/>
                <o:lock v:ext="edit" aspectratio="f"/>
              </v:shape>
            </w:pict>
          </mc:Fallback>
        </mc:AlternateContent>
      </w:r>
      <w:r>
        <w:rPr>
          <w:sz w:val="32"/>
        </w:rPr>
        <mc:AlternateContent>
          <mc:Choice Requires="wps">
            <w:drawing>
              <wp:anchor distT="0" distB="0" distL="114300" distR="114300" simplePos="0" relativeHeight="251666432" behindDoc="0" locked="0" layoutInCell="1" allowOverlap="1">
                <wp:simplePos x="0" y="0"/>
                <wp:positionH relativeFrom="column">
                  <wp:posOffset>3267710</wp:posOffset>
                </wp:positionH>
                <wp:positionV relativeFrom="paragraph">
                  <wp:posOffset>643255</wp:posOffset>
                </wp:positionV>
                <wp:extent cx="754380" cy="656590"/>
                <wp:effectExtent l="5715" t="5715" r="20955" b="23495"/>
                <wp:wrapNone/>
                <wp:docPr id="44" name="任意多边形 44"/>
                <wp:cNvGraphicFramePr/>
                <a:graphic xmlns:a="http://schemas.openxmlformats.org/drawingml/2006/main">
                  <a:graphicData uri="http://schemas.microsoft.com/office/word/2010/wordprocessingShape">
                    <wps:wsp>
                      <wps:cNvSpPr/>
                      <wps:spPr>
                        <a:xfrm>
                          <a:off x="4410710" y="4020185"/>
                          <a:ext cx="754380" cy="656590"/>
                        </a:xfrm>
                        <a:custGeom>
                          <a:avLst/>
                          <a:gdLst>
                            <a:gd name="connisteX0" fmla="*/ 0 w 754380"/>
                            <a:gd name="connsiteY0" fmla="*/ 170815 h 656590"/>
                            <a:gd name="connisteX1" fmla="*/ 34290 w 754380"/>
                            <a:gd name="connsiteY1" fmla="*/ 299720 h 656590"/>
                            <a:gd name="connisteX2" fmla="*/ 46355 w 754380"/>
                            <a:gd name="connsiteY2" fmla="*/ 647065 h 656590"/>
                            <a:gd name="connisteX3" fmla="*/ 214630 w 754380"/>
                            <a:gd name="connsiteY3" fmla="*/ 656590 h 656590"/>
                            <a:gd name="connisteX4" fmla="*/ 307340 w 754380"/>
                            <a:gd name="connsiteY4" fmla="*/ 620395 h 656590"/>
                            <a:gd name="connisteX5" fmla="*/ 429895 w 754380"/>
                            <a:gd name="connsiteY5" fmla="*/ 329565 h 656590"/>
                            <a:gd name="connisteX6" fmla="*/ 754380 w 754380"/>
                            <a:gd name="connsiteY6" fmla="*/ 172720 h 656590"/>
                            <a:gd name="connisteX7" fmla="*/ 690880 w 754380"/>
                            <a:gd name="connsiteY7" fmla="*/ 0 h 656590"/>
                            <a:gd name="connisteX8" fmla="*/ 200025 w 754380"/>
                            <a:gd name="connsiteY8" fmla="*/ 128270 h 656590"/>
                            <a:gd name="connisteX9" fmla="*/ 75565 w 754380"/>
                            <a:gd name="connsiteY9" fmla="*/ 121920 h 656590"/>
                            <a:gd name="connisteX10" fmla="*/ 0 w 754380"/>
                            <a:gd name="connsiteY10" fmla="*/ 170815 h 6565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754380" h="656590">
                              <a:moveTo>
                                <a:pt x="0" y="170815"/>
                              </a:moveTo>
                              <a:lnTo>
                                <a:pt x="34290" y="299720"/>
                              </a:lnTo>
                              <a:lnTo>
                                <a:pt x="46355" y="647065"/>
                              </a:lnTo>
                              <a:lnTo>
                                <a:pt x="214630" y="656590"/>
                              </a:lnTo>
                              <a:lnTo>
                                <a:pt x="307340" y="620395"/>
                              </a:lnTo>
                              <a:lnTo>
                                <a:pt x="429895" y="329565"/>
                              </a:lnTo>
                              <a:lnTo>
                                <a:pt x="754380" y="172720"/>
                              </a:lnTo>
                              <a:lnTo>
                                <a:pt x="690880" y="0"/>
                              </a:lnTo>
                              <a:lnTo>
                                <a:pt x="200025" y="128270"/>
                              </a:lnTo>
                              <a:lnTo>
                                <a:pt x="75565" y="121920"/>
                              </a:lnTo>
                              <a:lnTo>
                                <a:pt x="0" y="170815"/>
                              </a:lnTo>
                              <a:close/>
                            </a:path>
                          </a:pathLst>
                        </a:custGeom>
                        <a:solidFill>
                          <a:srgbClr val="FFFF00">
                            <a:alpha val="40000"/>
                          </a:srgbClr>
                        </a:solid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57.3pt;margin-top:50.65pt;height:51.7pt;width:59.4pt;z-index:251666432;mso-width-relative:page;mso-height-relative:page;" fillcolor="#FFFF00" filled="t" stroked="t" coordsize="754380,656590" o:gfxdata="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" path="m0,170815l34290,299720,46355,647065,214630,656590,307340,620395,429895,329565,754380,172720,690880,0,200025,128270,75565,121920,0,170815xe">
                <v:path o:connectlocs="0,170815;34290,299720;46355,647065;214630,656590;307340,620395;429895,329565;754380,172720;690880,0;200025,128270;75565,121920;0,170815" o:connectangles="0,0,0,0,0,0,0,0,0,0,0"/>
                <v:fill on="t" opacity="26214f" focussize="0,0"/>
                <v:stroke color="#FFFF00 [3204]" miterlimit="8" joinstyle="miter"/>
                <v:imagedata o:title=""/>
                <o:lock v:ext="edit" aspectratio="f"/>
              </v:shape>
            </w:pict>
          </mc:Fallback>
        </mc:AlternateContent>
      </w:r>
      <w:r>
        <w:rPr>
          <w:sz w:val="32"/>
        </w:rPr>
        <mc:AlternateContent>
          <mc:Choice Requires="wps">
            <w:drawing>
              <wp:anchor distT="0" distB="0" distL="114300" distR="114300" simplePos="0" relativeHeight="251665408" behindDoc="0" locked="0" layoutInCell="1" allowOverlap="1">
                <wp:simplePos x="0" y="0"/>
                <wp:positionH relativeFrom="column">
                  <wp:posOffset>1866265</wp:posOffset>
                </wp:positionH>
                <wp:positionV relativeFrom="paragraph">
                  <wp:posOffset>919480</wp:posOffset>
                </wp:positionV>
                <wp:extent cx="227330" cy="810895"/>
                <wp:effectExtent l="5080" t="5080" r="15240" b="22225"/>
                <wp:wrapNone/>
                <wp:docPr id="43" name="任意多边形 43"/>
                <wp:cNvGraphicFramePr/>
                <a:graphic xmlns:a="http://schemas.openxmlformats.org/drawingml/2006/main">
                  <a:graphicData uri="http://schemas.microsoft.com/office/word/2010/wordprocessingShape">
                    <wps:wsp>
                      <wps:cNvSpPr/>
                      <wps:spPr>
                        <a:xfrm>
                          <a:off x="3009265" y="4296410"/>
                          <a:ext cx="227330" cy="810895"/>
                        </a:xfrm>
                        <a:custGeom>
                          <a:avLst/>
                          <a:gdLst>
                            <a:gd name="connisteX0" fmla="*/ 2540 w 227330"/>
                            <a:gd name="connsiteY0" fmla="*/ 806450 h 810895"/>
                            <a:gd name="connisteX1" fmla="*/ 218440 w 227330"/>
                            <a:gd name="connsiteY1" fmla="*/ 810895 h 810895"/>
                            <a:gd name="connisteX2" fmla="*/ 227330 w 227330"/>
                            <a:gd name="connsiteY2" fmla="*/ 0 h 810895"/>
                            <a:gd name="connisteX3" fmla="*/ 0 w 227330"/>
                            <a:gd name="connsiteY3" fmla="*/ 17145 h 810895"/>
                            <a:gd name="connisteX4" fmla="*/ 2540 w 227330"/>
                            <a:gd name="connsiteY4" fmla="*/ 806450 h 81089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27330" h="810895">
                              <a:moveTo>
                                <a:pt x="2540" y="806450"/>
                              </a:moveTo>
                              <a:lnTo>
                                <a:pt x="218440" y="810895"/>
                              </a:lnTo>
                              <a:lnTo>
                                <a:pt x="227330" y="0"/>
                              </a:lnTo>
                              <a:lnTo>
                                <a:pt x="0" y="17145"/>
                              </a:lnTo>
                              <a:lnTo>
                                <a:pt x="2540" y="806450"/>
                              </a:lnTo>
                              <a:close/>
                            </a:path>
                          </a:pathLst>
                        </a:custGeom>
                        <a:solidFill>
                          <a:srgbClr val="FFFF00">
                            <a:alpha val="40000"/>
                          </a:srgbClr>
                        </a:solidFill>
                        <a:ln w="952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46.95pt;margin-top:72.4pt;height:63.85pt;width:17.9pt;z-index:251665408;mso-width-relative:page;mso-height-relative:page;" fillcolor="#FFFF00" filled="t" stroked="t" coordsize="227330,810895" o:gfxdata="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" path="m2540,806450l218440,810895,227330,0,0,17145,2540,806450xe">
                <v:path o:connectlocs="2540,806450;218440,810895;227330,0;0,17145;2540,806450" o:connectangles="0,0,0,0,0"/>
                <v:fill on="t" opacity="26214f" focussize="0,0"/>
                <v:stroke color="#FFFF00 [3204]" miterlimit="8" joinstyle="miter"/>
                <v:imagedata o:title=""/>
                <o:lock v:ext="edit" aspectratio="f"/>
              </v:shape>
            </w:pict>
          </mc:Fallback>
        </mc:AlternateContent>
      </w:r>
      <w:r>
        <w:rPr>
          <w:sz w:val="32"/>
        </w:rPr>
        <mc:AlternateContent>
          <mc:Choice Requires="wps">
            <w:drawing>
              <wp:anchor distT="0" distB="0" distL="114300" distR="114300" simplePos="0" relativeHeight="251664384" behindDoc="0" locked="0" layoutInCell="1" allowOverlap="1">
                <wp:simplePos x="0" y="0"/>
                <wp:positionH relativeFrom="column">
                  <wp:posOffset>1875790</wp:posOffset>
                </wp:positionH>
                <wp:positionV relativeFrom="paragraph">
                  <wp:posOffset>933450</wp:posOffset>
                </wp:positionV>
                <wp:extent cx="201930" cy="176530"/>
                <wp:effectExtent l="6985" t="6985" r="19685" b="6985"/>
                <wp:wrapNone/>
                <wp:docPr id="42" name="任意多边形 42"/>
                <wp:cNvGraphicFramePr/>
                <a:graphic xmlns:a="http://schemas.openxmlformats.org/drawingml/2006/main">
                  <a:graphicData uri="http://schemas.microsoft.com/office/word/2010/wordprocessingShape">
                    <wps:wsp>
                      <wps:cNvSpPr/>
                      <wps:spPr>
                        <a:xfrm>
                          <a:off x="3018790" y="4310380"/>
                          <a:ext cx="201930" cy="176530"/>
                        </a:xfrm>
                        <a:custGeom>
                          <a:avLst/>
                          <a:gdLst>
                            <a:gd name="connisteX0" fmla="*/ 0 w 201930"/>
                            <a:gd name="connsiteY0" fmla="*/ 174625 h 176530"/>
                            <a:gd name="connisteX1" fmla="*/ 201930 w 201930"/>
                            <a:gd name="connsiteY1" fmla="*/ 176530 h 176530"/>
                            <a:gd name="connisteX2" fmla="*/ 201930 w 201930"/>
                            <a:gd name="connsiteY2" fmla="*/ 0 h 176530"/>
                            <a:gd name="connisteX3" fmla="*/ 8890 w 201930"/>
                            <a:gd name="connsiteY3" fmla="*/ 17145 h 176530"/>
                            <a:gd name="connisteX4" fmla="*/ 0 w 201930"/>
                            <a:gd name="connsiteY4" fmla="*/ 174625 h 1765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01930" h="176530">
                              <a:moveTo>
                                <a:pt x="0" y="174625"/>
                              </a:moveTo>
                              <a:lnTo>
                                <a:pt x="201930" y="176530"/>
                              </a:lnTo>
                              <a:lnTo>
                                <a:pt x="201930" y="0"/>
                              </a:lnTo>
                              <a:lnTo>
                                <a:pt x="8890" y="17145"/>
                              </a:lnTo>
                              <a:lnTo>
                                <a:pt x="0" y="174625"/>
                              </a:lnTo>
                              <a:close/>
                            </a:path>
                          </a:pathLst>
                        </a:custGeom>
                        <a:solidFill>
                          <a:srgbClr val="FF0000">
                            <a:alpha val="4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47.7pt;margin-top:73.5pt;height:13.9pt;width:15.9pt;z-index:251664384;mso-width-relative:page;mso-height-relative:page;" fillcolor="#FF0000" filled="t" stroked="t" coordsize="201930,176530" o:gfxdata="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u+r54dsAAAALAQAADwAAAAAAAAABACAAAAAiAAAAZHJzL2Rvd25yZXYueG1sUEsB&#10;AhQAFAAAAAgAh07iQJ2YUJkPAwAARAgAAA4AAAAAAAAAAQAgAAAAKgEAAGRycy9lMm9Eb2MueG1s&#10;UEsFBgAAAAAGAAYAWQEAAKsGAAAAAA==&#10;" path="m0,174625l201930,176530,201930,0,8890,17145,0,174625xe">
                <v:path o:connectlocs="0,174625;201930,176530;201930,0;8890,17145;0,174625" o:connectangles="0,0,0,0,0"/>
                <v:fill on="t" opacity="26214f" focussize="0,0"/>
                <v:stroke weight="1pt" color="#FF0000 [3204]" miterlimit="8" joinstyle="miter"/>
                <v:imagedata o:title=""/>
                <o:lock v:ext="edit" aspectratio="f"/>
              </v:shape>
            </w:pict>
          </mc:Fallback>
        </mc:AlternateContent>
      </w:r>
      <w:r>
        <w:rPr>
          <w:rFonts w:hint="eastAsia" w:ascii="Times New Roman" w:hAnsi="Times New Roman" w:eastAsia="宋体" w:cs="Times New Roman"/>
          <w:lang w:val="en-US" w:eastAsia="zh-CN"/>
        </w:rPr>
        <w:drawing>
          <wp:inline distT="0" distB="0" distL="114300" distR="114300">
            <wp:extent cx="5264150" cy="2941955"/>
            <wp:effectExtent l="0" t="0" r="12700" b="10795"/>
            <wp:docPr id="36" name="图片 36" descr="C:\Users\Administrator\Desktop\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istrator\Desktop\1.jpg1"/>
                    <pic:cNvPicPr>
                      <a:picLocks noChangeAspect="1"/>
                    </pic:cNvPicPr>
                  </pic:nvPicPr>
                  <pic:blipFill>
                    <a:blip r:embed="rId94"/>
                    <a:srcRect/>
                    <a:stretch>
                      <a:fillRect/>
                    </a:stretch>
                  </pic:blipFill>
                  <pic:spPr>
                    <a:xfrm>
                      <a:off x="0" y="0"/>
                      <a:ext cx="5264150" cy="2941955"/>
                    </a:xfrm>
                    <a:prstGeom prst="rect">
                      <a:avLst/>
                    </a:prstGeom>
                  </pic:spPr>
                </pic:pic>
              </a:graphicData>
            </a:graphic>
          </wp:inline>
        </w:drawing>
      </w:r>
    </w:p>
    <w:p>
      <w:pPr>
        <w:jc w:val="center"/>
        <w:rPr>
          <w:rFonts w:hint="eastAsia" w:ascii="Times New Roman" w:hAnsi="Times New Roman" w:eastAsia="宋体" w:cs="Times New Roman"/>
          <w:lang w:val="en-US" w:eastAsia="zh-CN"/>
        </w:rPr>
      </w:pPr>
      <w:r>
        <w:rPr>
          <w:rFonts w:hint="default"/>
          <w:b/>
          <w:bCs/>
          <w:sz w:val="24"/>
          <w:szCs w:val="24"/>
          <w:lang w:val="en-US" w:eastAsia="zh-CN"/>
        </w:rPr>
        <w:t>图</w:t>
      </w:r>
      <w:r>
        <w:rPr>
          <w:rFonts w:hint="eastAsia" w:ascii="Times New Roman" w:hAnsi="Times New Roman" w:cs="Times New Roman"/>
          <w:b/>
          <w:bCs/>
          <w:sz w:val="24"/>
          <w:szCs w:val="24"/>
          <w:lang w:val="en-US" w:eastAsia="zh-CN"/>
        </w:rPr>
        <w:t>5.1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default"/>
          <w:b/>
          <w:bCs/>
          <w:sz w:val="24"/>
          <w:szCs w:val="24"/>
          <w:lang w:val="en-US" w:eastAsia="zh-CN"/>
        </w:rPr>
        <w:t xml:space="preserve"> 项目</w:t>
      </w:r>
      <w:r>
        <w:rPr>
          <w:rFonts w:hint="eastAsia"/>
          <w:b/>
          <w:bCs/>
          <w:sz w:val="24"/>
          <w:szCs w:val="24"/>
          <w:lang w:val="en-US" w:eastAsia="zh-CN"/>
        </w:rPr>
        <w:t>周边情况</w:t>
      </w:r>
      <w:r>
        <w:rPr>
          <w:rFonts w:hint="default"/>
          <w:b/>
          <w:bCs/>
          <w:sz w:val="24"/>
          <w:szCs w:val="24"/>
          <w:lang w:val="en-US" w:eastAsia="zh-CN"/>
        </w:rPr>
        <w:t>图</w:t>
      </w:r>
    </w:p>
    <w:p>
      <w:pPr>
        <w:pStyle w:val="5"/>
        <w:rPr>
          <w:rFonts w:hint="eastAsia"/>
          <w:lang w:val="en-US" w:eastAsia="zh-CN"/>
        </w:rPr>
      </w:pP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8" w:name="_Toc17957"/>
      <w:bookmarkStart w:id="9" w:name="_Toc18975"/>
      <w:r>
        <w:rPr>
          <w:rFonts w:hint="eastAsia" w:ascii="Times New Roman" w:hAnsi="Times New Roman" w:eastAsia="宋体" w:cs="Times New Roman"/>
          <w:lang w:val="en-US" w:eastAsia="zh-CN"/>
        </w:rPr>
        <w:t>5</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4</w:t>
      </w:r>
      <w:r>
        <w:rPr>
          <w:rFonts w:hint="eastAsia" w:ascii="宋体" w:hAnsi="宋体" w:eastAsia="宋体" w:cs="宋体"/>
          <w:lang w:val="en-US" w:eastAsia="zh-CN"/>
        </w:rPr>
        <w:t>大气环境质量现状调查与评价</w:t>
      </w:r>
      <w:bookmarkEnd w:id="8"/>
      <w:bookmarkEnd w:id="9"/>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b/>
          <w:bCs/>
          <w:sz w:val="24"/>
          <w:szCs w:val="24"/>
          <w:lang w:val="en-US" w:eastAsia="zh-CN"/>
        </w:rPr>
        <w:t>环境空气质量达标区判定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根据淄博市《</w:t>
      </w:r>
      <w:r>
        <w:rPr>
          <w:rFonts w:hint="eastAsia" w:ascii="Times New Roman" w:hAnsi="Times New Roman"/>
          <w:sz w:val="24"/>
          <w:szCs w:val="24"/>
          <w:lang w:val="en-US" w:eastAsia="zh-CN"/>
        </w:rPr>
        <w:t>2020</w:t>
      </w:r>
      <w:r>
        <w:rPr>
          <w:rFonts w:hint="default" w:ascii="Times New Roman" w:hAnsi="Times New Roman"/>
          <w:sz w:val="24"/>
          <w:szCs w:val="24"/>
          <w:lang w:val="en-US" w:eastAsia="zh-CN"/>
        </w:rPr>
        <w:t>年度环境质量情况通报》，</w:t>
      </w:r>
      <w:r>
        <w:rPr>
          <w:rFonts w:hint="eastAsia" w:ascii="Times New Roman" w:hAnsi="Times New Roman"/>
          <w:sz w:val="24"/>
          <w:szCs w:val="24"/>
          <w:lang w:val="en-US" w:eastAsia="zh-CN"/>
        </w:rPr>
        <w:t>2020</w:t>
      </w:r>
      <w:r>
        <w:rPr>
          <w:rFonts w:hint="default" w:ascii="Times New Roman" w:hAnsi="Times New Roman"/>
          <w:sz w:val="24"/>
          <w:szCs w:val="24"/>
          <w:lang w:val="en-US" w:eastAsia="zh-CN"/>
        </w:rPr>
        <w:t>年度全市良好天数</w:t>
      </w:r>
      <w:r>
        <w:rPr>
          <w:rFonts w:hint="eastAsia" w:ascii="Times New Roman" w:hAnsi="Times New Roman"/>
          <w:sz w:val="24"/>
          <w:szCs w:val="24"/>
          <w:lang w:val="en-US" w:eastAsia="zh-CN"/>
        </w:rPr>
        <w:t>218</w:t>
      </w:r>
      <w:r>
        <w:rPr>
          <w:rFonts w:hint="default" w:ascii="Times New Roman" w:hAnsi="Times New Roman"/>
          <w:sz w:val="24"/>
          <w:szCs w:val="24"/>
          <w:lang w:val="en-US" w:eastAsia="zh-CN"/>
        </w:rPr>
        <w:t>天，同比</w:t>
      </w:r>
      <w:r>
        <w:rPr>
          <w:rFonts w:hint="eastAsia" w:ascii="Times New Roman" w:hAnsi="Times New Roman"/>
          <w:sz w:val="24"/>
          <w:szCs w:val="24"/>
          <w:lang w:val="en-US" w:eastAsia="zh-CN"/>
        </w:rPr>
        <w:t>增加38</w:t>
      </w:r>
      <w:r>
        <w:rPr>
          <w:rFonts w:hint="default" w:ascii="Times New Roman" w:hAnsi="Times New Roman"/>
          <w:sz w:val="24"/>
          <w:szCs w:val="24"/>
          <w:lang w:val="en-US" w:eastAsia="zh-CN"/>
        </w:rPr>
        <w:t>天。重污染天数</w:t>
      </w:r>
      <w:r>
        <w:rPr>
          <w:rFonts w:hint="eastAsia" w:ascii="Times New Roman" w:hAnsi="Times New Roman"/>
          <w:sz w:val="24"/>
          <w:szCs w:val="24"/>
          <w:lang w:val="en-US" w:eastAsia="zh-CN"/>
        </w:rPr>
        <w:t>12</w:t>
      </w:r>
      <w:r>
        <w:rPr>
          <w:rFonts w:hint="default" w:ascii="Times New Roman" w:hAnsi="Times New Roman"/>
          <w:sz w:val="24"/>
          <w:szCs w:val="24"/>
          <w:lang w:val="en-US" w:eastAsia="zh-CN"/>
        </w:rPr>
        <w:t>天，同比</w:t>
      </w:r>
      <w:r>
        <w:rPr>
          <w:rFonts w:hint="eastAsia" w:ascii="Times New Roman" w:hAnsi="Times New Roman"/>
          <w:sz w:val="24"/>
          <w:szCs w:val="24"/>
          <w:lang w:val="en-US" w:eastAsia="zh-CN"/>
        </w:rPr>
        <w:t>减少6</w:t>
      </w:r>
      <w:r>
        <w:rPr>
          <w:rFonts w:hint="default" w:ascii="Times New Roman" w:hAnsi="Times New Roman"/>
          <w:sz w:val="24"/>
          <w:szCs w:val="24"/>
          <w:lang w:val="en-US" w:eastAsia="zh-CN"/>
        </w:rPr>
        <w:t>天。6项主要污染物浓度及同比改善分别为：二氧化硫（SO</w:t>
      </w:r>
      <w:r>
        <w:rPr>
          <w:rFonts w:hint="default" w:ascii="Times New Roman" w:hAnsi="Times New Roman"/>
          <w:sz w:val="24"/>
          <w:szCs w:val="24"/>
          <w:vertAlign w:val="subscript"/>
          <w:lang w:val="en-US" w:eastAsia="zh-CN"/>
        </w:rPr>
        <w:t>2</w:t>
      </w:r>
      <w:r>
        <w:rPr>
          <w:rFonts w:hint="default" w:ascii="Times New Roman" w:hAnsi="Times New Roman"/>
          <w:sz w:val="24"/>
          <w:szCs w:val="24"/>
          <w:lang w:val="en-US" w:eastAsia="zh-CN"/>
        </w:rPr>
        <w:t>）</w:t>
      </w:r>
      <w:r>
        <w:rPr>
          <w:rFonts w:hint="eastAsia" w:ascii="Times New Roman" w:hAnsi="Times New Roman"/>
          <w:sz w:val="24"/>
          <w:szCs w:val="24"/>
          <w:lang w:val="en-US" w:eastAsia="zh-CN"/>
        </w:rPr>
        <w:t>17</w:t>
      </w:r>
      <w:r>
        <w:rPr>
          <w:rFonts w:hint="default" w:ascii="Times New Roman" w:hAnsi="Times New Roman"/>
          <w:sz w:val="24"/>
          <w:szCs w:val="24"/>
          <w:lang w:val="en-US" w:eastAsia="zh-CN"/>
        </w:rPr>
        <w:t>微克/立方米，同比改善</w:t>
      </w:r>
      <w:r>
        <w:rPr>
          <w:rFonts w:hint="eastAsia" w:ascii="Times New Roman" w:hAnsi="Times New Roman"/>
          <w:sz w:val="24"/>
          <w:szCs w:val="24"/>
          <w:lang w:val="en-US" w:eastAsia="zh-CN"/>
        </w:rPr>
        <w:t>15.0</w:t>
      </w:r>
      <w:r>
        <w:rPr>
          <w:rFonts w:hint="default" w:ascii="Times New Roman" w:hAnsi="Times New Roman"/>
          <w:sz w:val="24"/>
          <w:szCs w:val="24"/>
          <w:lang w:val="en-US" w:eastAsia="zh-CN"/>
        </w:rPr>
        <w:t>%，二氧化氮（NO</w:t>
      </w:r>
      <w:r>
        <w:rPr>
          <w:rFonts w:hint="default" w:ascii="Times New Roman" w:hAnsi="Times New Roman"/>
          <w:sz w:val="24"/>
          <w:szCs w:val="24"/>
          <w:vertAlign w:val="subscript"/>
          <w:lang w:val="en-US" w:eastAsia="zh-CN"/>
        </w:rPr>
        <w:t>2</w:t>
      </w:r>
      <w:r>
        <w:rPr>
          <w:rFonts w:hint="default" w:ascii="Times New Roman" w:hAnsi="Times New Roman"/>
          <w:sz w:val="24"/>
          <w:szCs w:val="24"/>
          <w:lang w:val="en-US" w:eastAsia="zh-CN"/>
        </w:rPr>
        <w:t>）</w:t>
      </w:r>
      <w:r>
        <w:rPr>
          <w:rFonts w:hint="eastAsia" w:ascii="Times New Roman" w:hAnsi="Times New Roman"/>
          <w:sz w:val="24"/>
          <w:szCs w:val="24"/>
          <w:lang w:val="en-US" w:eastAsia="zh-CN"/>
        </w:rPr>
        <w:t>38</w:t>
      </w:r>
      <w:r>
        <w:rPr>
          <w:rFonts w:hint="default" w:ascii="Times New Roman" w:hAnsi="Times New Roman"/>
          <w:sz w:val="24"/>
          <w:szCs w:val="24"/>
          <w:lang w:val="en-US" w:eastAsia="zh-CN"/>
        </w:rPr>
        <w:t>微克/立方米，同比</w:t>
      </w:r>
      <w:r>
        <w:rPr>
          <w:rFonts w:hint="eastAsia" w:ascii="Times New Roman" w:hAnsi="Times New Roman"/>
          <w:sz w:val="24"/>
          <w:szCs w:val="24"/>
          <w:lang w:val="en-US" w:eastAsia="zh-CN"/>
        </w:rPr>
        <w:t>改善9.5</w:t>
      </w:r>
      <w:r>
        <w:rPr>
          <w:rFonts w:hint="default" w:ascii="Times New Roman" w:hAnsi="Times New Roman"/>
          <w:sz w:val="24"/>
          <w:szCs w:val="24"/>
          <w:lang w:val="en-US" w:eastAsia="zh-CN"/>
        </w:rPr>
        <w:t>%；可吸入颗粒物（PM</w:t>
      </w:r>
      <w:r>
        <w:rPr>
          <w:rFonts w:hint="default" w:ascii="Times New Roman" w:hAnsi="Times New Roman"/>
          <w:sz w:val="24"/>
          <w:szCs w:val="24"/>
          <w:vertAlign w:val="subscript"/>
          <w:lang w:val="en-US" w:eastAsia="zh-CN"/>
        </w:rPr>
        <w:t>10</w:t>
      </w:r>
      <w:r>
        <w:rPr>
          <w:rFonts w:hint="default" w:ascii="Times New Roman" w:hAnsi="Times New Roman"/>
          <w:sz w:val="24"/>
          <w:szCs w:val="24"/>
          <w:lang w:val="en-US" w:eastAsia="zh-CN"/>
        </w:rPr>
        <w:t>）</w:t>
      </w:r>
      <w:r>
        <w:rPr>
          <w:rFonts w:hint="eastAsia" w:ascii="Times New Roman" w:hAnsi="Times New Roman"/>
          <w:sz w:val="24"/>
          <w:szCs w:val="24"/>
          <w:lang w:val="en-US" w:eastAsia="zh-CN"/>
        </w:rPr>
        <w:t>90</w:t>
      </w:r>
      <w:r>
        <w:rPr>
          <w:rFonts w:hint="default" w:ascii="Times New Roman" w:hAnsi="Times New Roman"/>
          <w:sz w:val="24"/>
          <w:szCs w:val="24"/>
          <w:lang w:val="en-US" w:eastAsia="zh-CN"/>
        </w:rPr>
        <w:t>微克/立方米，同比</w:t>
      </w:r>
      <w:r>
        <w:rPr>
          <w:rFonts w:hint="eastAsia" w:ascii="Times New Roman" w:hAnsi="Times New Roman"/>
          <w:sz w:val="24"/>
          <w:szCs w:val="24"/>
          <w:lang w:val="en-US" w:eastAsia="zh-CN"/>
        </w:rPr>
        <w:t>改善13.5</w:t>
      </w:r>
      <w:r>
        <w:rPr>
          <w:rFonts w:hint="default" w:ascii="Times New Roman" w:hAnsi="Times New Roman"/>
          <w:sz w:val="24"/>
          <w:szCs w:val="24"/>
          <w:lang w:val="en-US" w:eastAsia="zh-CN"/>
        </w:rPr>
        <w:t>%；细颗粒物（PM</w:t>
      </w:r>
      <w:r>
        <w:rPr>
          <w:rFonts w:hint="default" w:ascii="Times New Roman" w:hAnsi="Times New Roman"/>
          <w:sz w:val="24"/>
          <w:szCs w:val="24"/>
          <w:vertAlign w:val="subscript"/>
          <w:lang w:val="en-US" w:eastAsia="zh-CN"/>
        </w:rPr>
        <w:t>2.5</w:t>
      </w:r>
      <w:r>
        <w:rPr>
          <w:rFonts w:hint="default" w:ascii="Times New Roman" w:hAnsi="Times New Roman"/>
          <w:sz w:val="24"/>
          <w:szCs w:val="24"/>
          <w:lang w:val="en-US" w:eastAsia="zh-CN"/>
        </w:rPr>
        <w:t>）</w:t>
      </w:r>
      <w:r>
        <w:rPr>
          <w:rFonts w:hint="eastAsia" w:ascii="Times New Roman" w:hAnsi="Times New Roman"/>
          <w:sz w:val="24"/>
          <w:szCs w:val="24"/>
          <w:lang w:val="en-US" w:eastAsia="zh-CN"/>
        </w:rPr>
        <w:t>52</w:t>
      </w:r>
      <w:r>
        <w:rPr>
          <w:rFonts w:hint="default" w:ascii="Times New Roman" w:hAnsi="Times New Roman"/>
          <w:sz w:val="24"/>
          <w:szCs w:val="24"/>
          <w:lang w:val="en-US" w:eastAsia="zh-CN"/>
        </w:rPr>
        <w:t>微克/立方米，同比</w:t>
      </w:r>
      <w:r>
        <w:rPr>
          <w:rFonts w:hint="eastAsia" w:ascii="Times New Roman" w:hAnsi="Times New Roman"/>
          <w:sz w:val="24"/>
          <w:szCs w:val="24"/>
          <w:lang w:val="en-US" w:eastAsia="zh-CN"/>
        </w:rPr>
        <w:t>改善7.1</w:t>
      </w:r>
      <w:r>
        <w:rPr>
          <w:rFonts w:hint="default" w:ascii="Times New Roman" w:hAnsi="Times New Roman"/>
          <w:sz w:val="24"/>
          <w:szCs w:val="24"/>
          <w:lang w:val="en-US" w:eastAsia="zh-CN"/>
        </w:rPr>
        <w:t>%；一氧化碳（CO）1.</w:t>
      </w:r>
      <w:r>
        <w:rPr>
          <w:rFonts w:hint="eastAsia" w:ascii="Times New Roman" w:hAnsi="Times New Roman"/>
          <w:sz w:val="24"/>
          <w:szCs w:val="24"/>
          <w:lang w:val="en-US" w:eastAsia="zh-CN"/>
        </w:rPr>
        <w:t>8</w:t>
      </w:r>
      <w:r>
        <w:rPr>
          <w:rFonts w:hint="default" w:ascii="Times New Roman" w:hAnsi="Times New Roman"/>
          <w:sz w:val="24"/>
          <w:szCs w:val="24"/>
          <w:lang w:val="en-US" w:eastAsia="zh-CN"/>
        </w:rPr>
        <w:t>毫克/立方米，同比改善5.</w:t>
      </w:r>
      <w:r>
        <w:rPr>
          <w:rFonts w:hint="eastAsia" w:ascii="Times New Roman" w:hAnsi="Times New Roman"/>
          <w:sz w:val="24"/>
          <w:szCs w:val="24"/>
          <w:lang w:val="en-US" w:eastAsia="zh-CN"/>
        </w:rPr>
        <w:t>3</w:t>
      </w:r>
      <w:r>
        <w:rPr>
          <w:rFonts w:hint="default" w:ascii="Times New Roman" w:hAnsi="Times New Roman"/>
          <w:sz w:val="24"/>
          <w:szCs w:val="24"/>
          <w:lang w:val="en-US" w:eastAsia="zh-CN"/>
        </w:rPr>
        <w:t>%；臭氧（O</w:t>
      </w:r>
      <w:r>
        <w:rPr>
          <w:rFonts w:hint="default" w:ascii="Times New Roman" w:hAnsi="Times New Roman"/>
          <w:sz w:val="24"/>
          <w:szCs w:val="24"/>
          <w:vertAlign w:val="subscript"/>
          <w:lang w:val="en-US" w:eastAsia="zh-CN"/>
        </w:rPr>
        <w:t>3</w:t>
      </w:r>
      <w:r>
        <w:rPr>
          <w:rFonts w:hint="default" w:ascii="Times New Roman" w:hAnsi="Times New Roman"/>
          <w:sz w:val="24"/>
          <w:szCs w:val="24"/>
          <w:lang w:val="en-US" w:eastAsia="zh-CN"/>
        </w:rPr>
        <w:t>）</w:t>
      </w:r>
      <w:r>
        <w:rPr>
          <w:rFonts w:hint="eastAsia" w:ascii="Times New Roman" w:hAnsi="Times New Roman"/>
          <w:sz w:val="24"/>
          <w:szCs w:val="24"/>
          <w:lang w:val="en-US" w:eastAsia="zh-CN"/>
        </w:rPr>
        <w:t>188</w:t>
      </w:r>
      <w:r>
        <w:rPr>
          <w:rFonts w:hint="default" w:ascii="Times New Roman" w:hAnsi="Times New Roman"/>
          <w:sz w:val="24"/>
          <w:szCs w:val="24"/>
          <w:lang w:val="en-US" w:eastAsia="zh-CN"/>
        </w:rPr>
        <w:t>微克/立方米，同比</w:t>
      </w:r>
      <w:r>
        <w:rPr>
          <w:rFonts w:hint="eastAsia" w:ascii="Times New Roman" w:hAnsi="Times New Roman"/>
          <w:sz w:val="24"/>
          <w:szCs w:val="24"/>
          <w:lang w:val="en-US" w:eastAsia="zh-CN"/>
        </w:rPr>
        <w:t>改善7.8</w:t>
      </w:r>
      <w:r>
        <w:rPr>
          <w:rFonts w:hint="default" w:ascii="Times New Roman" w:hAnsi="Times New Roman"/>
          <w:sz w:val="24"/>
          <w:szCs w:val="24"/>
          <w:lang w:val="en-US" w:eastAsia="zh-CN"/>
        </w:rPr>
        <w:t>%。全市综合指数为</w:t>
      </w:r>
      <w:r>
        <w:rPr>
          <w:rFonts w:hint="eastAsia" w:ascii="Times New Roman" w:hAnsi="Times New Roman"/>
          <w:sz w:val="24"/>
          <w:szCs w:val="24"/>
          <w:lang w:val="en-US" w:eastAsia="zh-CN"/>
        </w:rPr>
        <w:t>5.64</w:t>
      </w:r>
      <w:r>
        <w:rPr>
          <w:rFonts w:hint="default" w:ascii="Times New Roman" w:hAnsi="Times New Roman"/>
          <w:sz w:val="24"/>
          <w:szCs w:val="24"/>
          <w:lang w:val="en-US" w:eastAsia="zh-CN"/>
        </w:rPr>
        <w:t>，同比</w:t>
      </w:r>
      <w:r>
        <w:rPr>
          <w:rFonts w:hint="eastAsia" w:ascii="Times New Roman" w:hAnsi="Times New Roman"/>
          <w:sz w:val="24"/>
          <w:szCs w:val="24"/>
          <w:lang w:val="en-US" w:eastAsia="zh-CN"/>
        </w:rPr>
        <w:t>改善9.5</w:t>
      </w:r>
      <w:r>
        <w:rPr>
          <w:rFonts w:hint="default" w:ascii="Times New Roman" w:hAnsi="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《环境空气质量评价技术规范（试行）》（HJ663-2013）规定：“污染物年评价达标是指该污染物年平均浓度（CO和O</w:t>
      </w:r>
      <w:r>
        <w:rPr>
          <w:rFonts w:hint="default" w:ascii="Times New Roman" w:hAnsi="Times New Roman"/>
          <w:sz w:val="24"/>
          <w:szCs w:val="24"/>
          <w:vertAlign w:val="subscript"/>
          <w:lang w:val="en-US" w:eastAsia="zh-CN"/>
        </w:rPr>
        <w:t>3</w:t>
      </w:r>
      <w:r>
        <w:rPr>
          <w:rFonts w:hint="default" w:ascii="Times New Roman" w:hAnsi="Times New Roman"/>
          <w:sz w:val="24"/>
          <w:szCs w:val="24"/>
          <w:lang w:val="en-US" w:eastAsia="zh-CN"/>
        </w:rPr>
        <w:t>除外）和特定的百分位数浓度同时达标”。淄博市20</w:t>
      </w:r>
      <w:r>
        <w:rPr>
          <w:rFonts w:hint="eastAsia" w:ascii="Times New Roman" w:hAnsi="Times New Roman"/>
          <w:sz w:val="24"/>
          <w:szCs w:val="24"/>
          <w:lang w:val="en-US" w:eastAsia="zh-CN"/>
        </w:rPr>
        <w:t>20</w:t>
      </w:r>
      <w:r>
        <w:rPr>
          <w:rFonts w:hint="default" w:ascii="Times New Roman" w:hAnsi="Times New Roman"/>
          <w:sz w:val="24"/>
          <w:szCs w:val="24"/>
          <w:lang w:val="en-US" w:eastAsia="zh-CN"/>
        </w:rPr>
        <w:t>年PM</w:t>
      </w:r>
      <w:r>
        <w:rPr>
          <w:rFonts w:hint="default" w:ascii="Times New Roman" w:hAnsi="Times New Roman"/>
          <w:sz w:val="24"/>
          <w:szCs w:val="24"/>
          <w:vertAlign w:val="subscript"/>
          <w:lang w:val="en-US" w:eastAsia="zh-CN"/>
        </w:rPr>
        <w:t>2.5</w:t>
      </w:r>
      <w:r>
        <w:rPr>
          <w:rFonts w:hint="default" w:ascii="Times New Roman" w:hAnsi="Times New Roman"/>
          <w:sz w:val="24"/>
          <w:szCs w:val="24"/>
          <w:lang w:val="en-US" w:eastAsia="zh-CN"/>
        </w:rPr>
        <w:t>、PM</w:t>
      </w:r>
      <w:r>
        <w:rPr>
          <w:rFonts w:hint="default" w:ascii="Times New Roman" w:hAnsi="Times New Roman"/>
          <w:sz w:val="24"/>
          <w:szCs w:val="24"/>
          <w:vertAlign w:val="subscript"/>
          <w:lang w:val="en-US" w:eastAsia="zh-CN"/>
        </w:rPr>
        <w:t>10</w:t>
      </w:r>
      <w:r>
        <w:rPr>
          <w:rFonts w:hint="default" w:ascii="Times New Roman" w:hAnsi="Times New Roman"/>
          <w:sz w:val="24"/>
          <w:szCs w:val="24"/>
          <w:lang w:val="en-US" w:eastAsia="zh-CN"/>
        </w:rPr>
        <w:t>的年均浓度不能满足《环境空气质量标准》（GB3095-2012）二级标准要求，年评价不达标，项目所在地处于不达标区。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本次评价收集了桓台</w:t>
      </w:r>
      <w:r>
        <w:rPr>
          <w:rFonts w:hint="eastAsia" w:ascii="Times New Roman" w:hAnsi="Times New Roman"/>
          <w:sz w:val="24"/>
          <w:szCs w:val="24"/>
          <w:lang w:val="en-US" w:eastAsia="zh-CN"/>
        </w:rPr>
        <w:t>县马桥镇</w:t>
      </w:r>
      <w:r>
        <w:rPr>
          <w:rFonts w:hint="default" w:ascii="Times New Roman" w:hAnsi="Times New Roman"/>
          <w:sz w:val="24"/>
          <w:szCs w:val="24"/>
          <w:lang w:val="en-US" w:eastAsia="zh-CN"/>
        </w:rPr>
        <w:t>评价基础年20</w:t>
      </w:r>
      <w:r>
        <w:rPr>
          <w:rFonts w:hint="eastAsia" w:ascii="Times New Roman" w:hAnsi="Times New Roman"/>
          <w:sz w:val="24"/>
          <w:szCs w:val="24"/>
          <w:lang w:val="en-US" w:eastAsia="zh-CN"/>
        </w:rPr>
        <w:t>18</w:t>
      </w:r>
      <w:r>
        <w:rPr>
          <w:rFonts w:hint="default" w:ascii="Times New Roman" w:hAnsi="Times New Roman"/>
          <w:sz w:val="24"/>
          <w:szCs w:val="24"/>
          <w:lang w:val="en-US" w:eastAsia="zh-CN"/>
        </w:rPr>
        <w:t>年连续1年的监测数据，数据统计及评价情况见表</w:t>
      </w:r>
      <w:r>
        <w:rPr>
          <w:rFonts w:hint="eastAsia" w:ascii="Times New Roman" w:hAnsi="Times New Roman"/>
          <w:sz w:val="24"/>
          <w:szCs w:val="24"/>
          <w:lang w:val="en-US" w:eastAsia="zh-CN"/>
        </w:rPr>
        <w:t>5</w:t>
      </w:r>
      <w:r>
        <w:rPr>
          <w:rFonts w:hint="default" w:ascii="Times New Roman" w:hAnsi="Times New Roman"/>
          <w:sz w:val="24"/>
          <w:szCs w:val="24"/>
          <w:lang w:val="en-US" w:eastAsia="zh-CN"/>
        </w:rPr>
        <w:t>.2-1。</w:t>
      </w:r>
    </w:p>
    <w:p>
      <w:pPr>
        <w:bidi w:val="0"/>
        <w:jc w:val="center"/>
        <w:rPr>
          <w:rFonts w:hint="default" w:ascii="Times New Roman" w:hAnsi="Times New Roman"/>
          <w:sz w:val="24"/>
          <w:szCs w:val="24"/>
          <w:lang w:val="en-US" w:eastAsia="zh-CN"/>
        </w:rPr>
      </w:pPr>
      <w:r>
        <w:rPr>
          <w:rFonts w:hint="default" w:ascii="Times New Roman" w:hAnsi="Times New Roman"/>
          <w:b/>
          <w:bCs/>
          <w:sz w:val="24"/>
          <w:szCs w:val="24"/>
          <w:lang w:val="en-US" w:eastAsia="zh-CN"/>
        </w:rPr>
        <w:t>表3-1 区域基本污染物环境质量现状监测结果统计表</w:t>
      </w:r>
    </w:p>
    <w:tbl>
      <w:tblPr>
        <w:tblStyle w:val="19"/>
        <w:tblW w:w="8873" w:type="dxa"/>
        <w:tblInd w:w="-14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8"/>
        <w:gridCol w:w="738"/>
        <w:gridCol w:w="3058"/>
        <w:gridCol w:w="1088"/>
        <w:gridCol w:w="1144"/>
        <w:gridCol w:w="1293"/>
        <w:gridCol w:w="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65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点位名称</w:t>
            </w:r>
          </w:p>
        </w:tc>
        <w:tc>
          <w:tcPr>
            <w:tcW w:w="73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污染物</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年评级指标</w:t>
            </w:r>
          </w:p>
        </w:tc>
        <w:tc>
          <w:tcPr>
            <w:tcW w:w="108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评价标准（</w:t>
            </w:r>
            <w:r>
              <w:rPr>
                <w:rFonts w:hint="default" w:ascii="Times New Roman" w:hAnsi="Times New Roman" w:cs="Times New Roman"/>
                <w:sz w:val="21"/>
                <w:szCs w:val="21"/>
                <w:vertAlign w:val="baseline"/>
                <w:lang w:val="en-US" w:eastAsia="zh-CN"/>
              </w:rPr>
              <w:t>μg/m</w:t>
            </w:r>
            <w:r>
              <w:rPr>
                <w:rFonts w:hint="default" w:ascii="Times New Roman" w:hAnsi="Times New Roman" w:cs="Times New Roman"/>
                <w:sz w:val="21"/>
                <w:szCs w:val="21"/>
                <w:vertAlign w:val="superscript"/>
                <w:lang w:val="en-US" w:eastAsia="zh-CN"/>
              </w:rPr>
              <w:t>3</w:t>
            </w:r>
            <w:r>
              <w:rPr>
                <w:rFonts w:hint="eastAsia" w:ascii="Times New Roman" w:hAnsi="Times New Roman"/>
                <w:sz w:val="21"/>
                <w:szCs w:val="21"/>
                <w:vertAlign w:val="baseline"/>
                <w:lang w:val="en-US" w:eastAsia="zh-CN"/>
              </w:rPr>
              <w:t>）</w:t>
            </w:r>
          </w:p>
        </w:tc>
        <w:tc>
          <w:tcPr>
            <w:tcW w:w="114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现状监测浓度（</w:t>
            </w:r>
            <w:r>
              <w:rPr>
                <w:rFonts w:hint="default" w:ascii="Times New Roman" w:hAnsi="Times New Roman" w:cs="Times New Roman"/>
                <w:sz w:val="21"/>
                <w:szCs w:val="21"/>
                <w:vertAlign w:val="baseline"/>
                <w:lang w:val="en-US" w:eastAsia="zh-CN"/>
              </w:rPr>
              <w:t>μg/m</w:t>
            </w:r>
            <w:r>
              <w:rPr>
                <w:rFonts w:hint="default" w:ascii="Times New Roman" w:hAnsi="Times New Roman" w:cs="Times New Roman"/>
                <w:sz w:val="21"/>
                <w:szCs w:val="21"/>
                <w:vertAlign w:val="superscript"/>
                <w:lang w:val="en-US" w:eastAsia="zh-CN"/>
              </w:rPr>
              <w:t>3</w:t>
            </w:r>
            <w:r>
              <w:rPr>
                <w:rFonts w:hint="eastAsia" w:ascii="Times New Roman" w:hAnsi="Times New Roman"/>
                <w:sz w:val="21"/>
                <w:szCs w:val="21"/>
                <w:vertAlign w:val="baseline"/>
                <w:lang w:val="en-US" w:eastAsia="zh-CN"/>
              </w:rPr>
              <w:t>）</w:t>
            </w:r>
          </w:p>
        </w:tc>
        <w:tc>
          <w:tcPr>
            <w:tcW w:w="129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最大浓度占标率（%）</w:t>
            </w:r>
          </w:p>
        </w:tc>
        <w:tc>
          <w:tcPr>
            <w:tcW w:w="89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658"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桓台县马桥镇</w:t>
            </w:r>
          </w:p>
        </w:tc>
        <w:tc>
          <w:tcPr>
            <w:tcW w:w="738"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SO</w:t>
            </w:r>
            <w:r>
              <w:rPr>
                <w:rFonts w:hint="eastAsia" w:ascii="Times New Roman" w:hAnsi="Times New Roman"/>
                <w:sz w:val="21"/>
                <w:szCs w:val="21"/>
                <w:vertAlign w:val="subscript"/>
                <w:lang w:val="en-US" w:eastAsia="zh-CN"/>
              </w:rPr>
              <w:t>2</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年平均质量浓度</w:t>
            </w:r>
          </w:p>
        </w:tc>
        <w:tc>
          <w:tcPr>
            <w:tcW w:w="108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60</w:t>
            </w:r>
          </w:p>
        </w:tc>
        <w:tc>
          <w:tcPr>
            <w:tcW w:w="114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32</w:t>
            </w:r>
          </w:p>
        </w:tc>
        <w:tc>
          <w:tcPr>
            <w:tcW w:w="129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53</w:t>
            </w:r>
          </w:p>
        </w:tc>
        <w:tc>
          <w:tcPr>
            <w:tcW w:w="894"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65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73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305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第98百分位数日平均质量浓度</w:t>
            </w:r>
          </w:p>
        </w:tc>
        <w:tc>
          <w:tcPr>
            <w:tcW w:w="108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150</w:t>
            </w:r>
          </w:p>
        </w:tc>
        <w:tc>
          <w:tcPr>
            <w:tcW w:w="114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83</w:t>
            </w:r>
          </w:p>
        </w:tc>
        <w:tc>
          <w:tcPr>
            <w:tcW w:w="129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55</w:t>
            </w:r>
          </w:p>
        </w:tc>
        <w:tc>
          <w:tcPr>
            <w:tcW w:w="894"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65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738"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NO</w:t>
            </w:r>
            <w:r>
              <w:rPr>
                <w:rFonts w:hint="eastAsia" w:ascii="Times New Roman" w:hAnsi="Times New Roman"/>
                <w:sz w:val="21"/>
                <w:szCs w:val="21"/>
                <w:vertAlign w:val="subscript"/>
                <w:lang w:val="en-US" w:eastAsia="zh-CN"/>
              </w:rPr>
              <w:t>2</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年平均质量浓度</w:t>
            </w:r>
          </w:p>
        </w:tc>
        <w:tc>
          <w:tcPr>
            <w:tcW w:w="108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40</w:t>
            </w:r>
          </w:p>
        </w:tc>
        <w:tc>
          <w:tcPr>
            <w:tcW w:w="114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43</w:t>
            </w:r>
          </w:p>
        </w:tc>
        <w:tc>
          <w:tcPr>
            <w:tcW w:w="129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108</w:t>
            </w:r>
          </w:p>
        </w:tc>
        <w:tc>
          <w:tcPr>
            <w:tcW w:w="894"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lang w:val="en-US" w:eastAsia="zh-CN"/>
              </w:rPr>
            </w:pPr>
            <w:r>
              <w:rPr>
                <w:rFonts w:hint="eastAsia" w:ascii="Times New Roman" w:hAnsi="Times New Roman"/>
                <w:sz w:val="21"/>
                <w:szCs w:val="21"/>
                <w:vertAlign w:val="baseline"/>
                <w:lang w:val="en-US"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65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73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305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第98百分位数日平均质量浓度</w:t>
            </w:r>
          </w:p>
        </w:tc>
        <w:tc>
          <w:tcPr>
            <w:tcW w:w="108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80</w:t>
            </w:r>
          </w:p>
        </w:tc>
        <w:tc>
          <w:tcPr>
            <w:tcW w:w="114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88</w:t>
            </w:r>
          </w:p>
        </w:tc>
        <w:tc>
          <w:tcPr>
            <w:tcW w:w="129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110</w:t>
            </w:r>
          </w:p>
        </w:tc>
        <w:tc>
          <w:tcPr>
            <w:tcW w:w="894"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65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738"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PM</w:t>
            </w:r>
            <w:r>
              <w:rPr>
                <w:rFonts w:hint="eastAsia" w:ascii="Times New Roman" w:hAnsi="Times New Roman"/>
                <w:sz w:val="21"/>
                <w:szCs w:val="21"/>
                <w:vertAlign w:val="subscript"/>
                <w:lang w:val="en-US" w:eastAsia="zh-CN"/>
              </w:rPr>
              <w:t>10</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年平均质量浓度</w:t>
            </w:r>
          </w:p>
        </w:tc>
        <w:tc>
          <w:tcPr>
            <w:tcW w:w="108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70</w:t>
            </w:r>
          </w:p>
        </w:tc>
        <w:tc>
          <w:tcPr>
            <w:tcW w:w="114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120</w:t>
            </w:r>
          </w:p>
        </w:tc>
        <w:tc>
          <w:tcPr>
            <w:tcW w:w="129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171</w:t>
            </w:r>
          </w:p>
        </w:tc>
        <w:tc>
          <w:tcPr>
            <w:tcW w:w="894"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lang w:val="en-US" w:eastAsia="zh-CN"/>
              </w:rPr>
            </w:pPr>
            <w:r>
              <w:rPr>
                <w:rFonts w:hint="eastAsia" w:ascii="Times New Roman" w:hAnsi="Times New Roman"/>
                <w:sz w:val="21"/>
                <w:szCs w:val="21"/>
                <w:vertAlign w:val="baseline"/>
                <w:lang w:val="en-US"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65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73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305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第9</w:t>
            </w:r>
            <w:r>
              <w:rPr>
                <w:rFonts w:hint="eastAsia" w:ascii="Times New Roman" w:hAnsi="Times New Roman"/>
                <w:sz w:val="21"/>
                <w:szCs w:val="21"/>
                <w:vertAlign w:val="baseline"/>
                <w:lang w:val="en-US" w:eastAsia="zh-CN"/>
              </w:rPr>
              <w:t>5</w:t>
            </w:r>
            <w:r>
              <w:rPr>
                <w:rFonts w:hint="default" w:ascii="Times New Roman" w:hAnsi="Times New Roman"/>
                <w:sz w:val="21"/>
                <w:szCs w:val="21"/>
                <w:vertAlign w:val="baseline"/>
                <w:lang w:val="en-US" w:eastAsia="zh-CN"/>
              </w:rPr>
              <w:t>百分位数日平均质量浓度</w:t>
            </w:r>
          </w:p>
        </w:tc>
        <w:tc>
          <w:tcPr>
            <w:tcW w:w="108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150</w:t>
            </w:r>
          </w:p>
        </w:tc>
        <w:tc>
          <w:tcPr>
            <w:tcW w:w="114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201</w:t>
            </w:r>
          </w:p>
        </w:tc>
        <w:tc>
          <w:tcPr>
            <w:tcW w:w="129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134</w:t>
            </w:r>
          </w:p>
        </w:tc>
        <w:tc>
          <w:tcPr>
            <w:tcW w:w="894"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65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738"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PM</w:t>
            </w:r>
            <w:r>
              <w:rPr>
                <w:rFonts w:hint="eastAsia" w:ascii="Times New Roman" w:hAnsi="Times New Roman"/>
                <w:sz w:val="21"/>
                <w:szCs w:val="21"/>
                <w:vertAlign w:val="subscript"/>
                <w:lang w:val="en-US" w:eastAsia="zh-CN"/>
              </w:rPr>
              <w:t>2.5</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年平均质量浓度</w:t>
            </w:r>
          </w:p>
        </w:tc>
        <w:tc>
          <w:tcPr>
            <w:tcW w:w="108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35</w:t>
            </w:r>
          </w:p>
        </w:tc>
        <w:tc>
          <w:tcPr>
            <w:tcW w:w="114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65</w:t>
            </w:r>
          </w:p>
        </w:tc>
        <w:tc>
          <w:tcPr>
            <w:tcW w:w="129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186</w:t>
            </w:r>
          </w:p>
        </w:tc>
        <w:tc>
          <w:tcPr>
            <w:tcW w:w="894"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65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73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305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第9</w:t>
            </w:r>
            <w:r>
              <w:rPr>
                <w:rFonts w:hint="eastAsia" w:ascii="Times New Roman" w:hAnsi="Times New Roman"/>
                <w:sz w:val="21"/>
                <w:szCs w:val="21"/>
                <w:vertAlign w:val="baseline"/>
                <w:lang w:val="en-US" w:eastAsia="zh-CN"/>
              </w:rPr>
              <w:t>5</w:t>
            </w:r>
            <w:r>
              <w:rPr>
                <w:rFonts w:hint="default" w:ascii="Times New Roman" w:hAnsi="Times New Roman"/>
                <w:sz w:val="21"/>
                <w:szCs w:val="21"/>
                <w:vertAlign w:val="baseline"/>
                <w:lang w:val="en-US" w:eastAsia="zh-CN"/>
              </w:rPr>
              <w:t>百分位数日平均质量浓度</w:t>
            </w:r>
          </w:p>
        </w:tc>
        <w:tc>
          <w:tcPr>
            <w:tcW w:w="108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75</w:t>
            </w:r>
          </w:p>
        </w:tc>
        <w:tc>
          <w:tcPr>
            <w:tcW w:w="114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123</w:t>
            </w:r>
          </w:p>
        </w:tc>
        <w:tc>
          <w:tcPr>
            <w:tcW w:w="129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164</w:t>
            </w:r>
          </w:p>
        </w:tc>
        <w:tc>
          <w:tcPr>
            <w:tcW w:w="894"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65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73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CO</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第9</w:t>
            </w:r>
            <w:r>
              <w:rPr>
                <w:rFonts w:hint="eastAsia" w:ascii="Times New Roman" w:hAnsi="Times New Roman"/>
                <w:sz w:val="21"/>
                <w:szCs w:val="21"/>
                <w:vertAlign w:val="baseline"/>
                <w:lang w:val="en-US" w:eastAsia="zh-CN"/>
              </w:rPr>
              <w:t>5</w:t>
            </w:r>
            <w:r>
              <w:rPr>
                <w:rFonts w:hint="default" w:ascii="Times New Roman" w:hAnsi="Times New Roman"/>
                <w:sz w:val="21"/>
                <w:szCs w:val="21"/>
                <w:vertAlign w:val="baseline"/>
                <w:lang w:val="en-US" w:eastAsia="zh-CN"/>
              </w:rPr>
              <w:t>百分位数日平均质量浓度</w:t>
            </w:r>
          </w:p>
        </w:tc>
        <w:tc>
          <w:tcPr>
            <w:tcW w:w="108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4000</w:t>
            </w:r>
          </w:p>
        </w:tc>
        <w:tc>
          <w:tcPr>
            <w:tcW w:w="114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2100</w:t>
            </w:r>
          </w:p>
        </w:tc>
        <w:tc>
          <w:tcPr>
            <w:tcW w:w="129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53</w:t>
            </w:r>
          </w:p>
        </w:tc>
        <w:tc>
          <w:tcPr>
            <w:tcW w:w="89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658"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p>
        </w:tc>
        <w:tc>
          <w:tcPr>
            <w:tcW w:w="73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O</w:t>
            </w:r>
            <w:r>
              <w:rPr>
                <w:rFonts w:hint="eastAsia" w:ascii="Times New Roman" w:hAnsi="Times New Roman"/>
                <w:sz w:val="21"/>
                <w:szCs w:val="21"/>
                <w:vertAlign w:val="subscript"/>
                <w:lang w:val="en-US" w:eastAsia="zh-CN"/>
              </w:rPr>
              <w:t>3</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第9</w:t>
            </w:r>
            <w:r>
              <w:rPr>
                <w:rFonts w:hint="eastAsia" w:ascii="Times New Roman" w:hAnsi="Times New Roman"/>
                <w:sz w:val="21"/>
                <w:szCs w:val="21"/>
                <w:vertAlign w:val="baseline"/>
                <w:lang w:val="en-US" w:eastAsia="zh-CN"/>
              </w:rPr>
              <w:t>0</w:t>
            </w:r>
            <w:r>
              <w:rPr>
                <w:rFonts w:hint="default" w:ascii="Times New Roman" w:hAnsi="Times New Roman"/>
                <w:sz w:val="21"/>
                <w:szCs w:val="21"/>
                <w:vertAlign w:val="baseline"/>
                <w:lang w:val="en-US" w:eastAsia="zh-CN"/>
              </w:rPr>
              <w:t>百分位数</w:t>
            </w:r>
            <w:r>
              <w:rPr>
                <w:rFonts w:hint="eastAsia" w:ascii="Times New Roman" w:hAnsi="Times New Roman"/>
                <w:sz w:val="21"/>
                <w:szCs w:val="21"/>
                <w:vertAlign w:val="baseline"/>
                <w:lang w:val="en-US" w:eastAsia="zh-CN"/>
              </w:rPr>
              <w:t>8h</w:t>
            </w:r>
            <w:r>
              <w:rPr>
                <w:rFonts w:hint="default" w:ascii="Times New Roman" w:hAnsi="Times New Roman"/>
                <w:sz w:val="21"/>
                <w:szCs w:val="21"/>
                <w:vertAlign w:val="baseline"/>
                <w:lang w:val="en-US" w:eastAsia="zh-CN"/>
              </w:rPr>
              <w:t>平均质量浓度</w:t>
            </w:r>
          </w:p>
        </w:tc>
        <w:tc>
          <w:tcPr>
            <w:tcW w:w="108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160</w:t>
            </w:r>
          </w:p>
        </w:tc>
        <w:tc>
          <w:tcPr>
            <w:tcW w:w="114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193</w:t>
            </w:r>
          </w:p>
        </w:tc>
        <w:tc>
          <w:tcPr>
            <w:tcW w:w="1293"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121</w:t>
            </w:r>
          </w:p>
        </w:tc>
        <w:tc>
          <w:tcPr>
            <w:tcW w:w="89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不达标</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b/>
          <w:bCs/>
          <w:sz w:val="24"/>
          <w:szCs w:val="24"/>
          <w:lang w:val="en-US" w:eastAsia="zh-CN"/>
        </w:rPr>
        <w:t>环境空气质量现状补充监测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为进一步了解项目所在区域大气环境质量现状，结合本项目特点，本次环评委托</w:t>
      </w:r>
      <w:r>
        <w:rPr>
          <w:rFonts w:hint="default" w:ascii="Times New Roman" w:hAnsi="Times New Roman"/>
          <w:sz w:val="24"/>
          <w:szCs w:val="24"/>
          <w:highlight w:val="none"/>
          <w:lang w:val="en-US" w:eastAsia="zh-CN"/>
        </w:rPr>
        <w:t>水发（山东）检验检测研究院有限公司于20</w:t>
      </w:r>
      <w:r>
        <w:rPr>
          <w:rFonts w:hint="eastAsia" w:ascii="Times New Roman" w:hAnsi="Times New Roman"/>
          <w:sz w:val="24"/>
          <w:szCs w:val="24"/>
          <w:highlight w:val="none"/>
          <w:lang w:val="en-US" w:eastAsia="zh-CN"/>
        </w:rPr>
        <w:t>21</w:t>
      </w:r>
      <w:r>
        <w:rPr>
          <w:rFonts w:hint="default" w:ascii="Times New Roman" w:hAnsi="Times New Roman"/>
          <w:sz w:val="24"/>
          <w:szCs w:val="24"/>
          <w:highlight w:val="none"/>
          <w:lang w:val="en-US" w:eastAsia="zh-CN"/>
        </w:rPr>
        <w:t>年</w:t>
      </w:r>
      <w:r>
        <w:rPr>
          <w:rFonts w:hint="eastAsia" w:ascii="Times New Roman" w:hAnsi="Times New Roman"/>
          <w:sz w:val="24"/>
          <w:szCs w:val="24"/>
          <w:highlight w:val="none"/>
          <w:lang w:val="en-US" w:eastAsia="zh-CN"/>
        </w:rPr>
        <w:t>07</w:t>
      </w:r>
      <w:r>
        <w:rPr>
          <w:rFonts w:hint="default" w:ascii="Times New Roman" w:hAnsi="Times New Roman"/>
          <w:sz w:val="24"/>
          <w:szCs w:val="24"/>
          <w:highlight w:val="none"/>
          <w:lang w:val="en-US" w:eastAsia="zh-CN"/>
        </w:rPr>
        <w:t>月</w:t>
      </w:r>
      <w:r>
        <w:rPr>
          <w:rFonts w:hint="eastAsia" w:ascii="Times New Roman" w:hAnsi="Times New Roman"/>
          <w:sz w:val="24"/>
          <w:szCs w:val="24"/>
          <w:highlight w:val="none"/>
          <w:lang w:val="en-US" w:eastAsia="zh-CN"/>
        </w:rPr>
        <w:t>20</w:t>
      </w:r>
      <w:r>
        <w:rPr>
          <w:rFonts w:hint="default" w:ascii="Times New Roman" w:hAnsi="Times New Roman"/>
          <w:sz w:val="24"/>
          <w:szCs w:val="24"/>
          <w:highlight w:val="none"/>
          <w:lang w:val="en-US" w:eastAsia="zh-CN"/>
        </w:rPr>
        <w:t>日~</w:t>
      </w:r>
      <w:r>
        <w:rPr>
          <w:rFonts w:hint="eastAsia" w:ascii="Times New Roman" w:hAnsi="Times New Roman"/>
          <w:sz w:val="24"/>
          <w:szCs w:val="24"/>
          <w:highlight w:val="none"/>
          <w:lang w:val="en-US" w:eastAsia="zh-CN"/>
        </w:rPr>
        <w:t>07</w:t>
      </w:r>
      <w:r>
        <w:rPr>
          <w:rFonts w:hint="default" w:ascii="Times New Roman" w:hAnsi="Times New Roman"/>
          <w:sz w:val="24"/>
          <w:szCs w:val="24"/>
          <w:highlight w:val="none"/>
          <w:lang w:val="en-US" w:eastAsia="zh-CN"/>
        </w:rPr>
        <w:t>月</w:t>
      </w:r>
      <w:r>
        <w:rPr>
          <w:rFonts w:hint="eastAsia" w:ascii="Times New Roman" w:hAnsi="Times New Roman"/>
          <w:sz w:val="24"/>
          <w:szCs w:val="24"/>
          <w:highlight w:val="none"/>
          <w:lang w:val="en-US" w:eastAsia="zh-CN"/>
        </w:rPr>
        <w:t>26</w:t>
      </w:r>
      <w:r>
        <w:rPr>
          <w:rFonts w:hint="default" w:ascii="Times New Roman" w:hAnsi="Times New Roman"/>
          <w:sz w:val="24"/>
          <w:szCs w:val="24"/>
          <w:highlight w:val="none"/>
          <w:lang w:val="en-US" w:eastAsia="zh-CN"/>
        </w:rPr>
        <w:t>日</w:t>
      </w:r>
      <w:r>
        <w:rPr>
          <w:rFonts w:hint="default" w:ascii="Times New Roman" w:hAnsi="Times New Roman"/>
          <w:sz w:val="24"/>
          <w:szCs w:val="24"/>
          <w:lang w:val="en-US" w:eastAsia="zh-CN"/>
        </w:rPr>
        <w:t>对</w:t>
      </w:r>
      <w:r>
        <w:rPr>
          <w:rFonts w:hint="eastAsia" w:ascii="Times New Roman" w:hAnsi="Times New Roman"/>
          <w:sz w:val="24"/>
          <w:szCs w:val="24"/>
          <w:lang w:val="en-US" w:eastAsia="zh-CN"/>
        </w:rPr>
        <w:t>项目所在厂区</w:t>
      </w:r>
      <w:r>
        <w:rPr>
          <w:rFonts w:hint="default" w:ascii="Times New Roman" w:hAnsi="Times New Roman"/>
          <w:sz w:val="24"/>
          <w:szCs w:val="24"/>
          <w:lang w:val="en-US" w:eastAsia="zh-CN"/>
        </w:rPr>
        <w:t>、</w:t>
      </w:r>
      <w:r>
        <w:rPr>
          <w:rFonts w:hint="eastAsia" w:ascii="Times New Roman" w:hAnsi="Times New Roman"/>
          <w:sz w:val="24"/>
          <w:szCs w:val="24"/>
          <w:lang w:val="en-US" w:eastAsia="zh-CN"/>
        </w:rPr>
        <w:t>辛庄村东北侧</w:t>
      </w:r>
      <w:r>
        <w:rPr>
          <w:rFonts w:hint="default" w:ascii="Times New Roman" w:hAnsi="Times New Roman"/>
          <w:sz w:val="24"/>
          <w:szCs w:val="24"/>
          <w:lang w:val="en-US" w:eastAsia="zh-CN"/>
        </w:rPr>
        <w:t>的</w:t>
      </w:r>
      <w:r>
        <w:rPr>
          <w:rFonts w:hint="eastAsia" w:ascii="Times New Roman" w:hAnsi="Times New Roman"/>
          <w:sz w:val="24"/>
          <w:szCs w:val="24"/>
          <w:lang w:val="en-US" w:eastAsia="zh-CN"/>
        </w:rPr>
        <w:t>颗粒物</w:t>
      </w:r>
      <w:r>
        <w:rPr>
          <w:rFonts w:hint="default" w:ascii="Times New Roman" w:hAnsi="Times New Roman"/>
          <w:sz w:val="24"/>
          <w:szCs w:val="24"/>
          <w:lang w:val="en-US" w:eastAsia="zh-CN"/>
        </w:rPr>
        <w:t>、H</w:t>
      </w:r>
      <w:r>
        <w:rPr>
          <w:rFonts w:hint="default" w:ascii="Times New Roman" w:hAnsi="Times New Roman"/>
          <w:sz w:val="24"/>
          <w:szCs w:val="24"/>
          <w:vertAlign w:val="subscript"/>
          <w:lang w:val="en-US" w:eastAsia="zh-CN"/>
        </w:rPr>
        <w:t>2</w:t>
      </w:r>
      <w:r>
        <w:rPr>
          <w:rFonts w:hint="default" w:ascii="Times New Roman" w:hAnsi="Times New Roman"/>
          <w:sz w:val="24"/>
          <w:szCs w:val="24"/>
          <w:lang w:val="en-US" w:eastAsia="zh-CN"/>
        </w:rPr>
        <w:t>S、NH</w:t>
      </w:r>
      <w:r>
        <w:rPr>
          <w:rFonts w:hint="default" w:ascii="Times New Roman" w:hAnsi="Times New Roman"/>
          <w:sz w:val="24"/>
          <w:szCs w:val="24"/>
          <w:vertAlign w:val="subscript"/>
          <w:lang w:val="en-US" w:eastAsia="zh-CN"/>
        </w:rPr>
        <w:t>3</w:t>
      </w:r>
      <w:r>
        <w:rPr>
          <w:rFonts w:hint="default" w:ascii="Times New Roman" w:hAnsi="Times New Roman"/>
          <w:sz w:val="24"/>
          <w:szCs w:val="24"/>
          <w:lang w:val="en-US" w:eastAsia="zh-CN"/>
        </w:rPr>
        <w:t>、VOCs、臭气浓度</w:t>
      </w:r>
      <w:r>
        <w:rPr>
          <w:rFonts w:hint="eastAsia" w:ascii="Times New Roman" w:hAnsi="Times New Roman"/>
          <w:sz w:val="24"/>
          <w:szCs w:val="24"/>
          <w:lang w:val="en-US" w:eastAsia="zh-CN"/>
        </w:rPr>
        <w:t>6</w:t>
      </w:r>
      <w:r>
        <w:rPr>
          <w:rFonts w:hint="default" w:ascii="Times New Roman" w:hAnsi="Times New Roman"/>
          <w:sz w:val="24"/>
          <w:szCs w:val="24"/>
          <w:lang w:val="en-US" w:eastAsia="zh-CN"/>
        </w:rPr>
        <w:t>项指标进行了连续7天的监测。</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1、监测布点</w:t>
      </w:r>
    </w:p>
    <w:p>
      <w:pPr>
        <w:pStyle w:val="21"/>
        <w:keepNext w:val="0"/>
        <w:keepLines w:val="0"/>
        <w:pageBreakBefore w:val="0"/>
        <w:widowControl w:val="0"/>
        <w:kinsoku/>
        <w:wordWrap/>
        <w:overflowPunct/>
        <w:topLinePunct w:val="0"/>
        <w:autoSpaceDE/>
        <w:autoSpaceDN/>
        <w:bidi w:val="0"/>
        <w:adjustRightInd/>
        <w:snapToGrid w:val="0"/>
        <w:spacing w:line="360" w:lineRule="auto"/>
        <w:textAlignment w:val="auto"/>
        <w:rPr>
          <w:rFonts w:cs="Times New Roman"/>
        </w:rPr>
      </w:pPr>
      <w:r>
        <w:rPr>
          <w:rFonts w:cs="Times New Roman"/>
          <w:sz w:val="24"/>
          <w:szCs w:val="24"/>
        </w:rPr>
        <w:t>结合厂址及附近区域的环境特征，敏感保护目标等情况，本次环境空气补充监测点详见表</w:t>
      </w:r>
      <w:r>
        <w:rPr>
          <w:rFonts w:hint="default" w:ascii="Times New Roman" w:hAnsi="Times New Roman" w:cs="Times New Roman"/>
          <w:sz w:val="24"/>
          <w:szCs w:val="24"/>
        </w:rPr>
        <w:t>5.</w:t>
      </w:r>
      <w:r>
        <w:rPr>
          <w:rFonts w:hint="eastAsia" w:ascii="Times New Roman" w:hAnsi="Times New Roman" w:cs="Times New Roman"/>
          <w:sz w:val="24"/>
          <w:szCs w:val="24"/>
          <w:lang w:val="en-US" w:eastAsia="zh-CN"/>
        </w:rPr>
        <w:t>4</w:t>
      </w:r>
      <w:r>
        <w:rPr>
          <w:rFonts w:hint="default" w:ascii="Times New Roman" w:hAnsi="Times New Roman" w:cs="Times New Roman"/>
          <w:sz w:val="24"/>
          <w:szCs w:val="24"/>
        </w:rPr>
        <w:t>-</w:t>
      </w:r>
      <w:r>
        <w:rPr>
          <w:rFonts w:hint="eastAsia" w:ascii="Times New Roman" w:hAnsi="Times New Roman" w:cs="Times New Roman"/>
          <w:sz w:val="24"/>
          <w:szCs w:val="24"/>
          <w:lang w:val="en-US" w:eastAsia="zh-CN"/>
        </w:rPr>
        <w:t>1</w:t>
      </w:r>
      <w:r>
        <w:rPr>
          <w:rFonts w:cs="Times New Roman"/>
          <w:sz w:val="24"/>
          <w:szCs w:val="24"/>
        </w:rPr>
        <w:t>和图</w:t>
      </w:r>
      <w:r>
        <w:rPr>
          <w:rFonts w:hint="default" w:ascii="Times New Roman" w:hAnsi="Times New Roman" w:cs="Times New Roman"/>
          <w:sz w:val="24"/>
          <w:szCs w:val="24"/>
        </w:rPr>
        <w:t>5.</w:t>
      </w:r>
      <w:r>
        <w:rPr>
          <w:rFonts w:hint="eastAsia" w:ascii="Times New Roman" w:hAnsi="Times New Roman" w:cs="Times New Roman"/>
          <w:sz w:val="24"/>
          <w:szCs w:val="24"/>
          <w:lang w:val="en-US" w:eastAsia="zh-CN"/>
        </w:rPr>
        <w:t>4</w:t>
      </w:r>
      <w:r>
        <w:rPr>
          <w:rFonts w:hint="default" w:ascii="Times New Roman" w:hAnsi="Times New Roman" w:cs="Times New Roman"/>
          <w:sz w:val="24"/>
          <w:szCs w:val="24"/>
        </w:rPr>
        <w:t>-1</w:t>
      </w:r>
      <w:r>
        <w:rPr>
          <w:rFonts w:cs="Times New Roman"/>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宋体" w:hAnsi="宋体" w:eastAsia="宋体" w:cs="宋体"/>
          <w:b/>
          <w:bCs/>
          <w:color w:val="000000"/>
          <w:sz w:val="24"/>
        </w:rPr>
      </w:pPr>
      <w:r>
        <w:rPr>
          <w:rFonts w:hint="eastAsia" w:ascii="宋体" w:hAnsi="宋体" w:eastAsia="宋体" w:cs="宋体"/>
          <w:b/>
          <w:bCs/>
          <w:color w:val="000000"/>
          <w:sz w:val="24"/>
        </w:rPr>
        <w:t>表</w:t>
      </w:r>
      <w:r>
        <w:rPr>
          <w:rFonts w:hint="default" w:ascii="Times New Roman" w:hAnsi="Times New Roman" w:eastAsia="宋体" w:cs="Times New Roman"/>
          <w:b/>
          <w:bCs/>
          <w:color w:val="000000"/>
          <w:sz w:val="24"/>
          <w:lang w:val="en-US" w:eastAsia="zh-CN"/>
        </w:rPr>
        <w:t>5.4-1</w:t>
      </w:r>
      <w:r>
        <w:rPr>
          <w:rFonts w:hint="eastAsia" w:ascii="宋体" w:hAnsi="宋体" w:eastAsia="宋体" w:cs="宋体"/>
          <w:b/>
          <w:bCs/>
          <w:color w:val="000000"/>
          <w:sz w:val="24"/>
        </w:rPr>
        <w:t xml:space="preserve">  环境空气质量现状监测点一览表</w:t>
      </w:r>
    </w:p>
    <w:tbl>
      <w:tblPr>
        <w:tblStyle w:val="18"/>
        <w:tblW w:w="84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80"/>
        <w:gridCol w:w="804"/>
        <w:gridCol w:w="2200"/>
        <w:gridCol w:w="1341"/>
        <w:gridCol w:w="36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38" w:hRule="atLeast"/>
          <w:jc w:val="center"/>
        </w:trPr>
        <w:tc>
          <w:tcPr>
            <w:tcW w:w="480" w:type="dxa"/>
            <w:noWrap w:val="0"/>
            <w:vAlign w:val="center"/>
          </w:tcPr>
          <w:p>
            <w:pPr>
              <w:pStyle w:val="22"/>
              <w:spacing w:line="240" w:lineRule="atLeast"/>
              <w:rPr>
                <w:rFonts w:hint="eastAsia" w:ascii="Times New Roman" w:hAnsi="Times New Roman"/>
                <w:color w:val="000000"/>
                <w:szCs w:val="21"/>
              </w:rPr>
            </w:pPr>
            <w:r>
              <w:rPr>
                <w:rFonts w:hint="eastAsia" w:ascii="Times New Roman" w:hAnsi="Times New Roman"/>
                <w:color w:val="000000"/>
                <w:szCs w:val="21"/>
              </w:rPr>
              <w:t>测点</w:t>
            </w:r>
          </w:p>
        </w:tc>
        <w:tc>
          <w:tcPr>
            <w:tcW w:w="804" w:type="dxa"/>
            <w:noWrap w:val="0"/>
            <w:vAlign w:val="center"/>
          </w:tcPr>
          <w:p>
            <w:pPr>
              <w:pStyle w:val="22"/>
              <w:spacing w:line="240" w:lineRule="atLeast"/>
              <w:rPr>
                <w:rFonts w:hint="eastAsia" w:ascii="Times New Roman" w:hAnsi="Times New Roman"/>
                <w:color w:val="000000"/>
                <w:szCs w:val="21"/>
              </w:rPr>
            </w:pPr>
            <w:r>
              <w:rPr>
                <w:rFonts w:hint="eastAsia" w:ascii="Times New Roman" w:hAnsi="Times New Roman"/>
                <w:color w:val="000000"/>
                <w:szCs w:val="21"/>
              </w:rPr>
              <w:t>名称</w:t>
            </w:r>
          </w:p>
        </w:tc>
        <w:tc>
          <w:tcPr>
            <w:tcW w:w="2200" w:type="dxa"/>
            <w:noWrap w:val="0"/>
            <w:vAlign w:val="center"/>
          </w:tcPr>
          <w:p>
            <w:pPr>
              <w:pStyle w:val="22"/>
              <w:spacing w:line="240" w:lineRule="atLeast"/>
              <w:rPr>
                <w:rFonts w:hint="eastAsia" w:ascii="Times New Roman" w:hAnsi="Times New Roman"/>
                <w:color w:val="000000"/>
                <w:szCs w:val="21"/>
              </w:rPr>
            </w:pPr>
            <w:r>
              <w:rPr>
                <w:rFonts w:hint="eastAsia" w:ascii="Times New Roman" w:hAnsi="Times New Roman"/>
                <w:color w:val="000000"/>
                <w:szCs w:val="21"/>
              </w:rPr>
              <w:t>相对本项目厂址方位</w:t>
            </w:r>
          </w:p>
        </w:tc>
        <w:tc>
          <w:tcPr>
            <w:tcW w:w="1341" w:type="dxa"/>
            <w:noWrap w:val="0"/>
            <w:vAlign w:val="center"/>
          </w:tcPr>
          <w:p>
            <w:pPr>
              <w:pStyle w:val="22"/>
              <w:spacing w:line="240" w:lineRule="atLeast"/>
              <w:rPr>
                <w:rFonts w:hint="eastAsia" w:ascii="Times New Roman" w:hAnsi="Times New Roman"/>
                <w:color w:val="000000"/>
                <w:szCs w:val="21"/>
              </w:rPr>
            </w:pPr>
            <w:r>
              <w:rPr>
                <w:rFonts w:hint="eastAsia" w:ascii="Times New Roman" w:hAnsi="Times New Roman"/>
                <w:color w:val="000000"/>
                <w:szCs w:val="21"/>
              </w:rPr>
              <w:t>相对距离（</w:t>
            </w:r>
            <w:r>
              <w:rPr>
                <w:rFonts w:ascii="Times New Roman" w:hAnsi="Times New Roman"/>
                <w:color w:val="000000"/>
                <w:szCs w:val="21"/>
              </w:rPr>
              <w:t>m</w:t>
            </w:r>
            <w:r>
              <w:rPr>
                <w:rFonts w:hint="eastAsia" w:ascii="Times New Roman" w:hAnsi="Times New Roman"/>
                <w:color w:val="000000"/>
                <w:szCs w:val="21"/>
              </w:rPr>
              <w:t>）</w:t>
            </w:r>
          </w:p>
        </w:tc>
        <w:tc>
          <w:tcPr>
            <w:tcW w:w="3603" w:type="dxa"/>
            <w:noWrap w:val="0"/>
            <w:vAlign w:val="center"/>
          </w:tcPr>
          <w:p>
            <w:pPr>
              <w:pStyle w:val="22"/>
              <w:spacing w:line="240" w:lineRule="atLeast"/>
              <w:rPr>
                <w:rFonts w:hint="eastAsia" w:ascii="Times New Roman" w:hAnsi="Times New Roman"/>
                <w:color w:val="000000"/>
                <w:szCs w:val="21"/>
              </w:rPr>
            </w:pPr>
            <w:r>
              <w:rPr>
                <w:rFonts w:hint="eastAsia" w:ascii="Times New Roman" w:hAnsi="Times New Roman"/>
                <w:color w:val="000000"/>
                <w:szCs w:val="21"/>
              </w:rPr>
              <w:t>布 设 意 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38" w:hRule="atLeast"/>
          <w:jc w:val="center"/>
        </w:trPr>
        <w:tc>
          <w:tcPr>
            <w:tcW w:w="480" w:type="dxa"/>
            <w:noWrap w:val="0"/>
            <w:vAlign w:val="center"/>
          </w:tcPr>
          <w:p>
            <w:pPr>
              <w:pStyle w:val="23"/>
              <w:spacing w:line="240" w:lineRule="atLeast"/>
              <w:jc w:val="center"/>
              <w:rPr>
                <w:rFonts w:hint="eastAsia" w:ascii="Times New Roman" w:hAnsi="Times New Roman"/>
                <w:color w:val="000000"/>
              </w:rPr>
            </w:pPr>
            <w:r>
              <w:rPr>
                <w:rFonts w:hint="eastAsia" w:ascii="Times New Roman" w:hAnsi="Times New Roman"/>
                <w:color w:val="000000"/>
              </w:rPr>
              <w:t>1#</w:t>
            </w:r>
          </w:p>
        </w:tc>
        <w:tc>
          <w:tcPr>
            <w:tcW w:w="804" w:type="dxa"/>
            <w:noWrap w:val="0"/>
            <w:vAlign w:val="center"/>
          </w:tcPr>
          <w:p>
            <w:pPr>
              <w:spacing w:line="240" w:lineRule="atLeast"/>
              <w:jc w:val="center"/>
              <w:rPr>
                <w:rFonts w:hint="eastAsia" w:ascii="Times New Roman" w:hAnsi="Times New Roman"/>
                <w:color w:val="000000"/>
                <w:szCs w:val="21"/>
              </w:rPr>
            </w:pPr>
            <w:r>
              <w:rPr>
                <w:rFonts w:hint="eastAsia" w:ascii="Times New Roman" w:hAnsi="Times New Roman"/>
                <w:color w:val="000000"/>
                <w:szCs w:val="21"/>
              </w:rPr>
              <w:t>厂区</w:t>
            </w:r>
          </w:p>
        </w:tc>
        <w:tc>
          <w:tcPr>
            <w:tcW w:w="2200" w:type="dxa"/>
            <w:noWrap w:val="0"/>
            <w:vAlign w:val="center"/>
          </w:tcPr>
          <w:p>
            <w:pPr>
              <w:widowControl/>
              <w:spacing w:line="240" w:lineRule="atLeast"/>
              <w:jc w:val="center"/>
              <w:rPr>
                <w:rFonts w:ascii="Times New Roman" w:hAnsi="Times New Roman" w:cs="宋体"/>
                <w:color w:val="000000"/>
                <w:kern w:val="0"/>
                <w:szCs w:val="21"/>
              </w:rPr>
            </w:pPr>
            <w:r>
              <w:rPr>
                <w:rFonts w:hint="eastAsia" w:ascii="Times New Roman" w:hAnsi="Times New Roman" w:cs="宋体"/>
                <w:color w:val="000000"/>
                <w:kern w:val="0"/>
                <w:szCs w:val="21"/>
              </w:rPr>
              <w:t>—</w:t>
            </w:r>
          </w:p>
        </w:tc>
        <w:tc>
          <w:tcPr>
            <w:tcW w:w="1341" w:type="dxa"/>
            <w:noWrap w:val="0"/>
            <w:vAlign w:val="center"/>
          </w:tcPr>
          <w:p>
            <w:pPr>
              <w:widowControl/>
              <w:spacing w:line="240" w:lineRule="atLeast"/>
              <w:jc w:val="center"/>
              <w:rPr>
                <w:rFonts w:ascii="Times New Roman" w:hAnsi="Times New Roman" w:cs="宋体"/>
                <w:color w:val="000000"/>
                <w:kern w:val="0"/>
                <w:szCs w:val="21"/>
              </w:rPr>
            </w:pPr>
            <w:r>
              <w:rPr>
                <w:rFonts w:hint="eastAsia" w:ascii="Times New Roman" w:hAnsi="Times New Roman" w:cs="宋体"/>
                <w:color w:val="000000"/>
                <w:kern w:val="0"/>
                <w:szCs w:val="21"/>
              </w:rPr>
              <w:t>—</w:t>
            </w:r>
          </w:p>
        </w:tc>
        <w:tc>
          <w:tcPr>
            <w:tcW w:w="3603" w:type="dxa"/>
            <w:noWrap w:val="0"/>
            <w:vAlign w:val="center"/>
          </w:tcPr>
          <w:p>
            <w:pPr>
              <w:pStyle w:val="22"/>
              <w:spacing w:line="240" w:lineRule="atLeast"/>
              <w:rPr>
                <w:rFonts w:hint="eastAsia" w:ascii="Times New Roman" w:hAnsi="Times New Roman"/>
                <w:color w:val="000000"/>
                <w:szCs w:val="21"/>
                <w:lang w:eastAsia="zh-CN"/>
              </w:rPr>
            </w:pPr>
            <w:r>
              <w:rPr>
                <w:rFonts w:hint="eastAsia" w:ascii="Times New Roman" w:hAnsi="Times New Roman"/>
                <w:color w:val="000000"/>
                <w:szCs w:val="21"/>
                <w:lang w:eastAsia="zh-CN"/>
              </w:rPr>
              <w:t>了解厂区内环境空气质量现状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38" w:hRule="atLeast"/>
          <w:jc w:val="center"/>
        </w:trPr>
        <w:tc>
          <w:tcPr>
            <w:tcW w:w="480" w:type="dxa"/>
            <w:noWrap w:val="0"/>
            <w:vAlign w:val="center"/>
          </w:tcPr>
          <w:p>
            <w:pPr>
              <w:pStyle w:val="23"/>
              <w:spacing w:line="240" w:lineRule="atLeast"/>
              <w:jc w:val="center"/>
              <w:rPr>
                <w:rFonts w:hint="eastAsia" w:ascii="Times New Roman" w:hAnsi="Times New Roman"/>
                <w:color w:val="000000"/>
              </w:rPr>
            </w:pPr>
            <w:r>
              <w:rPr>
                <w:rFonts w:hint="eastAsia" w:ascii="Times New Roman" w:hAnsi="Times New Roman"/>
                <w:color w:val="000000"/>
              </w:rPr>
              <w:t>2#</w:t>
            </w:r>
          </w:p>
        </w:tc>
        <w:tc>
          <w:tcPr>
            <w:tcW w:w="804" w:type="dxa"/>
            <w:noWrap w:val="0"/>
            <w:vAlign w:val="center"/>
          </w:tcPr>
          <w:p>
            <w:pPr>
              <w:spacing w:line="240" w:lineRule="atLeast"/>
              <w:jc w:val="center"/>
              <w:rPr>
                <w:rFonts w:hint="default" w:ascii="Times New Roman" w:hAnsi="Times New Roman" w:eastAsia="宋体"/>
                <w:color w:val="000000"/>
                <w:szCs w:val="21"/>
                <w:lang w:val="en-US" w:eastAsia="zh-CN"/>
              </w:rPr>
            </w:pPr>
            <w:r>
              <w:rPr>
                <w:rFonts w:hint="eastAsia" w:ascii="Times New Roman" w:hAnsi="Times New Roman" w:cs="宋体"/>
                <w:color w:val="000000"/>
                <w:kern w:val="0"/>
                <w:szCs w:val="21"/>
                <w:lang w:val="en-US" w:eastAsia="zh-CN"/>
              </w:rPr>
              <w:t>辛庄村东北侧</w:t>
            </w:r>
          </w:p>
        </w:tc>
        <w:tc>
          <w:tcPr>
            <w:tcW w:w="2200" w:type="dxa"/>
            <w:noWrap w:val="0"/>
            <w:vAlign w:val="center"/>
          </w:tcPr>
          <w:p>
            <w:pPr>
              <w:widowControl/>
              <w:spacing w:line="240" w:lineRule="atLeast"/>
              <w:jc w:val="center"/>
              <w:rPr>
                <w:rFonts w:hint="default" w:ascii="Times New Roman" w:hAnsi="Times New Roman" w:eastAsia="宋体" w:cs="宋体"/>
                <w:color w:val="000000"/>
                <w:kern w:val="0"/>
                <w:szCs w:val="21"/>
                <w:lang w:val="en-US" w:eastAsia="zh-CN"/>
              </w:rPr>
            </w:pPr>
            <w:r>
              <w:rPr>
                <w:rFonts w:hint="eastAsia" w:ascii="Times New Roman" w:hAnsi="Times New Roman" w:cs="宋体"/>
                <w:color w:val="000000"/>
                <w:kern w:val="0"/>
                <w:szCs w:val="21"/>
                <w:lang w:val="en-US" w:eastAsia="zh-CN"/>
              </w:rPr>
              <w:t>SW</w:t>
            </w:r>
          </w:p>
        </w:tc>
        <w:tc>
          <w:tcPr>
            <w:tcW w:w="1341" w:type="dxa"/>
            <w:noWrap w:val="0"/>
            <w:vAlign w:val="center"/>
          </w:tcPr>
          <w:p>
            <w:pPr>
              <w:widowControl/>
              <w:spacing w:line="240" w:lineRule="atLeast"/>
              <w:jc w:val="center"/>
              <w:rPr>
                <w:rFonts w:hint="default" w:ascii="Times New Roman" w:hAnsi="Times New Roman" w:eastAsia="宋体" w:cs="宋体"/>
                <w:color w:val="000000"/>
                <w:kern w:val="0"/>
                <w:szCs w:val="21"/>
                <w:lang w:val="en-US" w:eastAsia="zh-CN"/>
              </w:rPr>
            </w:pPr>
            <w:r>
              <w:rPr>
                <w:rFonts w:hint="eastAsia" w:ascii="Times New Roman" w:hAnsi="Times New Roman" w:cs="宋体"/>
                <w:color w:val="000000"/>
                <w:kern w:val="0"/>
                <w:szCs w:val="21"/>
                <w:lang w:val="en-US" w:eastAsia="zh-CN"/>
              </w:rPr>
              <w:t>2100</w:t>
            </w:r>
          </w:p>
        </w:tc>
        <w:tc>
          <w:tcPr>
            <w:tcW w:w="3603" w:type="dxa"/>
            <w:noWrap w:val="0"/>
            <w:vAlign w:val="center"/>
          </w:tcPr>
          <w:p>
            <w:pPr>
              <w:pStyle w:val="22"/>
              <w:spacing w:line="240" w:lineRule="atLeast"/>
              <w:rPr>
                <w:rFonts w:hint="eastAsia" w:ascii="Times New Roman" w:hAnsi="Times New Roman"/>
                <w:color w:val="000000"/>
                <w:szCs w:val="21"/>
                <w:lang w:eastAsia="zh-CN"/>
              </w:rPr>
            </w:pPr>
            <w:r>
              <w:rPr>
                <w:rFonts w:hint="eastAsia" w:ascii="Times New Roman" w:hAnsi="Times New Roman"/>
                <w:color w:val="000000"/>
                <w:szCs w:val="21"/>
                <w:lang w:eastAsia="zh-CN"/>
              </w:rPr>
              <w:t>了解厂区</w:t>
            </w:r>
            <w:r>
              <w:rPr>
                <w:rFonts w:hint="eastAsia" w:ascii="Times New Roman" w:hAnsi="Times New Roman"/>
                <w:color w:val="000000"/>
                <w:szCs w:val="21"/>
              </w:rPr>
              <w:t>主导风向</w:t>
            </w:r>
            <w:r>
              <w:rPr>
                <w:rFonts w:hint="eastAsia" w:ascii="Times New Roman" w:hAnsi="Times New Roman"/>
                <w:color w:val="000000"/>
                <w:szCs w:val="21"/>
                <w:lang w:eastAsia="zh-CN"/>
              </w:rPr>
              <w:t>下</w:t>
            </w:r>
            <w:r>
              <w:rPr>
                <w:rFonts w:hint="eastAsia" w:ascii="Times New Roman" w:hAnsi="Times New Roman"/>
                <w:color w:val="000000"/>
                <w:szCs w:val="21"/>
              </w:rPr>
              <w:t>风向</w:t>
            </w:r>
            <w:r>
              <w:rPr>
                <w:rFonts w:hint="eastAsia" w:ascii="Times New Roman" w:hAnsi="Times New Roman"/>
                <w:color w:val="000000"/>
                <w:szCs w:val="21"/>
                <w:lang w:eastAsia="zh-CN"/>
              </w:rPr>
              <w:t>环境空气质量现状</w:t>
            </w:r>
          </w:p>
        </w:tc>
      </w:tr>
    </w:tbl>
    <w:p>
      <w:pPr>
        <w:bidi w:val="0"/>
        <w:rPr>
          <w:rFonts w:hint="default" w:ascii="Times New Roman" w:hAnsi="Times New Roman"/>
          <w:sz w:val="24"/>
          <w:szCs w:val="24"/>
          <w:lang w:val="en-US" w:eastAsia="zh-CN"/>
        </w:rPr>
        <w:sectPr>
          <w:headerReference r:id="rId11" w:type="default"/>
          <w:footerReference r:id="rId12"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spacing w:line="240" w:lineRule="auto"/>
        <w:ind w:left="0" w:leftChars="0" w:firstLine="0" w:firstLineChars="0"/>
        <w:jc w:val="center"/>
        <w:rPr>
          <w:rFonts w:hint="default"/>
          <w:lang w:val="en-US" w:eastAsia="zh-CN"/>
        </w:rPr>
      </w:pPr>
      <w:r>
        <w:rPr>
          <w:rFonts w:hint="default"/>
          <w:lang w:val="en-US" w:eastAsia="zh-CN"/>
        </w:rPr>
        <w:drawing>
          <wp:inline distT="0" distB="0" distL="114300" distR="114300">
            <wp:extent cx="7769860" cy="4896485"/>
            <wp:effectExtent l="12700" t="12700" r="27940" b="24765"/>
            <wp:docPr id="73" name="图片 73" descr="C:/Users/Administrator/AppData/Local/Temp/picturecompress_20210708104749/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Users/Administrator/AppData/Local/Temp/picturecompress_20210708104749/output_1.pngoutput_1"/>
                    <pic:cNvPicPr>
                      <a:picLocks noChangeAspect="1"/>
                    </pic:cNvPicPr>
                  </pic:nvPicPr>
                  <pic:blipFill>
                    <a:blip r:embed="rId95"/>
                    <a:stretch>
                      <a:fillRect/>
                    </a:stretch>
                  </pic:blipFill>
                  <pic:spPr>
                    <a:xfrm>
                      <a:off x="0" y="0"/>
                      <a:ext cx="7769860" cy="4896485"/>
                    </a:xfrm>
                    <a:prstGeom prst="rect">
                      <a:avLst/>
                    </a:prstGeom>
                    <a:ln w="12700">
                      <a:solidFill>
                        <a:schemeClr val="tx1"/>
                      </a:solidFill>
                    </a:ln>
                  </pic:spPr>
                </pic:pic>
              </a:graphicData>
            </a:graphic>
          </wp:inline>
        </w:drawing>
      </w:r>
    </w:p>
    <w:p>
      <w:pPr>
        <w:jc w:val="center"/>
        <w:rPr>
          <w:rFonts w:hint="default"/>
          <w:lang w:val="en-US" w:eastAsia="zh-CN"/>
        </w:rPr>
        <w:sectPr>
          <w:headerReference r:id="rId13" w:type="default"/>
          <w:footerReference r:id="rId14"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bCs/>
          <w:color w:val="000000"/>
          <w:sz w:val="24"/>
        </w:rPr>
        <w:t>图</w:t>
      </w:r>
      <w:r>
        <w:rPr>
          <w:rFonts w:hint="eastAsia" w:ascii="Times New Roman" w:hAnsi="Times New Roman" w:eastAsia="宋体" w:cs="Times New Roman"/>
          <w:b/>
          <w:bCs/>
          <w:color w:val="000000"/>
          <w:sz w:val="24"/>
          <w:lang w:val="en-US" w:eastAsia="zh-CN"/>
        </w:rPr>
        <w:t>5.4-</w:t>
      </w:r>
      <w:r>
        <w:rPr>
          <w:rFonts w:hint="default" w:ascii="Times New Roman" w:hAnsi="Times New Roman" w:eastAsia="宋体" w:cs="Times New Roman"/>
          <w:b/>
          <w:bCs/>
          <w:color w:val="000000"/>
          <w:sz w:val="24"/>
        </w:rPr>
        <w:t>1  环境空气监测布点图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cs="Times New Roman"/>
          <w:sz w:val="24"/>
          <w:szCs w:val="24"/>
          <w:lang w:val="en-US" w:eastAsia="zh-CN"/>
        </w:rPr>
        <w:t>2</w:t>
      </w:r>
      <w:r>
        <w:rPr>
          <w:rFonts w:hint="eastAsia" w:ascii="Times New Roman" w:hAnsi="Times New Roman"/>
          <w:sz w:val="24"/>
          <w:szCs w:val="24"/>
          <w:lang w:val="en-US" w:eastAsia="zh-CN"/>
        </w:rPr>
        <w:t>、监测项目、监测时间、监测频率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监测项目：补充监测项目为TSP、总还原硫化物、H</w:t>
      </w:r>
      <w:r>
        <w:rPr>
          <w:rFonts w:hint="eastAsia" w:ascii="Times New Roman" w:hAnsi="Times New Roman"/>
          <w:sz w:val="24"/>
          <w:szCs w:val="24"/>
          <w:vertAlign w:val="subscript"/>
          <w:lang w:val="en-US" w:eastAsia="zh-CN"/>
        </w:rPr>
        <w:t>2</w:t>
      </w:r>
      <w:r>
        <w:rPr>
          <w:rFonts w:hint="eastAsia" w:ascii="Times New Roman" w:hAnsi="Times New Roman"/>
          <w:sz w:val="24"/>
          <w:szCs w:val="24"/>
          <w:lang w:val="en-US" w:eastAsia="zh-CN"/>
        </w:rPr>
        <w:t>S、NH</w:t>
      </w:r>
      <w:r>
        <w:rPr>
          <w:rFonts w:hint="eastAsia" w:ascii="Times New Roman" w:hAnsi="Times New Roman"/>
          <w:sz w:val="24"/>
          <w:szCs w:val="24"/>
          <w:vertAlign w:val="subscript"/>
          <w:lang w:val="en-US" w:eastAsia="zh-CN"/>
        </w:rPr>
        <w:t>3</w:t>
      </w:r>
      <w:r>
        <w:rPr>
          <w:rFonts w:hint="eastAsia" w:ascii="Times New Roman" w:hAnsi="Times New Roman"/>
          <w:sz w:val="24"/>
          <w:szCs w:val="24"/>
          <w:lang w:val="en-US" w:eastAsia="zh-CN"/>
        </w:rPr>
        <w:t>、VOCs、臭气浓度共6项指标，监测1h平均值。监测时同步进行风向、风速、气温、气压、总云量、低云量等气象要素的观测。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监测时间：水发（山东）检验检测研究院有限公司</w:t>
      </w:r>
      <w:r>
        <w:rPr>
          <w:rFonts w:hint="eastAsia" w:ascii="Times New Roman" w:hAnsi="Times New Roman"/>
          <w:sz w:val="24"/>
          <w:szCs w:val="24"/>
          <w:highlight w:val="none"/>
          <w:lang w:val="en-US" w:eastAsia="zh-CN"/>
        </w:rPr>
        <w:t>于</w:t>
      </w:r>
      <w:r>
        <w:rPr>
          <w:rFonts w:hint="default" w:ascii="Times New Roman" w:hAnsi="Times New Roman"/>
          <w:sz w:val="24"/>
          <w:szCs w:val="24"/>
          <w:highlight w:val="none"/>
          <w:lang w:val="en-US" w:eastAsia="zh-CN"/>
        </w:rPr>
        <w:t>20</w:t>
      </w:r>
      <w:r>
        <w:rPr>
          <w:rFonts w:hint="eastAsia" w:ascii="Times New Roman" w:hAnsi="Times New Roman"/>
          <w:sz w:val="24"/>
          <w:szCs w:val="24"/>
          <w:highlight w:val="none"/>
          <w:lang w:val="en-US" w:eastAsia="zh-CN"/>
        </w:rPr>
        <w:t>21</w:t>
      </w:r>
      <w:r>
        <w:rPr>
          <w:rFonts w:hint="default" w:ascii="Times New Roman" w:hAnsi="Times New Roman"/>
          <w:sz w:val="24"/>
          <w:szCs w:val="24"/>
          <w:highlight w:val="none"/>
          <w:lang w:val="en-US" w:eastAsia="zh-CN"/>
        </w:rPr>
        <w:t>年</w:t>
      </w:r>
      <w:r>
        <w:rPr>
          <w:rFonts w:hint="eastAsia" w:ascii="Times New Roman" w:hAnsi="Times New Roman"/>
          <w:sz w:val="24"/>
          <w:szCs w:val="24"/>
          <w:highlight w:val="none"/>
          <w:lang w:val="en-US" w:eastAsia="zh-CN"/>
        </w:rPr>
        <w:t>07</w:t>
      </w:r>
      <w:r>
        <w:rPr>
          <w:rFonts w:hint="default" w:ascii="Times New Roman" w:hAnsi="Times New Roman"/>
          <w:sz w:val="24"/>
          <w:szCs w:val="24"/>
          <w:highlight w:val="none"/>
          <w:lang w:val="en-US" w:eastAsia="zh-CN"/>
        </w:rPr>
        <w:t>月</w:t>
      </w:r>
      <w:r>
        <w:rPr>
          <w:rFonts w:hint="eastAsia" w:ascii="Times New Roman" w:hAnsi="Times New Roman"/>
          <w:sz w:val="24"/>
          <w:szCs w:val="24"/>
          <w:highlight w:val="none"/>
          <w:lang w:val="en-US" w:eastAsia="zh-CN"/>
        </w:rPr>
        <w:t>20</w:t>
      </w:r>
      <w:r>
        <w:rPr>
          <w:rFonts w:hint="default" w:ascii="Times New Roman" w:hAnsi="Times New Roman"/>
          <w:sz w:val="24"/>
          <w:szCs w:val="24"/>
          <w:highlight w:val="none"/>
          <w:lang w:val="en-US" w:eastAsia="zh-CN"/>
        </w:rPr>
        <w:t>日~</w:t>
      </w:r>
      <w:r>
        <w:rPr>
          <w:rFonts w:hint="eastAsia" w:ascii="Times New Roman" w:hAnsi="Times New Roman"/>
          <w:sz w:val="24"/>
          <w:szCs w:val="24"/>
          <w:highlight w:val="none"/>
          <w:lang w:val="en-US" w:eastAsia="zh-CN"/>
        </w:rPr>
        <w:t>07</w:t>
      </w:r>
      <w:r>
        <w:rPr>
          <w:rFonts w:hint="default" w:ascii="Times New Roman" w:hAnsi="Times New Roman"/>
          <w:sz w:val="24"/>
          <w:szCs w:val="24"/>
          <w:highlight w:val="none"/>
          <w:lang w:val="en-US" w:eastAsia="zh-CN"/>
        </w:rPr>
        <w:t>月</w:t>
      </w:r>
      <w:r>
        <w:rPr>
          <w:rFonts w:hint="eastAsia" w:ascii="Times New Roman" w:hAnsi="Times New Roman"/>
          <w:sz w:val="24"/>
          <w:szCs w:val="24"/>
          <w:highlight w:val="none"/>
          <w:lang w:val="en-US" w:eastAsia="zh-CN"/>
        </w:rPr>
        <w:t>26</w:t>
      </w:r>
      <w:r>
        <w:rPr>
          <w:rFonts w:hint="default" w:ascii="Times New Roman" w:hAnsi="Times New Roman"/>
          <w:sz w:val="24"/>
          <w:szCs w:val="24"/>
          <w:highlight w:val="none"/>
          <w:lang w:val="en-US" w:eastAsia="zh-CN"/>
        </w:rPr>
        <w:t>日</w:t>
      </w:r>
      <w:r>
        <w:rPr>
          <w:rFonts w:hint="eastAsia" w:ascii="Times New Roman" w:hAnsi="Times New Roman"/>
          <w:sz w:val="24"/>
          <w:szCs w:val="24"/>
          <w:lang w:val="en-US" w:eastAsia="zh-CN"/>
        </w:rPr>
        <w:t>进行了连续7天的监测。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监测频率：连续监测7天，每天监测4次，采样时刻为每天的2:00、8:00、14:00、20:00。</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3、监测分析方法</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ascii="宋体" w:hAnsi="宋体" w:eastAsia="宋体" w:cs="宋体"/>
          <w:b/>
          <w:bCs/>
          <w:color w:val="000000"/>
          <w:sz w:val="24"/>
        </w:rPr>
        <w:t>表</w:t>
      </w:r>
      <w:r>
        <w:rPr>
          <w:rFonts w:hint="default" w:ascii="Times New Roman" w:hAnsi="Times New Roman" w:eastAsia="宋体" w:cs="Times New Roman"/>
          <w:b/>
          <w:bCs/>
          <w:color w:val="000000"/>
          <w:sz w:val="24"/>
          <w:lang w:val="en-US" w:eastAsia="zh-CN"/>
        </w:rPr>
        <w:t>5.4-</w:t>
      </w:r>
      <w:r>
        <w:rPr>
          <w:rFonts w:hint="eastAsia" w:ascii="Times New Roman" w:hAnsi="Times New Roman" w:cs="Times New Roman"/>
          <w:b/>
          <w:bCs/>
          <w:color w:val="000000"/>
          <w:sz w:val="24"/>
          <w:lang w:val="en-US" w:eastAsia="zh-CN"/>
        </w:rPr>
        <w:t>2</w:t>
      </w:r>
      <w:r>
        <w:rPr>
          <w:rFonts w:hint="eastAsia" w:ascii="宋体" w:hAnsi="宋体" w:eastAsia="宋体" w:cs="宋体"/>
          <w:b/>
          <w:bCs/>
          <w:color w:val="000000"/>
          <w:sz w:val="24"/>
        </w:rPr>
        <w:t xml:space="preserve">  环境空气质量监测分析方法</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2"/>
        <w:gridCol w:w="2758"/>
        <w:gridCol w:w="2451"/>
        <w:gridCol w:w="18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项目</w:t>
            </w:r>
          </w:p>
        </w:tc>
        <w:tc>
          <w:tcPr>
            <w:tcW w:w="27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分析方法</w:t>
            </w:r>
          </w:p>
        </w:tc>
        <w:tc>
          <w:tcPr>
            <w:tcW w:w="245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方法依据</w:t>
            </w:r>
          </w:p>
        </w:tc>
        <w:tc>
          <w:tcPr>
            <w:tcW w:w="181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检出限（mg/m</w:t>
            </w:r>
            <w:r>
              <w:rPr>
                <w:rFonts w:hint="eastAsia" w:ascii="Times New Roman" w:hAnsi="Times New Roman"/>
                <w:sz w:val="21"/>
                <w:szCs w:val="21"/>
                <w:vertAlign w:val="superscript"/>
                <w:lang w:val="en-US" w:eastAsia="zh-CN"/>
              </w:rPr>
              <w:t>3</w:t>
            </w: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TSP</w:t>
            </w:r>
          </w:p>
        </w:tc>
        <w:tc>
          <w:tcPr>
            <w:tcW w:w="27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重量法</w:t>
            </w:r>
          </w:p>
        </w:tc>
        <w:tc>
          <w:tcPr>
            <w:tcW w:w="245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GB/T15432-1995</w:t>
            </w:r>
          </w:p>
        </w:tc>
        <w:tc>
          <w:tcPr>
            <w:tcW w:w="181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0.001 mg/m</w:t>
            </w:r>
            <w:r>
              <w:rPr>
                <w:rFonts w:hint="eastAsia" w:ascii="Times New Roman" w:hAnsi="Times New Roman"/>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H</w:t>
            </w:r>
            <w:r>
              <w:rPr>
                <w:rFonts w:hint="eastAsia" w:ascii="Times New Roman" w:hAnsi="Times New Roman"/>
                <w:sz w:val="21"/>
                <w:szCs w:val="21"/>
                <w:vertAlign w:val="subscript"/>
                <w:lang w:val="en-US" w:eastAsia="zh-CN"/>
              </w:rPr>
              <w:t>2</w:t>
            </w:r>
            <w:r>
              <w:rPr>
                <w:rFonts w:hint="eastAsia" w:ascii="Times New Roman" w:hAnsi="Times New Roman"/>
                <w:sz w:val="21"/>
                <w:szCs w:val="21"/>
                <w:vertAlign w:val="baseline"/>
                <w:lang w:val="en-US" w:eastAsia="zh-CN"/>
              </w:rPr>
              <w:t>S</w:t>
            </w:r>
          </w:p>
        </w:tc>
        <w:tc>
          <w:tcPr>
            <w:tcW w:w="27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亚甲基蓝分光光度法</w:t>
            </w:r>
          </w:p>
        </w:tc>
        <w:tc>
          <w:tcPr>
            <w:tcW w:w="245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GB 11742-1989</w:t>
            </w:r>
          </w:p>
        </w:tc>
        <w:tc>
          <w:tcPr>
            <w:tcW w:w="181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0.003 mg/m</w:t>
            </w:r>
            <w:r>
              <w:rPr>
                <w:rFonts w:hint="eastAsia" w:ascii="Times New Roman" w:hAnsi="Times New Roman"/>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NH</w:t>
            </w:r>
            <w:r>
              <w:rPr>
                <w:rFonts w:hint="eastAsia" w:ascii="Times New Roman" w:hAnsi="Times New Roman"/>
                <w:sz w:val="21"/>
                <w:szCs w:val="21"/>
                <w:vertAlign w:val="subscript"/>
                <w:lang w:val="en-US" w:eastAsia="zh-CN"/>
              </w:rPr>
              <w:t>3</w:t>
            </w:r>
          </w:p>
        </w:tc>
        <w:tc>
          <w:tcPr>
            <w:tcW w:w="27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纳氏试剂分光光度法</w:t>
            </w:r>
          </w:p>
        </w:tc>
        <w:tc>
          <w:tcPr>
            <w:tcW w:w="245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HJ 533-2009</w:t>
            </w:r>
          </w:p>
        </w:tc>
        <w:tc>
          <w:tcPr>
            <w:tcW w:w="181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0.01mg/m</w:t>
            </w:r>
            <w:r>
              <w:rPr>
                <w:rFonts w:hint="eastAsia" w:ascii="Times New Roman" w:hAnsi="Times New Roman"/>
                <w:sz w:val="21"/>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1" w:hRule="atLeast"/>
        </w:trPr>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VOCs</w:t>
            </w:r>
          </w:p>
        </w:tc>
        <w:tc>
          <w:tcPr>
            <w:tcW w:w="27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szCs w:val="21"/>
              </w:rPr>
              <w:t>环境空气 挥发性有机物的测定 吸附管采样-热脱附_气相色谱-质谱法</w:t>
            </w:r>
          </w:p>
        </w:tc>
        <w:tc>
          <w:tcPr>
            <w:tcW w:w="2451" w:type="dxa"/>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Cs w:val="21"/>
              </w:rPr>
              <w:t>HJ 644-2013</w:t>
            </w:r>
          </w:p>
        </w:tc>
        <w:tc>
          <w:tcPr>
            <w:tcW w:w="1811" w:type="dxa"/>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臭气浓度</w:t>
            </w:r>
          </w:p>
        </w:tc>
        <w:tc>
          <w:tcPr>
            <w:tcW w:w="2758" w:type="dxa"/>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Cs w:val="21"/>
              </w:rPr>
              <w:t>三点比较式臭袋法</w:t>
            </w:r>
          </w:p>
        </w:tc>
        <w:tc>
          <w:tcPr>
            <w:tcW w:w="2451" w:type="dxa"/>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Cs w:val="21"/>
              </w:rPr>
              <w:t>GB/T 14675-1993</w:t>
            </w:r>
          </w:p>
        </w:tc>
        <w:tc>
          <w:tcPr>
            <w:tcW w:w="1811" w:type="dxa"/>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Cs w:val="21"/>
              </w:rPr>
              <w:t>10（无量纲）</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4、监测结果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（1）气象参数</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eastAsia="宋体"/>
          <w:sz w:val="24"/>
          <w:szCs w:val="24"/>
          <w:lang w:val="en-US" w:eastAsia="zh-CN"/>
        </w:rPr>
      </w:pPr>
      <w:r>
        <w:rPr>
          <w:rFonts w:hint="eastAsia" w:ascii="宋体" w:hAnsi="宋体" w:eastAsia="宋体" w:cs="宋体"/>
          <w:b/>
          <w:bCs/>
          <w:color w:val="000000"/>
          <w:sz w:val="24"/>
        </w:rPr>
        <w:t>表</w:t>
      </w:r>
      <w:r>
        <w:rPr>
          <w:rFonts w:hint="default" w:ascii="Times New Roman" w:hAnsi="Times New Roman" w:eastAsia="宋体" w:cs="Times New Roman"/>
          <w:b/>
          <w:bCs/>
          <w:color w:val="000000"/>
          <w:sz w:val="24"/>
          <w:lang w:val="en-US" w:eastAsia="zh-CN"/>
        </w:rPr>
        <w:t>5.4-</w:t>
      </w:r>
      <w:r>
        <w:rPr>
          <w:rFonts w:hint="eastAsia" w:ascii="Times New Roman" w:hAnsi="Times New Roman" w:cs="Times New Roman"/>
          <w:b/>
          <w:bCs/>
          <w:color w:val="000000"/>
          <w:sz w:val="24"/>
          <w:lang w:val="en-US" w:eastAsia="zh-CN"/>
        </w:rPr>
        <w:t>3（1）</w:t>
      </w:r>
      <w:r>
        <w:rPr>
          <w:rFonts w:hint="eastAsia" w:ascii="宋体" w:hAnsi="宋体" w:eastAsia="宋体" w:cs="宋体"/>
          <w:b/>
          <w:bCs/>
          <w:color w:val="000000"/>
          <w:sz w:val="24"/>
        </w:rPr>
        <w:t xml:space="preserve">  监测期间气象参数</w:t>
      </w:r>
      <w:r>
        <w:rPr>
          <w:rFonts w:hint="eastAsia" w:ascii="宋体" w:hAnsi="宋体" w:cs="宋体"/>
          <w:b/>
          <w:bCs/>
          <w:color w:val="000000"/>
          <w:sz w:val="24"/>
          <w:lang w:eastAsia="zh-CN"/>
        </w:rPr>
        <w:t>（</w:t>
      </w:r>
      <w:r>
        <w:rPr>
          <w:rFonts w:hint="eastAsia" w:ascii="宋体" w:hAnsi="宋体" w:cs="宋体"/>
          <w:b/>
          <w:bCs/>
          <w:color w:val="000000"/>
          <w:sz w:val="24"/>
          <w:lang w:val="en-US" w:eastAsia="zh-CN"/>
        </w:rPr>
        <w:t>厂区</w:t>
      </w:r>
      <w:r>
        <w:rPr>
          <w:rFonts w:hint="eastAsia" w:ascii="宋体" w:hAnsi="宋体" w:cs="宋体"/>
          <w:b/>
          <w:bCs/>
          <w:color w:val="000000"/>
          <w:sz w:val="24"/>
          <w:lang w:eastAsia="zh-CN"/>
        </w:rPr>
        <w:t>）</w:t>
      </w:r>
    </w:p>
    <w:tbl>
      <w:tblPr>
        <w:tblStyle w:val="19"/>
        <w:tblW w:w="8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777"/>
        <w:gridCol w:w="1074"/>
        <w:gridCol w:w="1190"/>
        <w:gridCol w:w="1022"/>
        <w:gridCol w:w="1091"/>
        <w:gridCol w:w="791"/>
        <w:gridCol w:w="764"/>
        <w:gridCol w:w="7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938" w:type="dxa"/>
            <w:gridSpan w:val="2"/>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检测日期</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温度℃</w:t>
            </w:r>
          </w:p>
        </w:tc>
        <w:tc>
          <w:tcPr>
            <w:tcW w:w="1190"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湿度%RH</w:t>
            </w:r>
          </w:p>
        </w:tc>
        <w:tc>
          <w:tcPr>
            <w:tcW w:w="1022"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气压kPa</w:t>
            </w:r>
          </w:p>
        </w:tc>
        <w:tc>
          <w:tcPr>
            <w:tcW w:w="1091"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风速m/s</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风向</w:t>
            </w:r>
          </w:p>
        </w:tc>
        <w:tc>
          <w:tcPr>
            <w:tcW w:w="764"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总云量</w:t>
            </w:r>
          </w:p>
        </w:tc>
        <w:tc>
          <w:tcPr>
            <w:tcW w:w="764"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低云量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2021.07.20</w:t>
            </w:r>
          </w:p>
        </w:tc>
        <w:tc>
          <w:tcPr>
            <w:tcW w:w="777" w:type="dxa"/>
            <w:vAlign w:val="center"/>
          </w:tcPr>
          <w:p>
            <w:pPr>
              <w:pStyle w:val="24"/>
              <w:spacing w:before="0" w:beforeLines="0" w:line="240" w:lineRule="atLeast"/>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21</w:t>
            </w:r>
          </w:p>
        </w:tc>
        <w:tc>
          <w:tcPr>
            <w:tcW w:w="1190"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80</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100.9</w:t>
            </w:r>
          </w:p>
        </w:tc>
        <w:tc>
          <w:tcPr>
            <w:tcW w:w="10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2.1</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26</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71</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100.7</w:t>
            </w:r>
          </w:p>
        </w:tc>
        <w:tc>
          <w:tcPr>
            <w:tcW w:w="10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2.4</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30</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58</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100.5</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1.7</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24</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89</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100.7</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2.6</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2021.07.21</w:t>
            </w: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20</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93</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101.1</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bCs/>
                <w:kern w:val="0"/>
                <w:sz w:val="21"/>
                <w:szCs w:val="21"/>
                <w:lang w:val="en-US" w:eastAsia="zh-CN" w:bidi="ar-SA"/>
              </w:rPr>
              <w:t>2.6</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27</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82</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100.9</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bCs/>
                <w:kern w:val="0"/>
                <w:sz w:val="21"/>
                <w:szCs w:val="21"/>
                <w:lang w:val="en-US" w:eastAsia="zh-CN" w:bidi="ar-SA"/>
              </w:rPr>
              <w:t>2.6</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5</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31</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65</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100.7</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bCs/>
                <w:kern w:val="0"/>
                <w:sz w:val="21"/>
                <w:szCs w:val="21"/>
                <w:lang w:val="en-US" w:eastAsia="zh-CN" w:bidi="ar-SA"/>
              </w:rPr>
              <w:t>1.6</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6</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28</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70</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100.8</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bCs/>
                <w:kern w:val="0"/>
                <w:sz w:val="21"/>
                <w:szCs w:val="21"/>
                <w:lang w:val="en-US" w:eastAsia="zh-CN" w:bidi="ar-SA"/>
              </w:rPr>
              <w:t>2.3</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2021.07.22</w:t>
            </w: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20</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81</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101.0</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25</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72</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100.8</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2.0</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5</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29</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61</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100.7</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1.8</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5</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26</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76</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100.7</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2021.07.23</w:t>
            </w: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19</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82</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100.9</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1.5</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28</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76</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100.7</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1.9</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6</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32</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57</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100.5</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1.9</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5</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28</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63</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100.5</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1.8</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2021.07.24</w:t>
            </w: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20</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90</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100.8</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29</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79</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100.4</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1.6</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6</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33</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55</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100.2</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5</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31</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66</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100.3</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1.5</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2021.07.25</w:t>
            </w: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24</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83</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100.6</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29</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63</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100.4</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2.2</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0</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34</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46</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100.2</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1.6</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0</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31</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69</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100.3</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2021.07.26</w:t>
            </w: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22</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88</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100.3</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1.6</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29</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68</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100.0</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2.2</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3</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33</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52</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99.9</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2.7</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5</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28</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80</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100.1</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2.2</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jc w:val="center"/>
        <w:textAlignment w:val="auto"/>
        <w:rPr>
          <w:rFonts w:hint="eastAsia" w:ascii="Times New Roman" w:hAnsi="Times New Roman" w:eastAsia="宋体"/>
          <w:sz w:val="24"/>
          <w:szCs w:val="24"/>
          <w:lang w:val="en-US" w:eastAsia="zh-CN"/>
        </w:rPr>
      </w:pPr>
      <w:r>
        <w:rPr>
          <w:rFonts w:hint="eastAsia" w:ascii="宋体" w:hAnsi="宋体" w:eastAsia="宋体" w:cs="宋体"/>
          <w:b/>
          <w:bCs/>
          <w:color w:val="000000"/>
          <w:sz w:val="24"/>
        </w:rPr>
        <w:t>表</w:t>
      </w:r>
      <w:r>
        <w:rPr>
          <w:rFonts w:hint="default" w:ascii="Times New Roman" w:hAnsi="Times New Roman" w:eastAsia="宋体" w:cs="Times New Roman"/>
          <w:b/>
          <w:bCs/>
          <w:color w:val="000000"/>
          <w:sz w:val="24"/>
          <w:lang w:val="en-US" w:eastAsia="zh-CN"/>
        </w:rPr>
        <w:t>5.4-</w:t>
      </w:r>
      <w:r>
        <w:rPr>
          <w:rFonts w:hint="eastAsia" w:ascii="Times New Roman" w:hAnsi="Times New Roman" w:cs="Times New Roman"/>
          <w:b/>
          <w:bCs/>
          <w:color w:val="000000"/>
          <w:sz w:val="24"/>
          <w:lang w:val="en-US" w:eastAsia="zh-CN"/>
        </w:rPr>
        <w:t>3（2）</w:t>
      </w:r>
      <w:r>
        <w:rPr>
          <w:rFonts w:hint="eastAsia" w:ascii="宋体" w:hAnsi="宋体" w:eastAsia="宋体" w:cs="宋体"/>
          <w:b/>
          <w:bCs/>
          <w:color w:val="000000"/>
          <w:sz w:val="24"/>
        </w:rPr>
        <w:t xml:space="preserve">  监测期间气象参数</w:t>
      </w:r>
      <w:r>
        <w:rPr>
          <w:rFonts w:hint="eastAsia" w:ascii="宋体" w:hAnsi="宋体" w:cs="宋体"/>
          <w:b/>
          <w:bCs/>
          <w:color w:val="000000"/>
          <w:sz w:val="24"/>
          <w:lang w:eastAsia="zh-CN"/>
        </w:rPr>
        <w:t>（</w:t>
      </w:r>
      <w:r>
        <w:rPr>
          <w:rFonts w:hint="eastAsia" w:ascii="宋体" w:hAnsi="宋体" w:cs="宋体"/>
          <w:b/>
          <w:bCs/>
          <w:color w:val="000000"/>
          <w:sz w:val="24"/>
          <w:lang w:val="en-US" w:eastAsia="zh-CN"/>
        </w:rPr>
        <w:t>辛庄村东北侧</w:t>
      </w:r>
      <w:r>
        <w:rPr>
          <w:rFonts w:hint="eastAsia" w:ascii="宋体" w:hAnsi="宋体" w:cs="宋体"/>
          <w:b/>
          <w:bCs/>
          <w:color w:val="000000"/>
          <w:sz w:val="24"/>
          <w:lang w:eastAsia="zh-CN"/>
        </w:rPr>
        <w:t>）</w:t>
      </w:r>
    </w:p>
    <w:tbl>
      <w:tblPr>
        <w:tblStyle w:val="19"/>
        <w:tblW w:w="8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777"/>
        <w:gridCol w:w="1074"/>
        <w:gridCol w:w="1190"/>
        <w:gridCol w:w="1022"/>
        <w:gridCol w:w="1091"/>
        <w:gridCol w:w="791"/>
        <w:gridCol w:w="764"/>
        <w:gridCol w:w="7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938" w:type="dxa"/>
            <w:gridSpan w:val="2"/>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检测日期</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温度℃</w:t>
            </w:r>
          </w:p>
        </w:tc>
        <w:tc>
          <w:tcPr>
            <w:tcW w:w="1190"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湿度%RH</w:t>
            </w:r>
          </w:p>
        </w:tc>
        <w:tc>
          <w:tcPr>
            <w:tcW w:w="1022"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气压kPa</w:t>
            </w:r>
          </w:p>
        </w:tc>
        <w:tc>
          <w:tcPr>
            <w:tcW w:w="1091"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风速m/s</w:t>
            </w:r>
          </w:p>
        </w:tc>
        <w:tc>
          <w:tcPr>
            <w:tcW w:w="791"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风向</w:t>
            </w:r>
          </w:p>
        </w:tc>
        <w:tc>
          <w:tcPr>
            <w:tcW w:w="764"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总云量</w:t>
            </w:r>
          </w:p>
        </w:tc>
        <w:tc>
          <w:tcPr>
            <w:tcW w:w="764" w:type="dxa"/>
            <w:vAlign w:val="center"/>
          </w:tcPr>
          <w:p>
            <w:pPr>
              <w:widowControl/>
              <w:jc w:val="center"/>
              <w:textAlignment w:val="center"/>
              <w:rPr>
                <w:rFonts w:hint="eastAsia" w:ascii="Times New Roman" w:hAnsi="Times New Roman" w:eastAsia="宋体"/>
                <w:sz w:val="21"/>
                <w:szCs w:val="21"/>
                <w:lang w:val="en-US" w:eastAsia="zh-CN"/>
              </w:rPr>
            </w:pPr>
            <w:r>
              <w:rPr>
                <w:rFonts w:ascii="Times New Roman" w:hAnsi="Times New Roman" w:eastAsia="宋体"/>
                <w:b/>
                <w:bCs/>
                <w:kern w:val="0"/>
                <w:sz w:val="21"/>
                <w:szCs w:val="21"/>
              </w:rPr>
              <w:t>低云量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2021.07.20</w:t>
            </w:r>
          </w:p>
        </w:tc>
        <w:tc>
          <w:tcPr>
            <w:tcW w:w="777" w:type="dxa"/>
            <w:vAlign w:val="center"/>
          </w:tcPr>
          <w:p>
            <w:pPr>
              <w:pStyle w:val="24"/>
              <w:spacing w:before="0" w:beforeLines="0" w:line="240" w:lineRule="atLeast"/>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21</w:t>
            </w:r>
          </w:p>
        </w:tc>
        <w:tc>
          <w:tcPr>
            <w:tcW w:w="1190"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80</w:t>
            </w:r>
          </w:p>
        </w:tc>
        <w:tc>
          <w:tcPr>
            <w:tcW w:w="1022" w:type="dxa"/>
            <w:vAlign w:val="center"/>
          </w:tcPr>
          <w:p>
            <w:pPr>
              <w:widowControl/>
              <w:tabs>
                <w:tab w:val="left" w:pos="356"/>
              </w:tabs>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100.9</w:t>
            </w:r>
          </w:p>
        </w:tc>
        <w:tc>
          <w:tcPr>
            <w:tcW w:w="10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2.1</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26</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71</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100.7</w:t>
            </w:r>
          </w:p>
        </w:tc>
        <w:tc>
          <w:tcPr>
            <w:tcW w:w="10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2.3</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6</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30</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58</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100.3</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bCs/>
                <w:kern w:val="0"/>
                <w:sz w:val="21"/>
                <w:szCs w:val="21"/>
                <w:lang w:val="en-US" w:eastAsia="zh-CN" w:bidi="ar-SA"/>
              </w:rPr>
              <w:t>1.7</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6</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24</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89</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2"/>
                <w:sz w:val="21"/>
                <w:szCs w:val="21"/>
                <w:lang w:val="en-US" w:eastAsia="zh-CN" w:bidi="ar-SA"/>
              </w:rPr>
              <w:t>100.7</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cs="Times New Roman"/>
                <w:bCs/>
                <w:kern w:val="0"/>
                <w:sz w:val="21"/>
                <w:szCs w:val="21"/>
                <w:lang w:val="en-US" w:eastAsia="zh-CN" w:bidi="ar-SA"/>
              </w:rPr>
              <w:t>2.6</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cs="Times New Roman"/>
                <w:kern w:val="0"/>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2021.07.21</w:t>
            </w: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20</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93</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101.1</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2.6</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27</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82</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100.9</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2.6</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5</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31</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65</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100.7</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1.6</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6</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28</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70</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100.8</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2.3</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2021.07.22</w:t>
            </w: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20</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81</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101.0</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25</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72</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100.8</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2.0</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5</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29</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61</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100.7</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1.8</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5</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26</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76</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100.7</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2021.07.23</w:t>
            </w: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19</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82</w:t>
            </w:r>
          </w:p>
        </w:tc>
        <w:tc>
          <w:tcPr>
            <w:tcW w:w="1022" w:type="dxa"/>
            <w:vAlign w:val="center"/>
          </w:tcPr>
          <w:p>
            <w:pPr>
              <w:widowControl/>
              <w:tabs>
                <w:tab w:val="left" w:pos="529"/>
              </w:tabs>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100.9</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1.5</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28</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76</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100.7</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1.9</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6</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32</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57</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100.5</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1.9</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5</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28</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63</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100.5</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1.8</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2021.07.24</w:t>
            </w: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20</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90</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100.8</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29</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79</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100.4</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1.6</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6</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33</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55</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100.2</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5</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31</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66</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100.3</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1.5</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2021.07.25</w:t>
            </w: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24</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83</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100.6</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29</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63</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100.4</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2.2</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0</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34</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46</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100.2</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0</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31</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69</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100.3</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2.1</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highlight w:val="none"/>
                <w:lang w:val="en-US" w:eastAsia="zh-CN"/>
              </w:rPr>
            </w:pPr>
            <w:r>
              <w:rPr>
                <w:rFonts w:hint="eastAsia" w:ascii="Times New Roman" w:hAnsi="Times New Roman" w:eastAsia="宋体"/>
                <w:sz w:val="21"/>
                <w:szCs w:val="21"/>
                <w:highlight w:val="none"/>
                <w:lang w:val="en-US" w:eastAsia="zh-CN"/>
              </w:rPr>
              <w:t>2021.07.26</w:t>
            </w: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w:t>
            </w:r>
          </w:p>
        </w:tc>
        <w:tc>
          <w:tcPr>
            <w:tcW w:w="1074" w:type="dxa"/>
            <w:vAlign w:val="center"/>
          </w:tcPr>
          <w:p>
            <w:pPr>
              <w:widowControl/>
              <w:tabs>
                <w:tab w:val="left" w:pos="322"/>
              </w:tabs>
              <w:jc w:val="left"/>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ab/>
            </w:r>
            <w:r>
              <w:rPr>
                <w:rFonts w:hint="eastAsia" w:ascii="Times New Roman" w:hAnsi="Times New Roman" w:eastAsia="宋体"/>
                <w:sz w:val="21"/>
                <w:szCs w:val="21"/>
                <w:lang w:val="en-US" w:eastAsia="zh-CN"/>
              </w:rPr>
              <w:t>22</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88</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100.3</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1.6</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8:00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29</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68</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100.0</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2.2</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3</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14:00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33</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52</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99.9</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2.7</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5</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p>
        </w:tc>
        <w:tc>
          <w:tcPr>
            <w:tcW w:w="777" w:type="dxa"/>
            <w:vAlign w:val="center"/>
          </w:tcPr>
          <w:p>
            <w:pPr>
              <w:pStyle w:val="24"/>
              <w:spacing w:before="0" w:beforeLines="0" w:line="240" w:lineRule="atLeast"/>
              <w:ind w:firstLine="0" w:firstLineChars="0"/>
              <w:jc w:val="center"/>
              <w:rPr>
                <w:rFonts w:hint="eastAsia" w:ascii="Times New Roman" w:hAnsi="Times New Roman" w:eastAsia="宋体"/>
                <w:sz w:val="21"/>
                <w:szCs w:val="21"/>
                <w:lang w:val="en-US" w:eastAsia="zh-CN"/>
              </w:rPr>
            </w:pPr>
            <w:r>
              <w:rPr>
                <w:rFonts w:hint="default" w:ascii="Times New Roman" w:hAnsi="Times New Roman" w:eastAsia="宋体" w:cs="Times New Roman"/>
                <w:sz w:val="21"/>
                <w:szCs w:val="21"/>
              </w:rPr>
              <w:t>20:00</w:t>
            </w:r>
          </w:p>
        </w:tc>
        <w:tc>
          <w:tcPr>
            <w:tcW w:w="1074" w:type="dxa"/>
            <w:vAlign w:val="center"/>
          </w:tcPr>
          <w:p>
            <w:pPr>
              <w:widowControl/>
              <w:jc w:val="center"/>
              <w:textAlignment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28</w:t>
            </w:r>
          </w:p>
        </w:tc>
        <w:tc>
          <w:tcPr>
            <w:tcW w:w="1190"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80</w:t>
            </w:r>
          </w:p>
        </w:tc>
        <w:tc>
          <w:tcPr>
            <w:tcW w:w="1022"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100.1</w:t>
            </w:r>
          </w:p>
        </w:tc>
        <w:tc>
          <w:tcPr>
            <w:tcW w:w="1091" w:type="dxa"/>
            <w:vAlign w:val="center"/>
          </w:tcPr>
          <w:p>
            <w:pPr>
              <w:jc w:val="center"/>
              <w:rPr>
                <w:rFonts w:hint="eastAsia" w:ascii="Times New Roman" w:hAnsi="Times New Roman" w:eastAsia="宋体"/>
                <w:sz w:val="21"/>
                <w:szCs w:val="21"/>
                <w:lang w:val="en-US" w:eastAsia="zh-CN"/>
              </w:rPr>
            </w:pPr>
            <w:r>
              <w:rPr>
                <w:rFonts w:hint="eastAsia" w:ascii="Times New Roman" w:hAnsi="Times New Roman" w:eastAsia="宋体"/>
                <w:bCs/>
                <w:kern w:val="0"/>
                <w:sz w:val="21"/>
                <w:szCs w:val="21"/>
                <w:lang w:val="en-US" w:eastAsia="zh-CN"/>
              </w:rPr>
              <w:t>2.2</w:t>
            </w:r>
          </w:p>
        </w:tc>
        <w:tc>
          <w:tcPr>
            <w:tcW w:w="791"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SE</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c>
          <w:tcPr>
            <w:tcW w:w="764" w:type="dxa"/>
            <w:vAlign w:val="center"/>
          </w:tcPr>
          <w:p>
            <w:pPr>
              <w:widowControl/>
              <w:jc w:val="center"/>
              <w:rPr>
                <w:rFonts w:hint="eastAsia" w:ascii="Times New Roman" w:hAnsi="Times New Roman" w:eastAsia="宋体"/>
                <w:sz w:val="21"/>
                <w:szCs w:val="21"/>
                <w:lang w:val="en-US" w:eastAsia="zh-CN"/>
              </w:rPr>
            </w:pPr>
            <w:r>
              <w:rPr>
                <w:rFonts w:hint="eastAsia" w:ascii="Times New Roman" w:hAnsi="Times New Roman" w:eastAsia="宋体"/>
                <w:kern w:val="0"/>
                <w:sz w:val="21"/>
                <w:szCs w:val="21"/>
                <w:lang w:val="en-US" w:eastAsia="zh-CN"/>
              </w:rPr>
              <w:t>/</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（2）环境空气质量监测结果</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本项目环境空气检测结果见表</w:t>
      </w:r>
      <w:r>
        <w:rPr>
          <w:rFonts w:hint="default" w:ascii="Times New Roman" w:hAnsi="Times New Roman" w:eastAsia="宋体" w:cs="Times New Roman"/>
          <w:kern w:val="2"/>
          <w:sz w:val="24"/>
          <w:szCs w:val="24"/>
          <w:lang w:val="en-US" w:eastAsia="zh-CN" w:bidi="ar-SA"/>
        </w:rPr>
        <w:t>5.4-4</w:t>
      </w:r>
      <w:r>
        <w:rPr>
          <w:rFonts w:hint="eastAsia" w:ascii="Times New Roman" w:hAnsi="Times New Roman" w:eastAsia="宋体" w:cs="Times New Roman"/>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rPr>
      </w:pPr>
    </w:p>
    <w:p>
      <w:pPr>
        <w:pStyle w:val="16"/>
        <w:rPr>
          <w:rFonts w:hint="eastAsia"/>
        </w:rPr>
      </w:pPr>
    </w:p>
    <w:p>
      <w:pPr>
        <w:rPr>
          <w:rFonts w:hint="eastAsia" w:eastAsia="宋体"/>
          <w:lang w:val="en-US" w:eastAsia="zh-CN"/>
        </w:rPr>
      </w:pPr>
      <w:r>
        <w:rPr>
          <w:rFonts w:hint="eastAsia"/>
          <w:lang w:val="en-US" w:eastAsia="zh-CN"/>
        </w:rPr>
        <w:t xml:space="preserve"> </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rPr>
      </w:pP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rPr>
      </w:pP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rPr>
      </w:pPr>
    </w:p>
    <w:p>
      <w:pPr>
        <w:pStyle w:val="2"/>
        <w:rPr>
          <w:rFonts w:hint="eastAsia"/>
        </w:rPr>
      </w:pPr>
    </w:p>
    <w:p>
      <w:pPr>
        <w:rPr>
          <w:rFonts w:hint="eastAsia"/>
        </w:rPr>
        <w:sectPr>
          <w:headerReference r:id="rId15" w:type="default"/>
          <w:footerReference r:id="rId1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宋体" w:hAnsi="宋体" w:eastAsia="宋体" w:cs="宋体"/>
          <w:b/>
          <w:bCs/>
          <w:color w:val="000000"/>
          <w:sz w:val="24"/>
        </w:rPr>
      </w:pPr>
      <w:r>
        <w:rPr>
          <w:rFonts w:hint="eastAsia" w:ascii="宋体" w:hAnsi="宋体" w:eastAsia="宋体" w:cs="宋体"/>
          <w:b/>
          <w:bCs/>
          <w:color w:val="000000"/>
          <w:sz w:val="24"/>
        </w:rPr>
        <w:t>表</w:t>
      </w:r>
      <w:r>
        <w:rPr>
          <w:rFonts w:hint="default" w:ascii="Times New Roman" w:hAnsi="Times New Roman" w:eastAsia="宋体" w:cs="Times New Roman"/>
          <w:b/>
          <w:bCs/>
          <w:color w:val="000000"/>
          <w:sz w:val="24"/>
          <w:lang w:val="en-US" w:eastAsia="zh-CN"/>
        </w:rPr>
        <w:t>5.4-</w:t>
      </w:r>
      <w:r>
        <w:rPr>
          <w:rFonts w:hint="eastAsia" w:ascii="Times New Roman" w:hAnsi="Times New Roman" w:cs="Times New Roman"/>
          <w:b/>
          <w:bCs/>
          <w:color w:val="000000"/>
          <w:sz w:val="24"/>
          <w:lang w:val="en-US" w:eastAsia="zh-CN"/>
        </w:rPr>
        <w:t>4</w:t>
      </w:r>
      <w:r>
        <w:rPr>
          <w:rFonts w:hint="eastAsia" w:ascii="宋体" w:hAnsi="宋体" w:eastAsia="宋体" w:cs="宋体"/>
          <w:b/>
          <w:bCs/>
          <w:color w:val="000000"/>
          <w:sz w:val="24"/>
        </w:rPr>
        <w:t xml:space="preserve">  监测数据一览表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006"/>
        <w:gridCol w:w="1000"/>
        <w:gridCol w:w="1586"/>
        <w:gridCol w:w="872"/>
        <w:gridCol w:w="1500"/>
        <w:gridCol w:w="764"/>
        <w:gridCol w:w="1527"/>
        <w:gridCol w:w="791"/>
        <w:gridCol w:w="1486"/>
        <w:gridCol w:w="819"/>
        <w:gridCol w:w="15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167" w:type="dxa"/>
            <w:gridSpan w:val="2"/>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000000"/>
                <w:sz w:val="21"/>
                <w:szCs w:val="21"/>
                <w:vertAlign w:val="baseline"/>
                <w:lang w:val="en-US" w:eastAsia="zh-CN"/>
              </w:rPr>
            </w:pPr>
            <w:r>
              <w:rPr>
                <w:rFonts w:hint="eastAsia" w:ascii="宋体" w:hAnsi="宋体" w:cs="宋体"/>
                <w:b/>
                <w:bCs/>
                <w:color w:val="000000"/>
                <w:sz w:val="21"/>
                <w:szCs w:val="21"/>
                <w:vertAlign w:val="baseline"/>
                <w:lang w:val="en-US" w:eastAsia="zh-CN"/>
              </w:rPr>
              <w:t>监测日期</w:t>
            </w:r>
          </w:p>
        </w:tc>
        <w:tc>
          <w:tcPr>
            <w:tcW w:w="2586"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b/>
                <w:bCs/>
                <w:color w:val="000000"/>
                <w:sz w:val="21"/>
                <w:szCs w:val="21"/>
                <w:vertAlign w:val="baseline"/>
                <w:lang w:val="en-US" w:eastAsia="zh-CN"/>
              </w:rPr>
            </w:pPr>
            <w:r>
              <w:rPr>
                <w:rFonts w:hint="default" w:ascii="Times New Roman" w:hAnsi="Times New Roman" w:cs="Times New Roman"/>
                <w:b/>
                <w:bCs/>
                <w:color w:val="000000"/>
                <w:sz w:val="21"/>
                <w:szCs w:val="21"/>
                <w:vertAlign w:val="baseline"/>
                <w:lang w:val="en-US" w:eastAsia="zh-CN"/>
              </w:rPr>
              <w:t>TPS</w:t>
            </w:r>
          </w:p>
        </w:tc>
        <w:tc>
          <w:tcPr>
            <w:tcW w:w="2372"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cs="Times New Roman"/>
                <w:b/>
                <w:bCs/>
                <w:color w:val="000000"/>
                <w:sz w:val="21"/>
                <w:szCs w:val="21"/>
                <w:vertAlign w:val="baseline"/>
                <w:lang w:val="en-US" w:eastAsia="zh-CN"/>
              </w:rPr>
              <w:t>H</w:t>
            </w:r>
            <w:r>
              <w:rPr>
                <w:rFonts w:hint="default" w:ascii="Times New Roman" w:hAnsi="Times New Roman" w:cs="Times New Roman"/>
                <w:b/>
                <w:bCs/>
                <w:color w:val="000000"/>
                <w:sz w:val="21"/>
                <w:szCs w:val="21"/>
                <w:vertAlign w:val="subscript"/>
                <w:lang w:val="en-US" w:eastAsia="zh-CN"/>
              </w:rPr>
              <w:t>2</w:t>
            </w:r>
            <w:r>
              <w:rPr>
                <w:rFonts w:hint="default" w:ascii="Times New Roman" w:hAnsi="Times New Roman" w:cs="Times New Roman"/>
                <w:b/>
                <w:bCs/>
                <w:color w:val="000000"/>
                <w:sz w:val="21"/>
                <w:szCs w:val="21"/>
                <w:vertAlign w:val="baseline"/>
                <w:lang w:val="en-US" w:eastAsia="zh-CN"/>
              </w:rPr>
              <w:t>S</w:t>
            </w:r>
          </w:p>
        </w:tc>
        <w:tc>
          <w:tcPr>
            <w:tcW w:w="2291"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cs="Times New Roman"/>
                <w:b/>
                <w:bCs/>
                <w:color w:val="000000"/>
                <w:sz w:val="21"/>
                <w:szCs w:val="21"/>
                <w:vertAlign w:val="baseline"/>
                <w:lang w:val="en-US" w:eastAsia="zh-CN"/>
              </w:rPr>
              <w:t>NH</w:t>
            </w:r>
            <w:r>
              <w:rPr>
                <w:rFonts w:hint="default" w:ascii="Times New Roman" w:hAnsi="Times New Roman" w:cs="Times New Roman"/>
                <w:b/>
                <w:bCs/>
                <w:color w:val="000000"/>
                <w:sz w:val="21"/>
                <w:szCs w:val="21"/>
                <w:vertAlign w:val="subscript"/>
                <w:lang w:val="en-US" w:eastAsia="zh-CN"/>
              </w:rPr>
              <w:t>3</w:t>
            </w:r>
          </w:p>
        </w:tc>
        <w:tc>
          <w:tcPr>
            <w:tcW w:w="2277"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000000"/>
                <w:sz w:val="21"/>
                <w:szCs w:val="21"/>
                <w:vertAlign w:val="baseline"/>
                <w:lang w:val="en-US" w:eastAsia="zh-CN"/>
              </w:rPr>
            </w:pPr>
            <w:r>
              <w:rPr>
                <w:rFonts w:hint="default" w:ascii="Times New Roman" w:hAnsi="Times New Roman" w:cs="Times New Roman"/>
                <w:b/>
                <w:bCs/>
                <w:color w:val="000000"/>
                <w:sz w:val="21"/>
                <w:szCs w:val="21"/>
                <w:vertAlign w:val="baseline"/>
                <w:lang w:val="en-US" w:eastAsia="zh-CN"/>
              </w:rPr>
              <w:t>VOCs</w:t>
            </w:r>
          </w:p>
        </w:tc>
        <w:tc>
          <w:tcPr>
            <w:tcW w:w="2360"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b/>
                <w:bCs/>
                <w:color w:val="000000"/>
                <w:sz w:val="21"/>
                <w:szCs w:val="21"/>
                <w:vertAlign w:val="baseline"/>
                <w:lang w:val="en-US" w:eastAsia="zh-CN"/>
              </w:rPr>
            </w:pPr>
            <w:r>
              <w:rPr>
                <w:rFonts w:hint="eastAsia" w:ascii="宋体" w:hAnsi="宋体" w:cs="宋体"/>
                <w:b/>
                <w:bCs/>
                <w:color w:val="000000"/>
                <w:sz w:val="21"/>
                <w:szCs w:val="21"/>
                <w:vertAlign w:val="baseline"/>
                <w:lang w:val="en-US" w:eastAsia="zh-CN"/>
              </w:rPr>
              <w:t>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2167" w:type="dxa"/>
            <w:gridSpan w:val="2"/>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000000"/>
                <w:sz w:val="21"/>
                <w:szCs w:val="21"/>
                <w:vertAlign w:val="baseline"/>
              </w:rPr>
            </w:pP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000000"/>
                <w:sz w:val="21"/>
                <w:szCs w:val="21"/>
                <w:vertAlign w:val="baseline"/>
                <w:lang w:val="en-US" w:eastAsia="zh-CN"/>
              </w:rPr>
            </w:pPr>
            <w:r>
              <w:rPr>
                <w:rFonts w:hint="eastAsia" w:ascii="宋体" w:hAnsi="宋体" w:cs="宋体"/>
                <w:b/>
                <w:bCs/>
                <w:color w:val="000000"/>
                <w:sz w:val="21"/>
                <w:szCs w:val="21"/>
                <w:vertAlign w:val="baseline"/>
                <w:lang w:val="en-US" w:eastAsia="zh-CN"/>
              </w:rPr>
              <w:t>厂区</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宋体" w:hAnsi="宋体" w:eastAsia="宋体" w:cs="宋体"/>
                <w:b/>
                <w:bCs/>
                <w:color w:val="000000"/>
                <w:sz w:val="21"/>
                <w:szCs w:val="21"/>
                <w:vertAlign w:val="baseline"/>
                <w:lang w:val="en-US" w:eastAsia="zh-CN"/>
              </w:rPr>
            </w:pPr>
            <w:r>
              <w:rPr>
                <w:rFonts w:hint="eastAsia" w:ascii="宋体" w:hAnsi="宋体" w:cs="宋体"/>
                <w:b/>
                <w:bCs/>
                <w:color w:val="000000"/>
                <w:sz w:val="21"/>
                <w:szCs w:val="21"/>
                <w:vertAlign w:val="baseline"/>
                <w:lang w:val="en-US" w:eastAsia="zh-CN"/>
              </w:rPr>
              <w:t>辛庄村东北侧</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000000"/>
                <w:sz w:val="21"/>
                <w:szCs w:val="21"/>
                <w:vertAlign w:val="baseline"/>
              </w:rPr>
            </w:pPr>
            <w:r>
              <w:rPr>
                <w:rFonts w:hint="eastAsia" w:ascii="宋体" w:hAnsi="宋体" w:cs="宋体"/>
                <w:b/>
                <w:bCs/>
                <w:color w:val="000000"/>
                <w:sz w:val="21"/>
                <w:szCs w:val="21"/>
                <w:vertAlign w:val="baseline"/>
                <w:lang w:val="en-US" w:eastAsia="zh-CN"/>
              </w:rPr>
              <w:t>厂区</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000000"/>
                <w:sz w:val="21"/>
                <w:szCs w:val="21"/>
                <w:vertAlign w:val="baseline"/>
              </w:rPr>
            </w:pPr>
            <w:r>
              <w:rPr>
                <w:rFonts w:hint="eastAsia" w:ascii="宋体" w:hAnsi="宋体" w:cs="宋体"/>
                <w:b/>
                <w:bCs/>
                <w:color w:val="000000"/>
                <w:sz w:val="21"/>
                <w:szCs w:val="21"/>
                <w:vertAlign w:val="baseline"/>
                <w:lang w:val="en-US" w:eastAsia="zh-CN"/>
              </w:rPr>
              <w:t>辛庄村东北侧</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000000"/>
                <w:sz w:val="21"/>
                <w:szCs w:val="21"/>
                <w:vertAlign w:val="baseline"/>
              </w:rPr>
            </w:pPr>
            <w:r>
              <w:rPr>
                <w:rFonts w:hint="eastAsia" w:ascii="宋体" w:hAnsi="宋体" w:cs="宋体"/>
                <w:b/>
                <w:bCs/>
                <w:color w:val="000000"/>
                <w:sz w:val="21"/>
                <w:szCs w:val="21"/>
                <w:vertAlign w:val="baseline"/>
                <w:lang w:val="en-US" w:eastAsia="zh-CN"/>
              </w:rPr>
              <w:t>厂区</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000000"/>
                <w:sz w:val="21"/>
                <w:szCs w:val="21"/>
                <w:vertAlign w:val="baseline"/>
              </w:rPr>
            </w:pPr>
            <w:r>
              <w:rPr>
                <w:rFonts w:hint="eastAsia" w:ascii="宋体" w:hAnsi="宋体" w:cs="宋体"/>
                <w:b/>
                <w:bCs/>
                <w:color w:val="000000"/>
                <w:sz w:val="21"/>
                <w:szCs w:val="21"/>
                <w:vertAlign w:val="baseline"/>
                <w:lang w:val="en-US" w:eastAsia="zh-CN"/>
              </w:rPr>
              <w:t>辛庄村东北侧</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000000"/>
                <w:sz w:val="21"/>
                <w:szCs w:val="21"/>
                <w:vertAlign w:val="baseline"/>
              </w:rPr>
            </w:pPr>
            <w:r>
              <w:rPr>
                <w:rFonts w:hint="eastAsia" w:ascii="宋体" w:hAnsi="宋体" w:cs="宋体"/>
                <w:b/>
                <w:bCs/>
                <w:color w:val="000000"/>
                <w:sz w:val="21"/>
                <w:szCs w:val="21"/>
                <w:vertAlign w:val="baseline"/>
                <w:lang w:val="en-US" w:eastAsia="zh-CN"/>
              </w:rPr>
              <w:t>厂区</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000000"/>
                <w:sz w:val="21"/>
                <w:szCs w:val="21"/>
                <w:vertAlign w:val="baseline"/>
              </w:rPr>
            </w:pPr>
            <w:r>
              <w:rPr>
                <w:rFonts w:hint="eastAsia" w:ascii="宋体" w:hAnsi="宋体" w:cs="宋体"/>
                <w:b/>
                <w:bCs/>
                <w:color w:val="000000"/>
                <w:sz w:val="21"/>
                <w:szCs w:val="21"/>
                <w:vertAlign w:val="baseline"/>
                <w:lang w:val="en-US" w:eastAsia="zh-CN"/>
              </w:rPr>
              <w:t>辛庄村东北侧</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000000"/>
                <w:sz w:val="21"/>
                <w:szCs w:val="21"/>
                <w:vertAlign w:val="baseline"/>
              </w:rPr>
            </w:pPr>
            <w:r>
              <w:rPr>
                <w:rFonts w:hint="eastAsia" w:ascii="宋体" w:hAnsi="宋体" w:cs="宋体"/>
                <w:b/>
                <w:bCs/>
                <w:color w:val="000000"/>
                <w:sz w:val="21"/>
                <w:szCs w:val="21"/>
                <w:vertAlign w:val="baseline"/>
                <w:lang w:val="en-US" w:eastAsia="zh-CN"/>
              </w:rPr>
              <w:t>厂区</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宋体" w:hAnsi="宋体" w:eastAsia="宋体" w:cs="宋体"/>
                <w:b/>
                <w:bCs/>
                <w:color w:val="000000"/>
                <w:sz w:val="21"/>
                <w:szCs w:val="21"/>
                <w:vertAlign w:val="baseline"/>
              </w:rPr>
            </w:pPr>
            <w:r>
              <w:rPr>
                <w:rFonts w:hint="eastAsia" w:ascii="宋体" w:hAnsi="宋体" w:cs="宋体"/>
                <w:b/>
                <w:bCs/>
                <w:color w:val="000000"/>
                <w:sz w:val="21"/>
                <w:szCs w:val="21"/>
                <w:vertAlign w:val="baseline"/>
                <w:lang w:val="en-US" w:eastAsia="zh-CN"/>
              </w:rPr>
              <w:t>辛庄村东北侧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r>
              <w:rPr>
                <w:rFonts w:hint="eastAsia" w:ascii="Times New Roman" w:hAnsi="Times New Roman"/>
                <w:sz w:val="21"/>
                <w:lang w:val="en-US" w:eastAsia="zh-CN"/>
              </w:rPr>
              <w:t>2021.07.20</w:t>
            </w: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2:00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cs="Times New Roman"/>
                <w:b w:val="0"/>
                <w:bCs w:val="0"/>
                <w:color w:val="000000"/>
                <w:sz w:val="21"/>
                <w:szCs w:val="21"/>
                <w:vertAlign w:val="baseline"/>
                <w:lang w:val="en-US" w:eastAsia="zh-CN"/>
              </w:rPr>
              <w:t>0.237</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0.232</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0.004</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0.004</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0.063</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0.025</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1.34</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1.46</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8:00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default" w:ascii="Times New Roman" w:hAnsi="Times New Roman" w:cs="Times New Roman"/>
                <w:b w:val="0"/>
                <w:bCs w:val="0"/>
                <w:color w:val="000000"/>
                <w:sz w:val="21"/>
                <w:szCs w:val="21"/>
                <w:vertAlign w:val="baseline"/>
                <w:lang w:val="en-US" w:eastAsia="zh-CN"/>
              </w:rPr>
              <w:t>0.191</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0.228</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0.002</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0.006</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0.068</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0.021</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1.45</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1.44</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14:00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0.242</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0.210</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0.003</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0.003</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0.067</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0.024</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1.45</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1.34</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20:00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0.214</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0.248</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0.006</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0.005</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0.070</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0.019</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1.25</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1.07</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r>
              <w:rPr>
                <w:rFonts w:hint="eastAsia" w:ascii="Times New Roman" w:hAnsi="Times New Roman"/>
                <w:sz w:val="21"/>
                <w:lang w:val="en-US" w:eastAsia="zh-CN"/>
              </w:rPr>
              <w:t>2021.07.21</w:t>
            </w: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2:00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0.221</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0.212</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0.006</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0.004</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0.061</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0.025</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1.50</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1.65</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8:00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0.218</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0.206</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0.005</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0.007</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0.064</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0.027</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1.27</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1.34</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14:00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0.208</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0.224</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0.002</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0.009</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0.069</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0.021</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0.91</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1.25</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20:00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0.186</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0.247</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0.005</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0.004</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0.072</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0.022</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1.23</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1.08</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r>
              <w:rPr>
                <w:rFonts w:hint="eastAsia" w:ascii="Times New Roman" w:hAnsi="Times New Roman"/>
                <w:sz w:val="21"/>
                <w:lang w:val="en-US" w:eastAsia="zh-CN"/>
              </w:rPr>
              <w:t>2021.07.22</w:t>
            </w: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2:00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0.234</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0.187</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0.008</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0.004</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0.063</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0.022</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1.21</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1.15</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8:00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0.240</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0.211</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0.006</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0.007</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0.060</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0.018</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1.13</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1.02</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11</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14:00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0.250</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0.229</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0.003</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0.006</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0.074</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0.022</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1.11</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1.23</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20:00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0.249</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0.234</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0.007</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0.009</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0.073</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0.022</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1.17</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1.30</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r>
              <w:rPr>
                <w:rFonts w:hint="eastAsia" w:ascii="Times New Roman" w:hAnsi="Times New Roman"/>
                <w:sz w:val="21"/>
                <w:lang w:val="en-US" w:eastAsia="zh-CN"/>
              </w:rPr>
              <w:t>2021.07.23</w:t>
            </w: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2:00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0.189</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0.231</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0.004</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0.007</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0.077</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0.020</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1.29</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1.13</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8:00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0.216</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0.201</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0.002</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0.004</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0.082</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0.023</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1.16</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1.06</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14:00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0.230</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0.255</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0.005</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0.005</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0.075</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0.019</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1.28</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1.37</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20:00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0.209</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0.217</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0.006</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0.007</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0.077</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0.022</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1.18</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1.40</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r>
              <w:rPr>
                <w:rFonts w:hint="eastAsia" w:ascii="Times New Roman" w:hAnsi="Times New Roman"/>
                <w:sz w:val="21"/>
                <w:lang w:val="en-US" w:eastAsia="zh-CN"/>
              </w:rPr>
              <w:t>2021.07.24</w:t>
            </w: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2:00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0.219</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0.181</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Times New Roman" w:hAnsi="Times New Roman" w:cs="Times New Roman"/>
                <w:b w:val="0"/>
                <w:bCs w:val="0"/>
                <w:color w:val="000000"/>
                <w:sz w:val="21"/>
                <w:szCs w:val="21"/>
                <w:vertAlign w:val="baseline"/>
                <w:lang w:val="en-US" w:eastAsia="zh-CN"/>
              </w:rPr>
              <w:t>0.005</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0.005</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0.069</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0.021</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1.51</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1.23</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8:00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0.190</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0.198</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Times New Roman" w:hAnsi="Times New Roman" w:cs="Times New Roman"/>
                <w:b w:val="0"/>
                <w:bCs w:val="0"/>
                <w:color w:val="000000"/>
                <w:sz w:val="21"/>
                <w:szCs w:val="21"/>
                <w:vertAlign w:val="baseline"/>
                <w:lang w:val="en-US" w:eastAsia="zh-CN"/>
              </w:rPr>
              <w:t>0.007</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0.002</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0.066</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0.019</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1.49</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1.26</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14:00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0.236</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0.241</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Times New Roman" w:hAnsi="Times New Roman" w:cs="Times New Roman"/>
                <w:b w:val="0"/>
                <w:bCs w:val="0"/>
                <w:color w:val="000000"/>
                <w:sz w:val="21"/>
                <w:szCs w:val="21"/>
                <w:vertAlign w:val="baseline"/>
                <w:lang w:val="en-US" w:eastAsia="zh-CN"/>
              </w:rPr>
              <w:t>0.003</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0.006</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0.068</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0.023</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1.33</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1.31</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20:00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0.188</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0.194</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Times New Roman" w:hAnsi="Times New Roman" w:cs="Times New Roman"/>
                <w:b w:val="0"/>
                <w:bCs w:val="0"/>
                <w:color w:val="000000"/>
                <w:sz w:val="21"/>
                <w:szCs w:val="21"/>
                <w:vertAlign w:val="baseline"/>
                <w:lang w:val="en-US" w:eastAsia="zh-CN"/>
              </w:rPr>
              <w:t>0.005</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0.008</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0.071</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0.022</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1.72</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1.27</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r>
              <w:rPr>
                <w:rFonts w:hint="eastAsia" w:ascii="Times New Roman" w:hAnsi="Times New Roman"/>
                <w:sz w:val="21"/>
                <w:lang w:val="en-US" w:eastAsia="zh-CN"/>
              </w:rPr>
              <w:t>2021.07.25</w:t>
            </w: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2:00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0.245</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0.187</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Times New Roman" w:hAnsi="Times New Roman" w:cs="Times New Roman"/>
                <w:b w:val="0"/>
                <w:bCs w:val="0"/>
                <w:color w:val="000000"/>
                <w:sz w:val="21"/>
                <w:szCs w:val="21"/>
                <w:vertAlign w:val="baseline"/>
                <w:lang w:val="en-US" w:eastAsia="zh-CN"/>
              </w:rPr>
              <w:t>0.005</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0.006</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0.054</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0.023</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1.40</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1.20</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8:00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0.238</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0.199</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Times New Roman" w:hAnsi="Times New Roman" w:cs="Times New Roman"/>
                <w:b w:val="0"/>
                <w:bCs w:val="0"/>
                <w:color w:val="000000"/>
                <w:sz w:val="21"/>
                <w:szCs w:val="21"/>
                <w:vertAlign w:val="baseline"/>
                <w:lang w:val="en-US" w:eastAsia="zh-CN"/>
              </w:rPr>
              <w:t>0.003</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0.002</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0.060</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0.021</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1.23</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0.96</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14:00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0.227</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0.239</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Times New Roman" w:hAnsi="Times New Roman" w:cs="Times New Roman"/>
                <w:b w:val="0"/>
                <w:bCs w:val="0"/>
                <w:color w:val="000000"/>
                <w:sz w:val="21"/>
                <w:szCs w:val="21"/>
                <w:vertAlign w:val="baseline"/>
                <w:lang w:val="en-US" w:eastAsia="zh-CN"/>
              </w:rPr>
              <w:t>0.007</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0.004</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0.057</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0.021</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1.26</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0.96</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eastAsia" w:ascii="宋体" w:hAnsi="宋体" w:eastAsia="宋体" w:cs="宋体"/>
                <w:b/>
                <w:bCs/>
                <w:color w:val="000000"/>
                <w:sz w:val="21"/>
                <w:szCs w:val="21"/>
                <w:vertAlign w:val="baseline"/>
              </w:rPr>
            </w:pPr>
            <w:r>
              <w:rPr>
                <w:rFonts w:hint="default" w:ascii="Times New Roman" w:hAnsi="Times New Roman" w:cs="Times New Roman"/>
              </w:rPr>
              <w:t>20:00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0.185</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0.197</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Times New Roman" w:hAnsi="Times New Roman" w:cs="Times New Roman"/>
                <w:b w:val="0"/>
                <w:bCs w:val="0"/>
                <w:color w:val="000000"/>
                <w:sz w:val="21"/>
                <w:szCs w:val="21"/>
                <w:vertAlign w:val="baseline"/>
                <w:lang w:val="en-US" w:eastAsia="zh-CN"/>
              </w:rPr>
              <w:t>0.002</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0.006</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0.070</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0.022</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1.43</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1.09</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r>
              <w:rPr>
                <w:rFonts w:hint="eastAsia" w:ascii="Times New Roman" w:hAnsi="Times New Roman"/>
                <w:sz w:val="21"/>
                <w:lang w:val="en-US" w:eastAsia="zh-CN"/>
              </w:rPr>
              <w:t>2021.07.26</w:t>
            </w:r>
          </w:p>
        </w:tc>
        <w:tc>
          <w:tcPr>
            <w:tcW w:w="1006" w:type="dxa"/>
            <w:vAlign w:val="center"/>
          </w:tcPr>
          <w:p>
            <w:pPr>
              <w:pStyle w:val="24"/>
              <w:spacing w:before="0" w:beforeLines="0" w:line="240" w:lineRule="atLeast"/>
              <w:ind w:firstLine="0" w:firstLineChars="0"/>
              <w:jc w:val="center"/>
              <w:rPr>
                <w:rFonts w:hint="default" w:ascii="Times New Roman" w:hAnsi="Times New Roman" w:cs="Times New Roman"/>
              </w:rPr>
            </w:pPr>
            <w:r>
              <w:rPr>
                <w:rFonts w:hint="default" w:ascii="Times New Roman" w:hAnsi="Times New Roman" w:cs="Times New Roman"/>
              </w:rPr>
              <w:t>2:00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0.204</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0.254</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0.005</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0.006</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0.072</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0.023</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1.57</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0.88</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default" w:ascii="Times New Roman" w:hAnsi="Times New Roman" w:cs="Times New Roman"/>
              </w:rPr>
            </w:pPr>
            <w:r>
              <w:rPr>
                <w:rFonts w:hint="default" w:ascii="Times New Roman" w:hAnsi="Times New Roman" w:cs="Times New Roman"/>
              </w:rPr>
              <w:t>8:00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0.259</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0.244</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0.003</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0.003</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0.077</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0.019</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1.48</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0.94</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default" w:ascii="Times New Roman" w:hAnsi="Times New Roman" w:cs="Times New Roman"/>
              </w:rPr>
            </w:pPr>
            <w:r>
              <w:rPr>
                <w:rFonts w:hint="default" w:ascii="Times New Roman" w:hAnsi="Times New Roman" w:cs="Times New Roman"/>
              </w:rPr>
              <w:t>14:00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0.225</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0.195</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0.007</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0.008</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0.067</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0.021</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1.51</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1.05</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16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s="宋体"/>
                <w:b/>
                <w:bCs/>
                <w:color w:val="000000"/>
                <w:sz w:val="21"/>
                <w:szCs w:val="21"/>
                <w:vertAlign w:val="baseline"/>
              </w:rPr>
            </w:pPr>
          </w:p>
        </w:tc>
        <w:tc>
          <w:tcPr>
            <w:tcW w:w="1006" w:type="dxa"/>
            <w:vAlign w:val="center"/>
          </w:tcPr>
          <w:p>
            <w:pPr>
              <w:pStyle w:val="24"/>
              <w:spacing w:before="0" w:beforeLines="0" w:line="240" w:lineRule="atLeast"/>
              <w:ind w:firstLine="0" w:firstLineChars="0"/>
              <w:jc w:val="center"/>
              <w:rPr>
                <w:rFonts w:hint="default" w:ascii="Times New Roman" w:hAnsi="Times New Roman" w:cs="Times New Roman"/>
              </w:rPr>
            </w:pPr>
            <w:r>
              <w:rPr>
                <w:rFonts w:hint="default" w:ascii="Times New Roman" w:hAnsi="Times New Roman" w:cs="Times New Roman"/>
              </w:rPr>
              <w:t>20:00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0.243</w:t>
            </w:r>
          </w:p>
        </w:tc>
        <w:tc>
          <w:tcPr>
            <w:tcW w:w="15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0.275</w:t>
            </w:r>
          </w:p>
        </w:tc>
        <w:tc>
          <w:tcPr>
            <w:tcW w:w="8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0.002</w:t>
            </w:r>
          </w:p>
        </w:tc>
        <w:tc>
          <w:tcPr>
            <w:tcW w:w="15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0.002</w:t>
            </w:r>
          </w:p>
        </w:tc>
        <w:tc>
          <w:tcPr>
            <w:tcW w:w="76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0.064</w:t>
            </w:r>
          </w:p>
        </w:tc>
        <w:tc>
          <w:tcPr>
            <w:tcW w:w="15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0.018</w:t>
            </w:r>
          </w:p>
        </w:tc>
        <w:tc>
          <w:tcPr>
            <w:tcW w:w="7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1.25</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0.91</w:t>
            </w:r>
          </w:p>
        </w:tc>
        <w:tc>
          <w:tcPr>
            <w:tcW w:w="81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c>
          <w:tcPr>
            <w:tcW w:w="15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val="0"/>
                <w:bCs w:val="0"/>
                <w:color w:val="000000"/>
                <w:sz w:val="21"/>
                <w:szCs w:val="21"/>
                <w:vertAlign w:val="baseline"/>
              </w:rPr>
            </w:pPr>
            <w:r>
              <w:rPr>
                <w:rFonts w:hint="eastAsia" w:ascii="微软雅黑" w:hAnsi="微软雅黑" w:eastAsia="微软雅黑" w:cs="微软雅黑"/>
                <w:b w:val="0"/>
                <w:bCs w:val="0"/>
                <w:color w:val="000000"/>
                <w:sz w:val="21"/>
                <w:szCs w:val="21"/>
                <w:vertAlign w:val="baseline"/>
                <w:lang w:val="en-US" w:eastAsia="zh-CN"/>
              </w:rPr>
              <w:t>&lt;</w:t>
            </w:r>
            <w:r>
              <w:rPr>
                <w:rFonts w:hint="eastAsia" w:ascii="Times New Roman" w:hAnsi="Times New Roman" w:cs="Times New Roman"/>
                <w:b w:val="0"/>
                <w:bCs w:val="0"/>
                <w:color w:val="000000"/>
                <w:sz w:val="21"/>
                <w:szCs w:val="21"/>
                <w:vertAlign w:val="baseline"/>
                <w:lang w:val="en-US" w:eastAsia="zh-CN"/>
              </w:rPr>
              <w:t>10</w:t>
            </w:r>
          </w:p>
        </w:tc>
      </w:tr>
    </w:tbl>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宋体" w:hAnsi="宋体" w:eastAsia="宋体" w:cs="宋体"/>
          <w:b/>
          <w:bCs/>
          <w:color w:val="000000"/>
          <w:sz w:val="24"/>
        </w:rPr>
        <w:sectPr>
          <w:headerReference r:id="rId17" w:type="default"/>
          <w:footerReference r:id="rId18"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eastAsia"/>
          <w:b/>
          <w:bCs/>
          <w:sz w:val="24"/>
          <w:szCs w:val="24"/>
          <w:lang w:val="en-US" w:eastAsia="zh-CN"/>
        </w:rPr>
        <w:t>环境空气质量现状评价</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b/>
          <w:bCs/>
          <w:sz w:val="24"/>
          <w:szCs w:val="24"/>
          <w:lang w:val="en-US" w:eastAsia="zh-CN"/>
        </w:rPr>
        <w:t>5.4.3.1评价因子和评价标准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1、评价因子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本项目评价因子选取SO</w:t>
      </w:r>
      <w:r>
        <w:rPr>
          <w:rFonts w:hint="eastAsia" w:ascii="Times New Roman" w:hAnsi="Times New Roman"/>
          <w:sz w:val="24"/>
          <w:szCs w:val="24"/>
          <w:vertAlign w:val="subscript"/>
          <w:lang w:val="en-US" w:eastAsia="zh-CN"/>
        </w:rPr>
        <w:t>2</w:t>
      </w:r>
      <w:r>
        <w:rPr>
          <w:rFonts w:hint="eastAsia" w:ascii="Times New Roman" w:hAnsi="Times New Roman"/>
          <w:sz w:val="24"/>
          <w:szCs w:val="24"/>
          <w:lang w:val="en-US" w:eastAsia="zh-CN"/>
        </w:rPr>
        <w:t>、NO</w:t>
      </w:r>
      <w:r>
        <w:rPr>
          <w:rFonts w:hint="eastAsia" w:ascii="Times New Roman" w:hAnsi="Times New Roman"/>
          <w:sz w:val="24"/>
          <w:szCs w:val="24"/>
          <w:vertAlign w:val="subscript"/>
          <w:lang w:val="en-US" w:eastAsia="zh-CN"/>
        </w:rPr>
        <w:t>2</w:t>
      </w:r>
      <w:r>
        <w:rPr>
          <w:rFonts w:hint="eastAsia" w:ascii="Times New Roman" w:hAnsi="Times New Roman"/>
          <w:sz w:val="24"/>
          <w:szCs w:val="24"/>
          <w:lang w:val="en-US" w:eastAsia="zh-CN"/>
        </w:rPr>
        <w:t>、PM</w:t>
      </w:r>
      <w:r>
        <w:rPr>
          <w:rFonts w:hint="eastAsia" w:ascii="Times New Roman" w:hAnsi="Times New Roman"/>
          <w:sz w:val="24"/>
          <w:szCs w:val="24"/>
          <w:vertAlign w:val="subscript"/>
          <w:lang w:val="en-US" w:eastAsia="zh-CN"/>
        </w:rPr>
        <w:t>10</w:t>
      </w:r>
      <w:r>
        <w:rPr>
          <w:rFonts w:hint="eastAsia" w:ascii="Times New Roman" w:hAnsi="Times New Roman"/>
          <w:sz w:val="24"/>
          <w:szCs w:val="24"/>
          <w:lang w:val="en-US" w:eastAsia="zh-CN"/>
        </w:rPr>
        <w:t>、TSP、NH</w:t>
      </w:r>
      <w:r>
        <w:rPr>
          <w:rFonts w:hint="eastAsia" w:ascii="Times New Roman" w:hAnsi="Times New Roman"/>
          <w:sz w:val="24"/>
          <w:szCs w:val="24"/>
          <w:vertAlign w:val="subscript"/>
          <w:lang w:val="en-US" w:eastAsia="zh-CN"/>
        </w:rPr>
        <w:t>3</w:t>
      </w:r>
      <w:r>
        <w:rPr>
          <w:rFonts w:hint="eastAsia" w:ascii="Times New Roman" w:hAnsi="Times New Roman"/>
          <w:sz w:val="24"/>
          <w:szCs w:val="24"/>
          <w:lang w:val="en-US" w:eastAsia="zh-CN"/>
        </w:rPr>
        <w:t>、H</w:t>
      </w:r>
      <w:r>
        <w:rPr>
          <w:rFonts w:hint="eastAsia" w:ascii="Times New Roman" w:hAnsi="Times New Roman"/>
          <w:sz w:val="24"/>
          <w:szCs w:val="24"/>
          <w:vertAlign w:val="subscript"/>
          <w:lang w:val="en-US" w:eastAsia="zh-CN"/>
        </w:rPr>
        <w:t>2</w:t>
      </w:r>
      <w:r>
        <w:rPr>
          <w:rFonts w:hint="eastAsia" w:ascii="Times New Roman" w:hAnsi="Times New Roman"/>
          <w:sz w:val="24"/>
          <w:szCs w:val="24"/>
          <w:lang w:val="en-US" w:eastAsia="zh-CN"/>
        </w:rPr>
        <w:t>S、VOCs、臭气浓度。</w:t>
      </w:r>
    </w:p>
    <w:p>
      <w:pPr>
        <w:pStyle w:val="5"/>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lang w:val="en-US" w:eastAsia="zh-CN"/>
        </w:rPr>
      </w:pPr>
      <w:r>
        <w:rPr>
          <w:rFonts w:hint="eastAsia" w:ascii="Times New Roman" w:hAnsi="Times New Roman"/>
          <w:sz w:val="24"/>
          <w:szCs w:val="24"/>
          <w:lang w:val="en-US" w:eastAsia="zh-CN"/>
        </w:rPr>
        <w:t>2、评价标准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本项目评价因子执行的评价标准见下表。</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ascii="宋体" w:hAnsi="宋体" w:eastAsia="宋体" w:cs="宋体"/>
          <w:b/>
          <w:bCs/>
          <w:color w:val="000000"/>
          <w:sz w:val="24"/>
        </w:rPr>
        <w:t>表</w:t>
      </w:r>
      <w:r>
        <w:rPr>
          <w:rFonts w:hint="default" w:ascii="Times New Roman" w:hAnsi="Times New Roman" w:eastAsia="宋体" w:cs="Times New Roman"/>
          <w:b/>
          <w:bCs/>
          <w:color w:val="000000"/>
          <w:sz w:val="24"/>
          <w:lang w:val="en-US" w:eastAsia="zh-CN"/>
        </w:rPr>
        <w:t>5.4-</w:t>
      </w:r>
      <w:r>
        <w:rPr>
          <w:rFonts w:hint="eastAsia" w:ascii="Times New Roman" w:hAnsi="Times New Roman" w:cs="Times New Roman"/>
          <w:b/>
          <w:bCs/>
          <w:color w:val="000000"/>
          <w:sz w:val="24"/>
          <w:lang w:val="en-US" w:eastAsia="zh-CN"/>
        </w:rPr>
        <w:t>5</w:t>
      </w:r>
      <w:r>
        <w:rPr>
          <w:rFonts w:hint="eastAsia" w:ascii="宋体" w:hAnsi="宋体" w:eastAsia="宋体" w:cs="宋体"/>
          <w:b/>
          <w:bCs/>
          <w:color w:val="000000"/>
          <w:sz w:val="24"/>
        </w:rPr>
        <w:t xml:space="preserve">  环境空气质量评价标准一览表 </w:t>
      </w:r>
      <w:r>
        <w:rPr>
          <w:rFonts w:hint="eastAsia" w:ascii="宋体" w:hAnsi="宋体" w:cs="宋体"/>
          <w:b/>
          <w:bCs/>
          <w:color w:val="000000"/>
          <w:sz w:val="24"/>
          <w:lang w:eastAsia="zh-CN"/>
        </w:rPr>
        <w:t>（</w:t>
      </w:r>
      <w:r>
        <w:rPr>
          <w:rFonts w:hint="eastAsia" w:ascii="宋体" w:hAnsi="宋体" w:eastAsia="宋体" w:cs="宋体"/>
          <w:b/>
          <w:bCs/>
          <w:color w:val="000000"/>
          <w:sz w:val="24"/>
        </w:rPr>
        <w:t>单位：</w:t>
      </w:r>
      <w:r>
        <w:rPr>
          <w:rFonts w:hint="default" w:ascii="Times New Roman" w:hAnsi="Times New Roman" w:eastAsia="宋体" w:cs="Times New Roman"/>
          <w:b/>
          <w:bCs/>
          <w:color w:val="000000"/>
          <w:sz w:val="24"/>
        </w:rPr>
        <w:t>mg/m</w:t>
      </w:r>
      <w:r>
        <w:rPr>
          <w:rFonts w:hint="default" w:ascii="Times New Roman" w:hAnsi="Times New Roman" w:eastAsia="宋体" w:cs="Times New Roman"/>
          <w:b/>
          <w:bCs/>
          <w:color w:val="000000"/>
          <w:sz w:val="24"/>
          <w:vertAlign w:val="superscript"/>
        </w:rPr>
        <w:t>3</w:t>
      </w:r>
      <w:r>
        <w:rPr>
          <w:rFonts w:hint="eastAsia" w:ascii="宋体" w:hAnsi="宋体" w:eastAsia="宋体" w:cs="宋体"/>
          <w:b/>
          <w:bCs/>
          <w:color w:val="000000"/>
          <w:sz w:val="24"/>
        </w:rPr>
        <w:t>，臭气无量纲</w:t>
      </w:r>
      <w:r>
        <w:rPr>
          <w:rFonts w:hint="eastAsia" w:ascii="宋体" w:hAnsi="宋体" w:cs="宋体"/>
          <w:b/>
          <w:bCs/>
          <w:color w:val="000000"/>
          <w:sz w:val="24"/>
          <w:lang w:eastAsia="zh-CN"/>
        </w:rPr>
        <w:t>）</w:t>
      </w:r>
    </w:p>
    <w:tbl>
      <w:tblPr>
        <w:tblStyle w:val="19"/>
        <w:tblW w:w="85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5"/>
        <w:gridCol w:w="1298"/>
        <w:gridCol w:w="1087"/>
        <w:gridCol w:w="4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21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污染物</w:t>
            </w:r>
          </w:p>
        </w:tc>
        <w:tc>
          <w:tcPr>
            <w:tcW w:w="12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小时平均值</w:t>
            </w:r>
          </w:p>
        </w:tc>
        <w:tc>
          <w:tcPr>
            <w:tcW w:w="10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日平均值</w:t>
            </w:r>
          </w:p>
        </w:tc>
        <w:tc>
          <w:tcPr>
            <w:tcW w:w="49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21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lang w:val="en-US" w:eastAsia="zh-CN"/>
              </w:rPr>
              <w:t>SO</w:t>
            </w:r>
            <w:r>
              <w:rPr>
                <w:rFonts w:hint="eastAsia" w:ascii="Times New Roman" w:hAnsi="Times New Roman"/>
                <w:sz w:val="21"/>
                <w:szCs w:val="21"/>
                <w:vertAlign w:val="subscript"/>
                <w:lang w:val="en-US" w:eastAsia="zh-CN"/>
              </w:rPr>
              <w:t>2</w:t>
            </w:r>
          </w:p>
        </w:tc>
        <w:tc>
          <w:tcPr>
            <w:tcW w:w="12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0.5</w:t>
            </w:r>
          </w:p>
        </w:tc>
        <w:tc>
          <w:tcPr>
            <w:tcW w:w="10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0.15</w:t>
            </w:r>
          </w:p>
        </w:tc>
        <w:tc>
          <w:tcPr>
            <w:tcW w:w="4913"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21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lang w:val="en-US" w:eastAsia="zh-CN"/>
              </w:rPr>
              <w:t>NO</w:t>
            </w:r>
            <w:r>
              <w:rPr>
                <w:rFonts w:hint="eastAsia" w:ascii="Times New Roman" w:hAnsi="Times New Roman"/>
                <w:sz w:val="21"/>
                <w:szCs w:val="21"/>
                <w:vertAlign w:val="subscript"/>
                <w:lang w:val="en-US" w:eastAsia="zh-CN"/>
              </w:rPr>
              <w:t>2</w:t>
            </w:r>
          </w:p>
        </w:tc>
        <w:tc>
          <w:tcPr>
            <w:tcW w:w="12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0.2</w:t>
            </w:r>
          </w:p>
        </w:tc>
        <w:tc>
          <w:tcPr>
            <w:tcW w:w="10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0.08</w:t>
            </w:r>
          </w:p>
        </w:tc>
        <w:tc>
          <w:tcPr>
            <w:tcW w:w="491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21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lang w:val="en-US" w:eastAsia="zh-CN"/>
              </w:rPr>
              <w:t>PM</w:t>
            </w:r>
            <w:r>
              <w:rPr>
                <w:rFonts w:hint="eastAsia" w:ascii="Times New Roman" w:hAnsi="Times New Roman"/>
                <w:sz w:val="21"/>
                <w:szCs w:val="21"/>
                <w:vertAlign w:val="subscript"/>
                <w:lang w:val="en-US" w:eastAsia="zh-CN"/>
              </w:rPr>
              <w:t>10</w:t>
            </w:r>
          </w:p>
        </w:tc>
        <w:tc>
          <w:tcPr>
            <w:tcW w:w="12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0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0.15</w:t>
            </w:r>
          </w:p>
        </w:tc>
        <w:tc>
          <w:tcPr>
            <w:tcW w:w="491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21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lang w:val="en-US" w:eastAsia="zh-CN"/>
              </w:rPr>
              <w:t>TSP</w:t>
            </w:r>
          </w:p>
        </w:tc>
        <w:tc>
          <w:tcPr>
            <w:tcW w:w="12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0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lang w:val="en-US" w:eastAsia="zh-CN"/>
              </w:rPr>
            </w:pPr>
            <w:r>
              <w:rPr>
                <w:rFonts w:hint="eastAsia"/>
                <w:lang w:val="en-US" w:eastAsia="zh-CN"/>
              </w:rPr>
              <w:t>0.3</w:t>
            </w:r>
          </w:p>
        </w:tc>
        <w:tc>
          <w:tcPr>
            <w:tcW w:w="491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21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lang w:val="en-US" w:eastAsia="zh-CN"/>
              </w:rPr>
              <w:t>NH</w:t>
            </w:r>
            <w:r>
              <w:rPr>
                <w:rFonts w:hint="eastAsia" w:ascii="Times New Roman" w:hAnsi="Times New Roman"/>
                <w:sz w:val="21"/>
                <w:szCs w:val="21"/>
                <w:vertAlign w:val="subscript"/>
                <w:lang w:val="en-US" w:eastAsia="zh-CN"/>
              </w:rPr>
              <w:t>3</w:t>
            </w:r>
          </w:p>
        </w:tc>
        <w:tc>
          <w:tcPr>
            <w:tcW w:w="12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0.2</w:t>
            </w:r>
          </w:p>
        </w:tc>
        <w:tc>
          <w:tcPr>
            <w:tcW w:w="10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4913"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cs="Times New Roman"/>
                <w:szCs w:val="21"/>
              </w:rPr>
              <w:t>《环境影响评价技术导则 大气环境》</w:t>
            </w:r>
            <w:r>
              <w:rPr>
                <w:rFonts w:hint="eastAsia" w:ascii="Times New Roman" w:hAnsi="Times New Roman" w:cs="Times New Roman"/>
                <w:szCs w:val="21"/>
                <w:lang w:eastAsia="zh-CN"/>
              </w:rPr>
              <w:t>（</w:t>
            </w:r>
            <w:r>
              <w:rPr>
                <w:rFonts w:hint="default" w:ascii="Times New Roman" w:hAnsi="Times New Roman" w:cs="Times New Roman"/>
                <w:szCs w:val="21"/>
              </w:rPr>
              <w:t>HJ2.2-2018</w:t>
            </w:r>
            <w:r>
              <w:rPr>
                <w:rFonts w:hint="eastAsia" w:ascii="Times New Roman" w:hAnsi="Times New Roman" w:cs="Times New Roman"/>
                <w:szCs w:val="21"/>
                <w:lang w:eastAsia="zh-CN"/>
              </w:rPr>
              <w:t>）</w:t>
            </w:r>
            <w:r>
              <w:rPr>
                <w:rFonts w:cs="Times New Roman"/>
                <w:szCs w:val="21"/>
              </w:rPr>
              <w:t>附录</w:t>
            </w:r>
            <w:r>
              <w:rPr>
                <w:rFonts w:hint="default" w:ascii="Times New Roman" w:hAnsi="Times New Roman" w:cs="Times New Roman"/>
                <w:szCs w:val="21"/>
              </w:rPr>
              <w:t>D</w:t>
            </w:r>
            <w:r>
              <w:rPr>
                <w:rFonts w:cs="Times New Roman"/>
                <w:szCs w:val="21"/>
              </w:rPr>
              <w:t>中相关参考限值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21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lang w:val="en-US" w:eastAsia="zh-CN"/>
              </w:rPr>
              <w:t>H</w:t>
            </w:r>
            <w:r>
              <w:rPr>
                <w:rFonts w:hint="eastAsia" w:ascii="Times New Roman" w:hAnsi="Times New Roman"/>
                <w:sz w:val="21"/>
                <w:szCs w:val="21"/>
                <w:vertAlign w:val="subscript"/>
                <w:lang w:val="en-US" w:eastAsia="zh-CN"/>
              </w:rPr>
              <w:t>2</w:t>
            </w:r>
            <w:r>
              <w:rPr>
                <w:rFonts w:hint="eastAsia" w:ascii="Times New Roman" w:hAnsi="Times New Roman"/>
                <w:sz w:val="21"/>
                <w:szCs w:val="21"/>
                <w:lang w:val="en-US" w:eastAsia="zh-CN"/>
              </w:rPr>
              <w:t>S</w:t>
            </w:r>
          </w:p>
        </w:tc>
        <w:tc>
          <w:tcPr>
            <w:tcW w:w="12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0.01</w:t>
            </w:r>
          </w:p>
        </w:tc>
        <w:tc>
          <w:tcPr>
            <w:tcW w:w="10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491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121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lang w:val="en-US" w:eastAsia="zh-CN"/>
              </w:rPr>
              <w:t>VOCs</w:t>
            </w:r>
          </w:p>
        </w:tc>
        <w:tc>
          <w:tcPr>
            <w:tcW w:w="12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w:t>
            </w:r>
          </w:p>
        </w:tc>
        <w:tc>
          <w:tcPr>
            <w:tcW w:w="10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49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参照非甲烷总烃执行《大气污染物综合排放标准详解》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121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lang w:val="en-US" w:eastAsia="zh-CN"/>
              </w:rPr>
              <w:t>臭气浓度</w:t>
            </w:r>
          </w:p>
        </w:tc>
        <w:tc>
          <w:tcPr>
            <w:tcW w:w="12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w:t>
            </w:r>
          </w:p>
        </w:tc>
        <w:tc>
          <w:tcPr>
            <w:tcW w:w="10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49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《恶臭污染物排放标准》（GB14554-93）表1标准</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ascii="Times New Roman" w:hAnsi="Times New Roman"/>
          <w:sz w:val="24"/>
          <w:szCs w:val="24"/>
          <w:lang w:val="en-US" w:eastAsia="zh-CN"/>
        </w:rPr>
      </w:pPr>
      <w:r>
        <w:rPr>
          <w:rFonts w:hint="eastAsia" w:ascii="Times New Roman" w:hAnsi="Times New Roman"/>
          <w:b/>
          <w:bCs/>
          <w:sz w:val="24"/>
          <w:szCs w:val="24"/>
          <w:lang w:val="en-US" w:eastAsia="zh-CN"/>
        </w:rPr>
        <w:t>5.4.3.2评价方法和评价结果</w:t>
      </w:r>
    </w:p>
    <w:p>
      <w:pPr>
        <w:keepNext w:val="0"/>
        <w:keepLines w:val="0"/>
        <w:pageBreakBefore w:val="0"/>
        <w:widowControl w:val="0"/>
        <w:numPr>
          <w:ilvl w:val="0"/>
          <w:numId w:val="2"/>
        </w:numPr>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评价方法</w:t>
      </w:r>
    </w:p>
    <w:p>
      <w:pPr>
        <w:pStyle w:val="5"/>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采用单因子指数法进行现状评价，具体计算公式为：</w:t>
      </w:r>
    </w:p>
    <w:p>
      <w:pPr>
        <w:pStyle w:val="5"/>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I</w:t>
      </w:r>
      <w:r>
        <w:rPr>
          <w:rFonts w:hint="default" w:ascii="Times New Roman" w:hAnsi="Times New Roman"/>
          <w:sz w:val="24"/>
          <w:szCs w:val="24"/>
          <w:vertAlign w:val="subscript"/>
          <w:lang w:val="en-US" w:eastAsia="zh-CN"/>
        </w:rPr>
        <w:t>i</w:t>
      </w:r>
      <w:r>
        <w:rPr>
          <w:rFonts w:hint="default" w:ascii="Times New Roman" w:hAnsi="Times New Roman"/>
          <w:sz w:val="24"/>
          <w:szCs w:val="24"/>
          <w:lang w:val="en-US" w:eastAsia="zh-CN"/>
        </w:rPr>
        <w:t>=C</w:t>
      </w:r>
      <w:r>
        <w:rPr>
          <w:rFonts w:hint="default" w:ascii="Times New Roman" w:hAnsi="Times New Roman"/>
          <w:sz w:val="24"/>
          <w:szCs w:val="24"/>
          <w:vertAlign w:val="subscript"/>
          <w:lang w:val="en-US" w:eastAsia="zh-CN"/>
        </w:rPr>
        <w:t>i</w:t>
      </w:r>
      <w:r>
        <w:rPr>
          <w:rFonts w:hint="default" w:ascii="Times New Roman" w:hAnsi="Times New Roman"/>
          <w:sz w:val="24"/>
          <w:szCs w:val="24"/>
          <w:lang w:val="en-US" w:eastAsia="zh-CN"/>
        </w:rPr>
        <w:t xml:space="preserve"> / S</w:t>
      </w:r>
      <w:r>
        <w:rPr>
          <w:rFonts w:hint="default" w:ascii="Times New Roman" w:hAnsi="Times New Roman"/>
          <w:sz w:val="24"/>
          <w:szCs w:val="24"/>
          <w:vertAlign w:val="subscript"/>
          <w:lang w:val="en-US" w:eastAsia="zh-CN"/>
        </w:rPr>
        <w:t>i</w:t>
      </w:r>
    </w:p>
    <w:p>
      <w:pPr>
        <w:pStyle w:val="5"/>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式中：I</w:t>
      </w:r>
      <w:r>
        <w:rPr>
          <w:rFonts w:hint="default" w:ascii="Times New Roman" w:hAnsi="Times New Roman"/>
          <w:sz w:val="24"/>
          <w:szCs w:val="24"/>
          <w:vertAlign w:val="subscript"/>
          <w:lang w:val="en-US" w:eastAsia="zh-CN"/>
        </w:rPr>
        <w:t>i</w:t>
      </w:r>
      <w:r>
        <w:rPr>
          <w:rFonts w:hint="default" w:ascii="Times New Roman" w:hAnsi="Times New Roman"/>
          <w:sz w:val="24"/>
          <w:szCs w:val="24"/>
          <w:lang w:val="en-US" w:eastAsia="zh-CN"/>
        </w:rPr>
        <w:t>—</w:t>
      </w:r>
      <w:r>
        <w:rPr>
          <w:rFonts w:hint="eastAsia" w:ascii="Times New Roman" w:hAnsi="Times New Roman"/>
          <w:sz w:val="24"/>
          <w:szCs w:val="24"/>
          <w:lang w:val="en-US" w:eastAsia="zh-CN"/>
        </w:rPr>
        <w:t>第</w:t>
      </w:r>
      <w:r>
        <w:rPr>
          <w:rFonts w:hint="default" w:ascii="Times New Roman" w:hAnsi="Times New Roman"/>
          <w:sz w:val="24"/>
          <w:szCs w:val="24"/>
          <w:vertAlign w:val="baseline"/>
          <w:lang w:val="en-US" w:eastAsia="zh-CN"/>
        </w:rPr>
        <w:t>i</w:t>
      </w:r>
      <w:r>
        <w:rPr>
          <w:rFonts w:hint="default" w:ascii="Times New Roman" w:hAnsi="Times New Roman"/>
          <w:sz w:val="24"/>
          <w:szCs w:val="24"/>
          <w:lang w:val="en-US" w:eastAsia="zh-CN"/>
        </w:rPr>
        <w:t>种污染物的污染分指数；</w:t>
      </w:r>
    </w:p>
    <w:p>
      <w:pPr>
        <w:pStyle w:val="5"/>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 xml:space="preserve">          C</w:t>
      </w:r>
      <w:r>
        <w:rPr>
          <w:rFonts w:hint="default" w:ascii="Times New Roman" w:hAnsi="Times New Roman"/>
          <w:sz w:val="24"/>
          <w:szCs w:val="24"/>
          <w:vertAlign w:val="subscript"/>
          <w:lang w:val="en-US" w:eastAsia="zh-CN"/>
        </w:rPr>
        <w:t>i</w:t>
      </w:r>
      <w:r>
        <w:rPr>
          <w:rFonts w:hint="default" w:ascii="Times New Roman" w:hAnsi="Times New Roman"/>
          <w:sz w:val="24"/>
          <w:szCs w:val="24"/>
          <w:lang w:val="en-US" w:eastAsia="zh-CN"/>
        </w:rPr>
        <w:t>—</w:t>
      </w:r>
      <w:r>
        <w:rPr>
          <w:rFonts w:hint="eastAsia" w:ascii="Times New Roman" w:hAnsi="Times New Roman"/>
          <w:sz w:val="24"/>
          <w:szCs w:val="24"/>
          <w:lang w:val="en-US" w:eastAsia="zh-CN"/>
        </w:rPr>
        <w:t>第</w:t>
      </w:r>
      <w:r>
        <w:rPr>
          <w:rFonts w:hint="default" w:ascii="Times New Roman" w:hAnsi="Times New Roman"/>
          <w:sz w:val="24"/>
          <w:szCs w:val="24"/>
          <w:vertAlign w:val="baseline"/>
          <w:lang w:val="en-US" w:eastAsia="zh-CN"/>
        </w:rPr>
        <w:t>i</w:t>
      </w:r>
      <w:r>
        <w:rPr>
          <w:rFonts w:hint="default" w:ascii="Times New Roman" w:hAnsi="Times New Roman"/>
          <w:sz w:val="24"/>
          <w:szCs w:val="24"/>
          <w:lang w:val="en-US" w:eastAsia="zh-CN"/>
        </w:rPr>
        <w:t>种污染物的实测浓度（取监测期间的最大值，未检出按检出</w:t>
      </w:r>
    </w:p>
    <w:p>
      <w:pPr>
        <w:pStyle w:val="5"/>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1200" w:firstLineChars="5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限浓度的一半值计算），mg/m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w:t>
      </w:r>
    </w:p>
    <w:p>
      <w:pPr>
        <w:pStyle w:val="5"/>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 xml:space="preserve">          S</w:t>
      </w:r>
      <w:r>
        <w:rPr>
          <w:rFonts w:hint="default" w:ascii="Times New Roman" w:hAnsi="Times New Roman"/>
          <w:sz w:val="24"/>
          <w:szCs w:val="24"/>
          <w:vertAlign w:val="subscript"/>
          <w:lang w:val="en-US" w:eastAsia="zh-CN"/>
        </w:rPr>
        <w:t>i</w:t>
      </w:r>
      <w:r>
        <w:rPr>
          <w:rFonts w:hint="default" w:ascii="Times New Roman" w:hAnsi="Times New Roman"/>
          <w:sz w:val="24"/>
          <w:szCs w:val="24"/>
          <w:lang w:val="en-US" w:eastAsia="zh-CN"/>
        </w:rPr>
        <w:t>—</w:t>
      </w:r>
      <w:r>
        <w:rPr>
          <w:rFonts w:hint="eastAsia" w:ascii="Times New Roman" w:hAnsi="Times New Roman"/>
          <w:sz w:val="24"/>
          <w:szCs w:val="24"/>
          <w:lang w:val="en-US" w:eastAsia="zh-CN"/>
        </w:rPr>
        <w:t>第</w:t>
      </w:r>
      <w:r>
        <w:rPr>
          <w:rFonts w:hint="default" w:ascii="Times New Roman" w:hAnsi="Times New Roman"/>
          <w:sz w:val="24"/>
          <w:szCs w:val="24"/>
          <w:vertAlign w:val="baseline"/>
          <w:lang w:val="en-US" w:eastAsia="zh-CN"/>
        </w:rPr>
        <w:t>i</w:t>
      </w:r>
      <w:r>
        <w:rPr>
          <w:rFonts w:hint="default" w:ascii="Times New Roman" w:hAnsi="Times New Roman"/>
          <w:sz w:val="24"/>
          <w:szCs w:val="24"/>
          <w:lang w:val="en-US" w:eastAsia="zh-CN"/>
        </w:rPr>
        <w:t>种污染物的评价标准，mg/m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2、评价结果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环境空气质量现状监测统计及评价结果见表5.4-6。</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highlight w:val="none"/>
          <w:lang w:val="en-US" w:eastAsia="zh-CN"/>
        </w:rPr>
      </w:pPr>
      <w:r>
        <w:rPr>
          <w:rFonts w:hint="eastAsia" w:ascii="宋体" w:hAnsi="宋体" w:eastAsia="宋体" w:cs="宋体"/>
          <w:b/>
          <w:bCs/>
          <w:color w:val="000000"/>
          <w:sz w:val="24"/>
          <w:highlight w:val="none"/>
        </w:rPr>
        <w:t>表</w:t>
      </w:r>
      <w:r>
        <w:rPr>
          <w:rFonts w:hint="default" w:ascii="Times New Roman" w:hAnsi="Times New Roman" w:eastAsia="宋体" w:cs="Times New Roman"/>
          <w:b/>
          <w:bCs/>
          <w:color w:val="000000"/>
          <w:sz w:val="24"/>
          <w:highlight w:val="none"/>
          <w:lang w:val="en-US" w:eastAsia="zh-CN"/>
        </w:rPr>
        <w:t>5.4-</w:t>
      </w:r>
      <w:r>
        <w:rPr>
          <w:rFonts w:hint="eastAsia" w:ascii="Times New Roman" w:hAnsi="Times New Roman" w:cs="Times New Roman"/>
          <w:b/>
          <w:bCs/>
          <w:color w:val="000000"/>
          <w:sz w:val="24"/>
          <w:highlight w:val="none"/>
          <w:lang w:val="en-US" w:eastAsia="zh-CN"/>
        </w:rPr>
        <w:t>6</w:t>
      </w:r>
      <w:r>
        <w:rPr>
          <w:rFonts w:hint="eastAsia" w:ascii="宋体" w:hAnsi="宋体" w:eastAsia="宋体" w:cs="宋体"/>
          <w:b/>
          <w:bCs/>
          <w:color w:val="000000"/>
          <w:sz w:val="24"/>
          <w:highlight w:val="none"/>
        </w:rPr>
        <w:t xml:space="preserve">  环境空气质量现状监测统计结果一览表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7"/>
        <w:gridCol w:w="850"/>
        <w:gridCol w:w="2342"/>
        <w:gridCol w:w="1703"/>
        <w:gridCol w:w="1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917"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vertAlign w:val="baseline"/>
                <w:lang w:val="en-US" w:eastAsia="zh-CN"/>
              </w:rPr>
            </w:pPr>
            <w:r>
              <w:rPr>
                <w:rFonts w:hint="eastAsia"/>
                <w:vertAlign w:val="baseline"/>
                <w:lang w:val="en-US" w:eastAsia="zh-CN"/>
              </w:rPr>
              <w:t>污染物</w:t>
            </w:r>
          </w:p>
        </w:tc>
        <w:tc>
          <w:tcPr>
            <w:tcW w:w="850"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vertAlign w:val="baseline"/>
                <w:lang w:val="en-US" w:eastAsia="zh-CN"/>
              </w:rPr>
            </w:pPr>
            <w:r>
              <w:rPr>
                <w:rFonts w:hint="eastAsia"/>
                <w:vertAlign w:val="baseline"/>
                <w:lang w:val="en-US" w:eastAsia="zh-CN"/>
              </w:rPr>
              <w:t>点位</w:t>
            </w:r>
          </w:p>
        </w:tc>
        <w:tc>
          <w:tcPr>
            <w:tcW w:w="5430" w:type="dxa"/>
            <w:gridSpan w:val="3"/>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vertAlign w:val="baseline"/>
                <w:lang w:val="en-US" w:eastAsia="zh-CN"/>
              </w:rPr>
            </w:pPr>
            <w:r>
              <w:rPr>
                <w:rFonts w:hint="eastAsia"/>
                <w:vertAlign w:val="baseline"/>
                <w:lang w:val="en-US" w:eastAsia="zh-CN"/>
              </w:rPr>
              <w:t>小时平均值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91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vertAlign w:val="baseline"/>
                <w:lang w:val="en-US" w:eastAsia="zh-CN"/>
              </w:rPr>
            </w:pPr>
          </w:p>
        </w:tc>
        <w:tc>
          <w:tcPr>
            <w:tcW w:w="850"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vertAlign w:val="baseline"/>
                <w:lang w:val="en-US" w:eastAsia="zh-CN"/>
              </w:rPr>
            </w:pPr>
          </w:p>
        </w:tc>
        <w:tc>
          <w:tcPr>
            <w:tcW w:w="234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vertAlign w:val="baseline"/>
                <w:lang w:val="en-US" w:eastAsia="zh-CN"/>
              </w:rPr>
            </w:pPr>
            <w:r>
              <w:rPr>
                <w:rFonts w:hint="eastAsia"/>
                <w:vertAlign w:val="baseline"/>
                <w:lang w:val="en-US" w:eastAsia="zh-CN"/>
              </w:rPr>
              <w:t>指数范围</w:t>
            </w:r>
          </w:p>
        </w:tc>
        <w:tc>
          <w:tcPr>
            <w:tcW w:w="170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vertAlign w:val="baseline"/>
                <w:lang w:val="en-US" w:eastAsia="zh-CN"/>
              </w:rPr>
            </w:pPr>
            <w:r>
              <w:rPr>
                <w:rFonts w:hint="eastAsia"/>
                <w:vertAlign w:val="baseline"/>
                <w:lang w:val="en-US" w:eastAsia="zh-CN"/>
              </w:rPr>
              <w:t>超标率%</w:t>
            </w:r>
          </w:p>
        </w:tc>
        <w:tc>
          <w:tcPr>
            <w:tcW w:w="138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vertAlign w:val="baseline"/>
                <w:lang w:val="en-US" w:eastAsia="zh-CN"/>
              </w:rPr>
            </w:pPr>
            <w:r>
              <w:rPr>
                <w:rFonts w:hint="eastAsia"/>
                <w:vertAlign w:val="baseline"/>
                <w:lang w:val="en-US" w:eastAsia="zh-CN"/>
              </w:rPr>
              <w:t>超标个数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91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vertAlign w:val="baseline"/>
                <w:lang w:val="en-US" w:eastAsia="zh-CN"/>
              </w:rPr>
            </w:pPr>
            <w:r>
              <w:rPr>
                <w:rFonts w:hint="eastAsia" w:ascii="Times New Roman" w:hAnsi="Times New Roman"/>
                <w:sz w:val="21"/>
                <w:szCs w:val="21"/>
                <w:lang w:val="en-US" w:eastAsia="zh-CN"/>
              </w:rPr>
              <w:t>TSP</w:t>
            </w:r>
            <w:r>
              <w:rPr>
                <w:rFonts w:hint="eastAsia" w:ascii="Times New Roman" w:hAnsi="Times New Roman"/>
                <w:sz w:val="21"/>
                <w:szCs w:val="21"/>
                <w:vertAlign w:val="baseline"/>
                <w:lang w:val="en-US" w:eastAsia="zh-CN"/>
              </w:rPr>
              <w:t>（</w:t>
            </w:r>
            <w:r>
              <w:rPr>
                <w:rFonts w:hint="default" w:ascii="Times New Roman" w:hAnsi="Times New Roman" w:eastAsia="宋体" w:cs="Times New Roman"/>
                <w:b w:val="0"/>
                <w:bCs w:val="0"/>
                <w:color w:val="000000"/>
                <w:sz w:val="21"/>
                <w:szCs w:val="21"/>
              </w:rPr>
              <w:t>mg/m</w:t>
            </w:r>
            <w:r>
              <w:rPr>
                <w:rFonts w:hint="default" w:ascii="Times New Roman" w:hAnsi="Times New Roman" w:eastAsia="宋体" w:cs="Times New Roman"/>
                <w:b w:val="0"/>
                <w:bCs w:val="0"/>
                <w:color w:val="000000"/>
                <w:sz w:val="21"/>
                <w:szCs w:val="21"/>
                <w:vertAlign w:val="superscript"/>
              </w:rPr>
              <w:t>3</w:t>
            </w:r>
            <w:r>
              <w:rPr>
                <w:rFonts w:hint="eastAsia" w:ascii="Times New Roman" w:hAnsi="Times New Roman"/>
                <w:sz w:val="21"/>
                <w:szCs w:val="21"/>
                <w:vertAlign w:val="baseline"/>
                <w:lang w:val="en-US" w:eastAsia="zh-CN"/>
              </w:rPr>
              <w:t>）</w:t>
            </w:r>
          </w:p>
        </w:tc>
        <w:tc>
          <w:tcPr>
            <w:tcW w:w="85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1#</w:t>
            </w:r>
          </w:p>
        </w:tc>
        <w:tc>
          <w:tcPr>
            <w:tcW w:w="234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0.206-0.288</w:t>
            </w:r>
          </w:p>
        </w:tc>
        <w:tc>
          <w:tcPr>
            <w:tcW w:w="170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c>
          <w:tcPr>
            <w:tcW w:w="138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91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vertAlign w:val="baseline"/>
                <w:lang w:val="en-US" w:eastAsia="zh-CN"/>
              </w:rPr>
            </w:pPr>
          </w:p>
        </w:tc>
        <w:tc>
          <w:tcPr>
            <w:tcW w:w="85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2#</w:t>
            </w:r>
          </w:p>
        </w:tc>
        <w:tc>
          <w:tcPr>
            <w:tcW w:w="234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0.201-0.306</w:t>
            </w:r>
          </w:p>
        </w:tc>
        <w:tc>
          <w:tcPr>
            <w:tcW w:w="170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c>
          <w:tcPr>
            <w:tcW w:w="138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91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vertAlign w:val="baseline"/>
                <w:lang w:val="en-US" w:eastAsia="zh-CN"/>
              </w:rPr>
            </w:pPr>
            <w:r>
              <w:rPr>
                <w:rFonts w:hint="eastAsia" w:ascii="Times New Roman" w:hAnsi="Times New Roman"/>
                <w:sz w:val="21"/>
                <w:szCs w:val="21"/>
                <w:lang w:val="en-US" w:eastAsia="zh-CN"/>
              </w:rPr>
              <w:t>NH</w:t>
            </w:r>
            <w:r>
              <w:rPr>
                <w:rFonts w:hint="eastAsia" w:ascii="Times New Roman" w:hAnsi="Times New Roman"/>
                <w:sz w:val="21"/>
                <w:szCs w:val="21"/>
                <w:vertAlign w:val="subscript"/>
                <w:lang w:val="en-US" w:eastAsia="zh-CN"/>
              </w:rPr>
              <w:t>3</w:t>
            </w:r>
            <w:r>
              <w:rPr>
                <w:rFonts w:hint="eastAsia" w:ascii="Times New Roman" w:hAnsi="Times New Roman"/>
                <w:sz w:val="21"/>
                <w:szCs w:val="21"/>
                <w:vertAlign w:val="baseline"/>
                <w:lang w:val="en-US" w:eastAsia="zh-CN"/>
              </w:rPr>
              <w:t>（</w:t>
            </w:r>
            <w:r>
              <w:rPr>
                <w:rFonts w:hint="default" w:ascii="Times New Roman" w:hAnsi="Times New Roman" w:eastAsia="宋体" w:cs="Times New Roman"/>
                <w:b w:val="0"/>
                <w:bCs w:val="0"/>
                <w:color w:val="000000"/>
                <w:sz w:val="21"/>
                <w:szCs w:val="21"/>
              </w:rPr>
              <w:t>mg/m</w:t>
            </w:r>
            <w:r>
              <w:rPr>
                <w:rFonts w:hint="default" w:ascii="Times New Roman" w:hAnsi="Times New Roman" w:eastAsia="宋体" w:cs="Times New Roman"/>
                <w:b w:val="0"/>
                <w:bCs w:val="0"/>
                <w:color w:val="000000"/>
                <w:sz w:val="21"/>
                <w:szCs w:val="21"/>
                <w:vertAlign w:val="superscript"/>
              </w:rPr>
              <w:t>3</w:t>
            </w:r>
            <w:r>
              <w:rPr>
                <w:rFonts w:hint="eastAsia" w:ascii="Times New Roman" w:hAnsi="Times New Roman"/>
                <w:sz w:val="21"/>
                <w:szCs w:val="21"/>
                <w:vertAlign w:val="baseline"/>
                <w:lang w:val="en-US" w:eastAsia="zh-CN"/>
              </w:rPr>
              <w:t>）</w:t>
            </w:r>
          </w:p>
        </w:tc>
        <w:tc>
          <w:tcPr>
            <w:tcW w:w="85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1#</w:t>
            </w:r>
          </w:p>
        </w:tc>
        <w:tc>
          <w:tcPr>
            <w:tcW w:w="234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0.270-0.410</w:t>
            </w:r>
          </w:p>
        </w:tc>
        <w:tc>
          <w:tcPr>
            <w:tcW w:w="170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c>
          <w:tcPr>
            <w:tcW w:w="138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91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vertAlign w:val="baseline"/>
                <w:lang w:val="en-US" w:eastAsia="zh-CN"/>
              </w:rPr>
            </w:pPr>
          </w:p>
        </w:tc>
        <w:tc>
          <w:tcPr>
            <w:tcW w:w="85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2#</w:t>
            </w:r>
          </w:p>
        </w:tc>
        <w:tc>
          <w:tcPr>
            <w:tcW w:w="234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0.090-0.135</w:t>
            </w:r>
          </w:p>
        </w:tc>
        <w:tc>
          <w:tcPr>
            <w:tcW w:w="170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c>
          <w:tcPr>
            <w:tcW w:w="138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91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vertAlign w:val="baseline"/>
                <w:lang w:val="en-US" w:eastAsia="zh-CN"/>
              </w:rPr>
            </w:pPr>
            <w:r>
              <w:rPr>
                <w:rFonts w:hint="eastAsia" w:ascii="Times New Roman" w:hAnsi="Times New Roman"/>
                <w:sz w:val="21"/>
                <w:szCs w:val="21"/>
                <w:lang w:val="en-US" w:eastAsia="zh-CN"/>
              </w:rPr>
              <w:t>H</w:t>
            </w:r>
            <w:r>
              <w:rPr>
                <w:rFonts w:hint="eastAsia" w:ascii="Times New Roman" w:hAnsi="Times New Roman"/>
                <w:sz w:val="21"/>
                <w:szCs w:val="21"/>
                <w:vertAlign w:val="subscript"/>
                <w:lang w:val="en-US" w:eastAsia="zh-CN"/>
              </w:rPr>
              <w:t>2</w:t>
            </w:r>
            <w:r>
              <w:rPr>
                <w:rFonts w:hint="eastAsia" w:ascii="Times New Roman" w:hAnsi="Times New Roman"/>
                <w:sz w:val="21"/>
                <w:szCs w:val="21"/>
                <w:lang w:val="en-US" w:eastAsia="zh-CN"/>
              </w:rPr>
              <w:t>S</w:t>
            </w:r>
            <w:r>
              <w:rPr>
                <w:rFonts w:hint="eastAsia" w:ascii="Times New Roman" w:hAnsi="Times New Roman"/>
                <w:sz w:val="21"/>
                <w:szCs w:val="21"/>
                <w:vertAlign w:val="baseline"/>
                <w:lang w:val="en-US" w:eastAsia="zh-CN"/>
              </w:rPr>
              <w:t>（</w:t>
            </w:r>
            <w:r>
              <w:rPr>
                <w:rFonts w:hint="default" w:ascii="Times New Roman" w:hAnsi="Times New Roman" w:eastAsia="宋体" w:cs="Times New Roman"/>
                <w:b w:val="0"/>
                <w:bCs w:val="0"/>
                <w:color w:val="000000"/>
                <w:sz w:val="21"/>
                <w:szCs w:val="21"/>
              </w:rPr>
              <w:t>mg/m</w:t>
            </w:r>
            <w:r>
              <w:rPr>
                <w:rFonts w:hint="default" w:ascii="Times New Roman" w:hAnsi="Times New Roman" w:eastAsia="宋体" w:cs="Times New Roman"/>
                <w:b w:val="0"/>
                <w:bCs w:val="0"/>
                <w:color w:val="000000"/>
                <w:sz w:val="21"/>
                <w:szCs w:val="21"/>
                <w:vertAlign w:val="superscript"/>
              </w:rPr>
              <w:t>3</w:t>
            </w:r>
            <w:r>
              <w:rPr>
                <w:rFonts w:hint="eastAsia" w:ascii="Times New Roman" w:hAnsi="Times New Roman"/>
                <w:sz w:val="21"/>
                <w:szCs w:val="21"/>
                <w:vertAlign w:val="baseline"/>
                <w:lang w:val="en-US" w:eastAsia="zh-CN"/>
              </w:rPr>
              <w:t>）</w:t>
            </w:r>
          </w:p>
        </w:tc>
        <w:tc>
          <w:tcPr>
            <w:tcW w:w="85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1#</w:t>
            </w:r>
          </w:p>
        </w:tc>
        <w:tc>
          <w:tcPr>
            <w:tcW w:w="234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0.2-0.8</w:t>
            </w:r>
          </w:p>
        </w:tc>
        <w:tc>
          <w:tcPr>
            <w:tcW w:w="1703" w:type="dxa"/>
            <w:noWrap w:val="0"/>
            <w:vAlign w:val="center"/>
          </w:tcPr>
          <w:p>
            <w:pPr>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c>
          <w:tcPr>
            <w:tcW w:w="1385" w:type="dxa"/>
            <w:noWrap w:val="0"/>
            <w:vAlign w:val="center"/>
          </w:tcPr>
          <w:p>
            <w:pPr>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91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vertAlign w:val="baseline"/>
                <w:lang w:val="en-US" w:eastAsia="zh-CN"/>
              </w:rPr>
            </w:pPr>
          </w:p>
        </w:tc>
        <w:tc>
          <w:tcPr>
            <w:tcW w:w="85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2#</w:t>
            </w:r>
          </w:p>
        </w:tc>
        <w:tc>
          <w:tcPr>
            <w:tcW w:w="234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0.2-0.9</w:t>
            </w:r>
          </w:p>
        </w:tc>
        <w:tc>
          <w:tcPr>
            <w:tcW w:w="1703" w:type="dxa"/>
            <w:noWrap w:val="0"/>
            <w:vAlign w:val="center"/>
          </w:tcPr>
          <w:p>
            <w:pPr>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c>
          <w:tcPr>
            <w:tcW w:w="1385" w:type="dxa"/>
            <w:noWrap w:val="0"/>
            <w:vAlign w:val="center"/>
          </w:tcPr>
          <w:p>
            <w:pPr>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91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vertAlign w:val="baseline"/>
                <w:lang w:val="en-US" w:eastAsia="zh-CN"/>
              </w:rPr>
            </w:pPr>
            <w:r>
              <w:rPr>
                <w:rFonts w:hint="eastAsia" w:ascii="Times New Roman" w:hAnsi="Times New Roman"/>
                <w:sz w:val="21"/>
                <w:szCs w:val="21"/>
                <w:lang w:val="en-US" w:eastAsia="zh-CN"/>
              </w:rPr>
              <w:t>VOCs</w:t>
            </w:r>
            <w:r>
              <w:rPr>
                <w:rFonts w:hint="eastAsia" w:ascii="Times New Roman" w:hAnsi="Times New Roman"/>
                <w:sz w:val="21"/>
                <w:szCs w:val="21"/>
                <w:vertAlign w:val="baseline"/>
                <w:lang w:val="en-US" w:eastAsia="zh-CN"/>
              </w:rPr>
              <w:t>（</w:t>
            </w:r>
            <w:r>
              <w:rPr>
                <w:rFonts w:hint="default" w:ascii="Times New Roman" w:hAnsi="Times New Roman" w:eastAsia="宋体" w:cs="Times New Roman"/>
                <w:b w:val="0"/>
                <w:bCs w:val="0"/>
                <w:color w:val="000000"/>
                <w:sz w:val="21"/>
                <w:szCs w:val="21"/>
              </w:rPr>
              <w:t>mg/m</w:t>
            </w:r>
            <w:r>
              <w:rPr>
                <w:rFonts w:hint="default" w:ascii="Times New Roman" w:hAnsi="Times New Roman" w:eastAsia="宋体" w:cs="Times New Roman"/>
                <w:b w:val="0"/>
                <w:bCs w:val="0"/>
                <w:color w:val="000000"/>
                <w:sz w:val="21"/>
                <w:szCs w:val="21"/>
                <w:vertAlign w:val="superscript"/>
              </w:rPr>
              <w:t>3</w:t>
            </w:r>
            <w:r>
              <w:rPr>
                <w:rFonts w:hint="eastAsia" w:ascii="Times New Roman" w:hAnsi="Times New Roman"/>
                <w:sz w:val="21"/>
                <w:szCs w:val="21"/>
                <w:vertAlign w:val="baseline"/>
                <w:lang w:val="en-US" w:eastAsia="zh-CN"/>
              </w:rPr>
              <w:t>）</w:t>
            </w:r>
          </w:p>
        </w:tc>
        <w:tc>
          <w:tcPr>
            <w:tcW w:w="85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1#</w:t>
            </w:r>
          </w:p>
        </w:tc>
        <w:tc>
          <w:tcPr>
            <w:tcW w:w="234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0.555-0.625</w:t>
            </w:r>
          </w:p>
        </w:tc>
        <w:tc>
          <w:tcPr>
            <w:tcW w:w="1703" w:type="dxa"/>
            <w:noWrap w:val="0"/>
            <w:vAlign w:val="center"/>
          </w:tcPr>
          <w:p>
            <w:pPr>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eastAsia="宋体" w:cs="Times New Roman"/>
                <w:kern w:val="2"/>
                <w:sz w:val="21"/>
                <w:szCs w:val="24"/>
                <w:vertAlign w:val="baseline"/>
                <w:lang w:val="en-US" w:eastAsia="zh-CN" w:bidi="ar-SA"/>
              </w:rPr>
            </w:pPr>
            <w:r>
              <w:rPr>
                <w:rFonts w:hint="default" w:ascii="Times New Roman" w:hAnsi="Times New Roman" w:cs="Times New Roman"/>
                <w:vertAlign w:val="baseline"/>
                <w:lang w:val="en-US" w:eastAsia="zh-CN"/>
              </w:rPr>
              <w:t>0</w:t>
            </w:r>
          </w:p>
        </w:tc>
        <w:tc>
          <w:tcPr>
            <w:tcW w:w="1385" w:type="dxa"/>
            <w:noWrap w:val="0"/>
            <w:vAlign w:val="center"/>
          </w:tcPr>
          <w:p>
            <w:pPr>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91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vertAlign w:val="baseline"/>
                <w:lang w:val="en-US" w:eastAsia="zh-CN"/>
              </w:rPr>
            </w:pPr>
          </w:p>
        </w:tc>
        <w:tc>
          <w:tcPr>
            <w:tcW w:w="85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2#</w:t>
            </w:r>
          </w:p>
        </w:tc>
        <w:tc>
          <w:tcPr>
            <w:tcW w:w="234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0.440-0.825</w:t>
            </w:r>
          </w:p>
        </w:tc>
        <w:tc>
          <w:tcPr>
            <w:tcW w:w="1703" w:type="dxa"/>
            <w:noWrap w:val="0"/>
            <w:vAlign w:val="center"/>
          </w:tcPr>
          <w:p>
            <w:pPr>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c>
          <w:tcPr>
            <w:tcW w:w="1385" w:type="dxa"/>
            <w:noWrap w:val="0"/>
            <w:vAlign w:val="center"/>
          </w:tcPr>
          <w:p>
            <w:pPr>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91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vertAlign w:val="baseline"/>
                <w:lang w:val="en-US" w:eastAsia="zh-CN"/>
              </w:rPr>
            </w:pPr>
            <w:r>
              <w:rPr>
                <w:rFonts w:hint="eastAsia" w:ascii="Times New Roman" w:hAnsi="Times New Roman"/>
                <w:sz w:val="21"/>
                <w:szCs w:val="21"/>
                <w:lang w:val="en-US" w:eastAsia="zh-CN"/>
              </w:rPr>
              <w:t>臭气浓度（无量纲）</w:t>
            </w:r>
          </w:p>
        </w:tc>
        <w:tc>
          <w:tcPr>
            <w:tcW w:w="85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1#</w:t>
            </w:r>
          </w:p>
        </w:tc>
        <w:tc>
          <w:tcPr>
            <w:tcW w:w="234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eastAsia="微软雅黑" w:cs="Times New Roman"/>
                <w:b w:val="0"/>
                <w:bCs w:val="0"/>
                <w:color w:val="000000"/>
                <w:sz w:val="21"/>
                <w:szCs w:val="21"/>
                <w:vertAlign w:val="baseline"/>
                <w:lang w:val="en-US" w:eastAsia="zh-CN"/>
              </w:rPr>
              <w:t>&lt;</w:t>
            </w:r>
            <w:r>
              <w:rPr>
                <w:rFonts w:hint="default" w:ascii="Times New Roman" w:hAnsi="Times New Roman" w:cs="Times New Roman"/>
                <w:vertAlign w:val="baseline"/>
                <w:lang w:val="en-US" w:eastAsia="zh-CN"/>
              </w:rPr>
              <w:t>0.6</w:t>
            </w:r>
          </w:p>
        </w:tc>
        <w:tc>
          <w:tcPr>
            <w:tcW w:w="1703" w:type="dxa"/>
            <w:noWrap w:val="0"/>
            <w:vAlign w:val="center"/>
          </w:tcPr>
          <w:p>
            <w:pPr>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c>
          <w:tcPr>
            <w:tcW w:w="1385" w:type="dxa"/>
            <w:noWrap w:val="0"/>
            <w:vAlign w:val="center"/>
          </w:tcPr>
          <w:p>
            <w:pPr>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91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vertAlign w:val="baseline"/>
                <w:lang w:val="en-US" w:eastAsia="zh-CN"/>
              </w:rPr>
            </w:pPr>
          </w:p>
        </w:tc>
        <w:tc>
          <w:tcPr>
            <w:tcW w:w="85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2#</w:t>
            </w:r>
          </w:p>
        </w:tc>
        <w:tc>
          <w:tcPr>
            <w:tcW w:w="234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eastAsia="微软雅黑" w:cs="Times New Roman"/>
                <w:b w:val="0"/>
                <w:bCs w:val="0"/>
                <w:color w:val="000000"/>
                <w:sz w:val="21"/>
                <w:szCs w:val="21"/>
                <w:vertAlign w:val="baseline"/>
                <w:lang w:val="en-US" w:eastAsia="zh-CN"/>
              </w:rPr>
              <w:t>&lt;</w:t>
            </w:r>
            <w:r>
              <w:rPr>
                <w:rFonts w:hint="default" w:ascii="Times New Roman" w:hAnsi="Times New Roman" w:cs="Times New Roman"/>
                <w:vertAlign w:val="baseline"/>
                <w:lang w:val="en-US" w:eastAsia="zh-CN"/>
              </w:rPr>
              <w:t>0.6</w:t>
            </w:r>
          </w:p>
        </w:tc>
        <w:tc>
          <w:tcPr>
            <w:tcW w:w="1703" w:type="dxa"/>
            <w:noWrap w:val="0"/>
            <w:vAlign w:val="center"/>
          </w:tcPr>
          <w:p>
            <w:pPr>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c>
          <w:tcPr>
            <w:tcW w:w="1385" w:type="dxa"/>
            <w:noWrap w:val="0"/>
            <w:vAlign w:val="center"/>
          </w:tcPr>
          <w:p>
            <w:pPr>
              <w:keepNext w:val="0"/>
              <w:keepLines w:val="0"/>
              <w:pageBreakBefore w:val="0"/>
              <w:widowControl w:val="0"/>
              <w:kinsoku/>
              <w:wordWrap/>
              <w:overflowPunct/>
              <w:topLinePunct w:val="0"/>
              <w:autoSpaceDE/>
              <w:autoSpaceDN/>
              <w:bidi w:val="0"/>
              <w:adjustRightInd/>
              <w:snapToGrid w:val="0"/>
              <w:spacing w:after="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0</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由上表可见，评价区内各监测点污染物浓度均满足《环境空气质量标准》（GB3095-2012）中二级标准限值要求。</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eastAsia"/>
          <w:b/>
          <w:bCs/>
          <w:sz w:val="24"/>
          <w:szCs w:val="24"/>
          <w:lang w:val="en-US" w:eastAsia="zh-CN"/>
        </w:rPr>
        <w:t>区域环境空气整治方案</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kern w:val="0"/>
          <w:sz w:val="24"/>
        </w:rPr>
      </w:pPr>
      <w:r>
        <w:rPr>
          <w:rFonts w:ascii="Times New Roman" w:hAnsi="Times New Roman"/>
          <w:kern w:val="0"/>
          <w:sz w:val="24"/>
        </w:rPr>
        <w:t>根据淄博市下发的《2019年全市污染防治攻坚战实施方案》，区域环境空气整治方案如下：</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kern w:val="0"/>
          <w:sz w:val="24"/>
        </w:rPr>
      </w:pPr>
      <w:r>
        <w:rPr>
          <w:rFonts w:ascii="Times New Roman" w:hAnsi="Times New Roman"/>
          <w:kern w:val="0"/>
          <w:sz w:val="24"/>
        </w:rPr>
        <w:t>1、加快产业结构调整。以钢铁、焦炭、水泥、平板玻璃等行业为重点，依法依规关停退出一批能耗、环保、安全、质量达不到标准或淘汰类产能。加大已淘汰落后产能和化解过剩产能监管力度，采取“两断三清”等措施，严防已淘汰和化解的落后和过剩产能异地复产。加大钢铁、焦化等重点行业关停淘汰力度。保留的钢铁企业超低排放改造，焦化企业实现规范治理。</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kern w:val="0"/>
          <w:sz w:val="24"/>
        </w:rPr>
      </w:pPr>
      <w:r>
        <w:rPr>
          <w:rFonts w:ascii="Times New Roman" w:hAnsi="Times New Roman"/>
          <w:kern w:val="0"/>
          <w:sz w:val="24"/>
        </w:rPr>
        <w:t>2、加大能源结构调整。按计划淘汰8台落后燃煤机组，同时完成上级下达的淘汰任务。全面淘汰除高效煤粉锅炉以外35蒸吨/小时（不含）以下燃煤锅炉；按照NO</w:t>
      </w:r>
      <w:r>
        <w:rPr>
          <w:rFonts w:ascii="Times New Roman" w:hAnsi="Times New Roman"/>
          <w:kern w:val="0"/>
          <w:sz w:val="24"/>
          <w:vertAlign w:val="subscript"/>
        </w:rPr>
        <w:t>x</w:t>
      </w:r>
      <w:r>
        <w:rPr>
          <w:rFonts w:ascii="Times New Roman" w:hAnsi="Times New Roman"/>
          <w:kern w:val="0"/>
          <w:sz w:val="24"/>
        </w:rPr>
        <w:t>50mg/m</w:t>
      </w:r>
      <w:r>
        <w:rPr>
          <w:rFonts w:ascii="Times New Roman" w:hAnsi="Times New Roman"/>
          <w:kern w:val="0"/>
          <w:sz w:val="24"/>
          <w:vertAlign w:val="superscript"/>
        </w:rPr>
        <w:t>3</w:t>
      </w:r>
      <w:r>
        <w:rPr>
          <w:rFonts w:ascii="Times New Roman" w:hAnsi="Times New Roman"/>
          <w:kern w:val="0"/>
          <w:sz w:val="24"/>
        </w:rPr>
        <w:t>的标准，全面完成燃气锅炉超低排放改造工作。加快推进平板玻璃、建筑陶瓷等行业工业炉窑清洁能源替代和节能技术改造。积极推进电代煤、气代煤、集中供热等清洁取暖工程，持续开展散煤清洁化治理工作，推广清洁煤炭15万吨左右。</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kern w:val="0"/>
          <w:sz w:val="24"/>
        </w:rPr>
      </w:pPr>
      <w:r>
        <w:rPr>
          <w:rFonts w:ascii="Times New Roman" w:hAnsi="Times New Roman"/>
          <w:kern w:val="0"/>
          <w:sz w:val="24"/>
        </w:rPr>
        <w:t>3、加大运输结构调整。制定公转铁货物运输方案，压缩大宗物料公路运输量，加快推进国III 及以下排放标准营运柴油货车淘汰工作，划定禁行区、限行区，重污染天气期间，高排放、老旧柴油货车原则上禁止上路行驶。持续加强新车源头管控，2019年7月1日前，实施机动车国VI 排放标准。持续加大对低速入城的柴油车污染控制装置、OBD、车用尿素质量和尾气达标排放等检查力度；加快推进道路机动车遥感监测装置建设，2019 年12 月底前，全市重点区域具备条件的重型柴油车安装车载诊断远程在线监控并与生态环境部门联网。启动非道路移动机械实时定位和排放监控平台建设，依法划定并公布非道路移动机械低排放控制区和禁止使用高排放非道路移动机械区域。</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kern w:val="0"/>
          <w:sz w:val="24"/>
        </w:rPr>
      </w:pPr>
      <w:r>
        <w:rPr>
          <w:rFonts w:ascii="Times New Roman" w:hAnsi="Times New Roman"/>
          <w:kern w:val="0"/>
          <w:sz w:val="24"/>
        </w:rPr>
        <w:t>4、全力抓好工业企业污染防治。以执行京津冀特别排放限值和山东省区域排放第四时段标准为契机，督促不能稳定达标企业实施治理设施改造，2019年12月前全面完成钢铁行业超低排放改造，焦化行业炉体加罩封闭，火电、焦化等大宗物料企业实现煤场、料场、渣场全封闭等重点工作。组织实施全市工业炉窑分类改造，优化产能配置，进一步减少窑炉数量。继续做好“散乱污”企业综合整治，对新发现的“散乱污”企业，严格落实分类整治措施。</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kern w:val="0"/>
          <w:sz w:val="24"/>
        </w:rPr>
      </w:pPr>
      <w:r>
        <w:rPr>
          <w:rFonts w:ascii="Times New Roman" w:hAnsi="Times New Roman"/>
          <w:kern w:val="0"/>
          <w:sz w:val="24"/>
        </w:rPr>
        <w:t>5、实施重点企业VOCs 深度治理。制定全市石化、医药原料、有机化工行业的LDAR 实施规范或指南，指导重点排放企业开展泄漏修复与检测。对全市重点企业VOCs 末端治理情况开展评估，达不到规范标准要求的，实施治理改造。制定行业推广低挥发性有机物含量原辅材料的使用规范，对表面涂装、包装印刷、家具制造等行业分类推广使用低挥发性有机物原辅材料。</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ascii="Times New Roman" w:hAnsi="Times New Roman"/>
          <w:kern w:val="0"/>
          <w:sz w:val="24"/>
        </w:rPr>
      </w:pPr>
      <w:r>
        <w:rPr>
          <w:rFonts w:ascii="Times New Roman" w:hAnsi="Times New Roman"/>
          <w:kern w:val="0"/>
          <w:sz w:val="24"/>
        </w:rPr>
        <w:t>6、实施重点行业企业季节性生产调控。按照采暖增加的污染物排放量由工业企业抵消的原则，加大秋冬季工业企业生产调控力度，针对钢铁、建材、焦化等高排放行业，制定错峰生产调控方案，实施差别化管理和分类管控原则，按照污染排放绩效水平将错峰生产方案细化到企业生产线、 工序和设备，载入排污许可证。探索提出夏秋季以控制臭氧生成前体物为主的错峰机制，对部分VOCs 高排放行业实施限产或停产，以降低臭氧产生机率，提高空气良好率。</w:t>
      </w: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eastAsia" w:ascii="Times New Roman" w:hAnsi="Times New Roman" w:eastAsia="宋体" w:cs="Times New Roman"/>
          <w:lang w:val="en-US" w:eastAsia="zh-CN"/>
        </w:rPr>
        <w:sectPr>
          <w:headerReference r:id="rId19" w:type="default"/>
          <w:footerReference r:id="rId20"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10" w:name="_Toc6612"/>
      <w:bookmarkStart w:id="11" w:name="_Toc6220"/>
      <w:r>
        <w:rPr>
          <w:rFonts w:hint="eastAsia" w:ascii="Times New Roman" w:hAnsi="Times New Roman" w:eastAsia="宋体" w:cs="Times New Roman"/>
          <w:lang w:val="en-US" w:eastAsia="zh-CN"/>
        </w:rPr>
        <w:t>5</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5</w:t>
      </w:r>
      <w:r>
        <w:rPr>
          <w:rFonts w:hint="eastAsia" w:ascii="宋体" w:hAnsi="宋体" w:eastAsia="宋体" w:cs="宋体"/>
          <w:lang w:val="en-US" w:eastAsia="zh-CN"/>
        </w:rPr>
        <w:t>地表水环境质量现状调查与评价</w:t>
      </w:r>
      <w:bookmarkEnd w:id="10"/>
      <w:bookmarkEnd w:id="11"/>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b/>
          <w:bCs/>
          <w:sz w:val="24"/>
          <w:szCs w:val="24"/>
          <w:lang w:val="en-US" w:eastAsia="zh-CN"/>
        </w:rPr>
        <w:t>地表水环境质量现状监测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sz w:val="24"/>
          <w:szCs w:val="24"/>
          <w:lang w:val="en-US" w:eastAsia="zh-CN"/>
        </w:rPr>
        <w:t>本次评价地表水环境质量现状监测数据收集《山东清河化工科技有限公司</w:t>
      </w:r>
      <w:r>
        <w:rPr>
          <w:rFonts w:hint="default" w:ascii="Times New Roman" w:hAnsi="Times New Roman" w:cs="Times New Roman"/>
          <w:sz w:val="24"/>
          <w:szCs w:val="24"/>
          <w:lang w:val="en-US" w:eastAsia="zh-CN"/>
        </w:rPr>
        <w:t>30</w:t>
      </w:r>
      <w:r>
        <w:rPr>
          <w:rFonts w:hint="eastAsia"/>
          <w:sz w:val="24"/>
          <w:szCs w:val="24"/>
          <w:lang w:val="en-US" w:eastAsia="zh-CN"/>
        </w:rPr>
        <w:t>万吨/年双氧水法环氧丙烷装置及配套</w:t>
      </w:r>
      <w:r>
        <w:rPr>
          <w:rFonts w:hint="default" w:ascii="Times New Roman" w:hAnsi="Times New Roman" w:cs="Times New Roman"/>
          <w:sz w:val="24"/>
          <w:szCs w:val="24"/>
          <w:lang w:val="en-US" w:eastAsia="zh-CN"/>
        </w:rPr>
        <w:t>90</w:t>
      </w:r>
      <w:r>
        <w:rPr>
          <w:rFonts w:hint="eastAsia"/>
          <w:sz w:val="24"/>
          <w:szCs w:val="24"/>
          <w:lang w:val="en-US" w:eastAsia="zh-CN"/>
        </w:rPr>
        <w:t>万吨/年双氧水装置项目环境影响报告书》中“地表水环境质量现状调查与评价”章节的监测数据和山东博汇纸业股份有限公司第三季度例行监测报告（山中检</w:t>
      </w:r>
      <w:r>
        <w:rPr>
          <w:rFonts w:hint="eastAsia" w:ascii="Times New Roman" w:hAnsi="Times New Roman"/>
          <w:sz w:val="24"/>
          <w:szCs w:val="24"/>
          <w:lang w:val="en-US" w:eastAsia="zh-CN"/>
        </w:rPr>
        <w:t>字（2020）第ZB774-1）中对地表水的相关检测数据。</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b/>
          <w:bCs/>
          <w:sz w:val="24"/>
          <w:szCs w:val="24"/>
          <w:lang w:val="en-US" w:eastAsia="zh-CN"/>
        </w:rPr>
        <w:t>监测布点</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根据项目区域地表水系分布特征和项目废水排放去向，布设</w:t>
      </w:r>
      <w:r>
        <w:rPr>
          <w:rFonts w:hint="eastAsia" w:ascii="Times New Roman" w:hAnsi="Times New Roman"/>
          <w:sz w:val="24"/>
          <w:szCs w:val="24"/>
          <w:lang w:val="en-US" w:eastAsia="zh-CN"/>
        </w:rPr>
        <w:t>3</w:t>
      </w:r>
      <w:r>
        <w:rPr>
          <w:rFonts w:hint="default" w:ascii="Times New Roman" w:hAnsi="Times New Roman"/>
          <w:sz w:val="24"/>
          <w:szCs w:val="24"/>
          <w:lang w:val="en-US" w:eastAsia="zh-CN"/>
        </w:rPr>
        <w:t>个地表水环境质量现状监测断面,监测断面名称及位置见表</w:t>
      </w:r>
      <w:r>
        <w:rPr>
          <w:rFonts w:hint="eastAsia" w:ascii="Times New Roman" w:hAnsi="Times New Roman"/>
          <w:sz w:val="24"/>
          <w:szCs w:val="24"/>
          <w:lang w:val="en-US" w:eastAsia="zh-CN"/>
        </w:rPr>
        <w:t>5.5</w:t>
      </w:r>
      <w:r>
        <w:rPr>
          <w:rFonts w:hint="default" w:ascii="Times New Roman" w:hAnsi="Times New Roman"/>
          <w:sz w:val="24"/>
          <w:szCs w:val="24"/>
          <w:lang w:val="en-US" w:eastAsia="zh-CN"/>
        </w:rPr>
        <w:t>-1和图</w:t>
      </w:r>
      <w:r>
        <w:rPr>
          <w:rFonts w:hint="eastAsia" w:ascii="Times New Roman" w:hAnsi="Times New Roman"/>
          <w:sz w:val="24"/>
          <w:szCs w:val="24"/>
          <w:lang w:val="en-US" w:eastAsia="zh-CN"/>
        </w:rPr>
        <w:t>5.5</w:t>
      </w:r>
      <w:r>
        <w:rPr>
          <w:rFonts w:hint="default" w:ascii="Times New Roman" w:hAnsi="Times New Roman"/>
          <w:sz w:val="24"/>
          <w:szCs w:val="24"/>
          <w:lang w:val="en-US" w:eastAsia="zh-CN"/>
        </w:rPr>
        <w:t>-1。</w:t>
      </w:r>
    </w:p>
    <w:p>
      <w:pPr>
        <w:pStyle w:val="2"/>
        <w:keepNext w:val="0"/>
        <w:keepLines w:val="0"/>
        <w:pageBreakBefore w:val="0"/>
        <w:widowControl w:val="0"/>
        <w:kinsoku/>
        <w:wordWrap/>
        <w:overflowPunct/>
        <w:topLinePunct w:val="0"/>
        <w:autoSpaceDE/>
        <w:autoSpaceDN/>
        <w:bidi w:val="0"/>
        <w:snapToGrid w:val="0"/>
        <w:spacing w:line="360" w:lineRule="auto"/>
        <w:jc w:val="center"/>
      </w:pPr>
      <w:r>
        <w:rPr>
          <w:rFonts w:hint="eastAsia" w:ascii="宋体" w:hAnsi="宋体" w:eastAsia="宋体" w:cs="宋体"/>
          <w:b/>
          <w:bCs/>
          <w:color w:val="000000"/>
          <w:sz w:val="24"/>
        </w:rPr>
        <w:t>表</w:t>
      </w:r>
      <w:r>
        <w:rPr>
          <w:rFonts w:hint="eastAsia" w:ascii="Times New Roman" w:hAnsi="Times New Roman" w:cs="Times New Roman"/>
          <w:b/>
          <w:bCs/>
          <w:color w:val="000000"/>
          <w:sz w:val="24"/>
          <w:lang w:val="en-US" w:eastAsia="zh-CN"/>
        </w:rPr>
        <w:t>5.5</w:t>
      </w:r>
      <w:r>
        <w:rPr>
          <w:rFonts w:hint="default" w:ascii="Times New Roman" w:hAnsi="Times New Roman" w:cs="Times New Roman"/>
          <w:b/>
          <w:bCs/>
          <w:color w:val="000000"/>
          <w:sz w:val="24"/>
          <w:lang w:val="en-US" w:eastAsia="zh-CN"/>
        </w:rPr>
        <w:t>-</w:t>
      </w:r>
      <w:r>
        <w:rPr>
          <w:rFonts w:hint="eastAsia" w:ascii="Times New Roman" w:hAnsi="Times New Roman" w:cs="Times New Roman"/>
          <w:b/>
          <w:bCs/>
          <w:color w:val="000000"/>
          <w:sz w:val="24"/>
          <w:lang w:val="en-US" w:eastAsia="zh-CN"/>
        </w:rPr>
        <w:t>1</w:t>
      </w:r>
      <w:r>
        <w:rPr>
          <w:rFonts w:hint="default" w:ascii="Times New Roman" w:hAnsi="Times New Roman" w:eastAsia="宋体" w:cs="Times New Roman"/>
          <w:b/>
          <w:bCs/>
          <w:color w:val="000000"/>
          <w:sz w:val="24"/>
        </w:rPr>
        <w:t xml:space="preserve"> </w:t>
      </w:r>
      <w:r>
        <w:rPr>
          <w:rFonts w:hint="eastAsia" w:ascii="宋体" w:hAnsi="宋体" w:eastAsia="宋体" w:cs="宋体"/>
          <w:b/>
          <w:bCs/>
          <w:color w:val="000000"/>
          <w:sz w:val="24"/>
        </w:rPr>
        <w:t xml:space="preserve"> 地表水质量现状监测布点情况一览表</w:t>
      </w:r>
    </w:p>
    <w:tbl>
      <w:tblPr>
        <w:tblStyle w:val="18"/>
        <w:tblW w:w="82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51"/>
        <w:gridCol w:w="4083"/>
        <w:gridCol w:w="31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jc w:val="center"/>
        </w:trPr>
        <w:tc>
          <w:tcPr>
            <w:tcW w:w="951"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断面</w:t>
            </w:r>
          </w:p>
        </w:tc>
        <w:tc>
          <w:tcPr>
            <w:tcW w:w="4083"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位置</w:t>
            </w:r>
          </w:p>
        </w:tc>
        <w:tc>
          <w:tcPr>
            <w:tcW w:w="3168"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2" w:hRule="atLeast"/>
          <w:jc w:val="center"/>
        </w:trPr>
        <w:tc>
          <w:tcPr>
            <w:tcW w:w="951"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w:t>
            </w:r>
          </w:p>
        </w:tc>
        <w:tc>
          <w:tcPr>
            <w:tcW w:w="4083"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vertAlign w:val="baseline"/>
                <w:lang w:val="en-US" w:eastAsia="zh-CN"/>
              </w:rPr>
              <w:t>杏花河，</w:t>
            </w:r>
            <w:r>
              <w:rPr>
                <w:rFonts w:hint="eastAsia" w:ascii="Times New Roman" w:hAnsi="Times New Roman" w:eastAsia="宋体"/>
                <w:vertAlign w:val="baseline"/>
                <w:lang w:val="en-US" w:eastAsia="zh-CN"/>
              </w:rPr>
              <w:t>博汇纸业废水处理系统</w:t>
            </w:r>
            <w:r>
              <w:rPr>
                <w:rFonts w:hint="eastAsia" w:ascii="Times New Roman" w:hAnsi="Times New Roman" w:eastAsia="宋体"/>
                <w:vertAlign w:val="baseline"/>
              </w:rPr>
              <w:t>入</w:t>
            </w:r>
            <w:r>
              <w:rPr>
                <w:rFonts w:hint="eastAsia" w:ascii="Times New Roman" w:hAnsi="Times New Roman" w:eastAsia="宋体"/>
                <w:vertAlign w:val="baseline"/>
                <w:lang w:val="en-US" w:eastAsia="zh-CN"/>
              </w:rPr>
              <w:t>杏花河</w:t>
            </w:r>
            <w:r>
              <w:rPr>
                <w:rFonts w:hint="eastAsia" w:ascii="Times New Roman" w:hAnsi="Times New Roman" w:eastAsia="宋体"/>
                <w:vertAlign w:val="baseline"/>
              </w:rPr>
              <w:t>排污口处上游</w:t>
            </w:r>
            <w:r>
              <w:rPr>
                <w:rFonts w:hint="eastAsia" w:ascii="Times New Roman" w:hAnsi="Times New Roman"/>
                <w:vertAlign w:val="baseline"/>
                <w:lang w:val="en-US" w:eastAsia="zh-CN"/>
              </w:rPr>
              <w:t>30</w:t>
            </w:r>
            <w:r>
              <w:rPr>
                <w:rFonts w:hint="eastAsia" w:ascii="Times New Roman" w:hAnsi="Times New Roman" w:eastAsia="宋体"/>
                <w:vertAlign w:val="baseline"/>
              </w:rPr>
              <w:t>00m</w:t>
            </w:r>
            <w:r>
              <w:rPr>
                <w:rFonts w:hint="eastAsia" w:ascii="Times New Roman" w:hAnsi="Times New Roman"/>
                <w:vertAlign w:val="baseline"/>
                <w:lang w:val="en-US" w:eastAsia="zh-CN"/>
              </w:rPr>
              <w:t>处</w:t>
            </w:r>
          </w:p>
        </w:tc>
        <w:tc>
          <w:tcPr>
            <w:tcW w:w="3168"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hAnsi="Times New Roman" w:eastAsia="宋体"/>
                <w:vertAlign w:val="baseline"/>
              </w:rPr>
            </w:pPr>
            <w:r>
              <w:rPr>
                <w:rFonts w:hint="eastAsia" w:ascii="Times New Roman" w:hAnsi="Times New Roman" w:eastAsia="宋体"/>
                <w:vertAlign w:val="baseline"/>
              </w:rPr>
              <w:t>了解</w:t>
            </w:r>
            <w:r>
              <w:rPr>
                <w:rFonts w:hint="eastAsia" w:ascii="Times New Roman" w:hAnsi="Times New Roman" w:eastAsia="宋体"/>
                <w:vertAlign w:val="baseline"/>
                <w:lang w:val="en-US" w:eastAsia="zh-CN"/>
              </w:rPr>
              <w:t>排污口</w:t>
            </w:r>
            <w:r>
              <w:rPr>
                <w:rFonts w:hint="eastAsia" w:ascii="Times New Roman" w:hAnsi="Times New Roman" w:eastAsia="宋体"/>
                <w:vertAlign w:val="baseline"/>
              </w:rPr>
              <w:t>上游水质情况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4" w:hRule="atLeast"/>
          <w:jc w:val="center"/>
        </w:trPr>
        <w:tc>
          <w:tcPr>
            <w:tcW w:w="951"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w:t>
            </w:r>
          </w:p>
        </w:tc>
        <w:tc>
          <w:tcPr>
            <w:tcW w:w="4083"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hAnsi="Times New Roman" w:eastAsia="宋体"/>
                <w:vertAlign w:val="baseline"/>
              </w:rPr>
            </w:pPr>
            <w:r>
              <w:rPr>
                <w:rFonts w:hint="eastAsia" w:ascii="Times New Roman" w:hAnsi="Times New Roman"/>
                <w:vertAlign w:val="baseline"/>
                <w:lang w:val="en-US" w:eastAsia="zh-CN"/>
              </w:rPr>
              <w:t>杏花河，</w:t>
            </w:r>
            <w:r>
              <w:rPr>
                <w:rFonts w:hint="eastAsia" w:ascii="Times New Roman" w:hAnsi="Times New Roman" w:eastAsia="宋体"/>
                <w:vertAlign w:val="baseline"/>
                <w:lang w:val="en-US" w:eastAsia="zh-CN"/>
              </w:rPr>
              <w:t>博汇纸业废水处理系统</w:t>
            </w:r>
            <w:r>
              <w:rPr>
                <w:rFonts w:hint="eastAsia" w:ascii="Times New Roman" w:hAnsi="Times New Roman" w:eastAsia="宋体"/>
                <w:vertAlign w:val="baseline"/>
              </w:rPr>
              <w:t>入</w:t>
            </w:r>
            <w:r>
              <w:rPr>
                <w:rFonts w:hint="eastAsia" w:ascii="Times New Roman" w:hAnsi="Times New Roman" w:eastAsia="宋体"/>
                <w:vertAlign w:val="baseline"/>
                <w:lang w:val="en-US" w:eastAsia="zh-CN"/>
              </w:rPr>
              <w:t>杏花河</w:t>
            </w:r>
            <w:r>
              <w:rPr>
                <w:rFonts w:hint="eastAsia" w:ascii="Times New Roman" w:hAnsi="Times New Roman" w:eastAsia="宋体"/>
                <w:vertAlign w:val="baseline"/>
              </w:rPr>
              <w:t>排污口处</w:t>
            </w:r>
          </w:p>
        </w:tc>
        <w:tc>
          <w:tcPr>
            <w:tcW w:w="3168"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hAnsi="Times New Roman" w:eastAsia="宋体"/>
                <w:vertAlign w:val="baseline"/>
              </w:rPr>
            </w:pPr>
            <w:r>
              <w:rPr>
                <w:rFonts w:hint="eastAsia" w:ascii="Times New Roman" w:hAnsi="Times New Roman" w:eastAsia="宋体"/>
                <w:vertAlign w:val="baseline"/>
              </w:rPr>
              <w:t>了解</w:t>
            </w:r>
            <w:r>
              <w:rPr>
                <w:rFonts w:hint="eastAsia" w:ascii="Times New Roman" w:hAnsi="Times New Roman" w:eastAsia="宋体"/>
                <w:vertAlign w:val="baseline"/>
                <w:lang w:val="en-US" w:eastAsia="zh-CN"/>
              </w:rPr>
              <w:t>排污口处</w:t>
            </w:r>
            <w:r>
              <w:rPr>
                <w:rFonts w:hint="eastAsia" w:ascii="Times New Roman" w:hAnsi="Times New Roman" w:eastAsia="宋体"/>
                <w:vertAlign w:val="baseline"/>
              </w:rPr>
              <w:t>水质情况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6" w:hRule="atLeast"/>
          <w:jc w:val="center"/>
        </w:trPr>
        <w:tc>
          <w:tcPr>
            <w:tcW w:w="951"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vertAlign w:val="baseline"/>
                <w:lang w:val="en-US" w:eastAsia="zh-CN"/>
              </w:rPr>
              <w:t>3#</w:t>
            </w:r>
          </w:p>
        </w:tc>
        <w:tc>
          <w:tcPr>
            <w:tcW w:w="4083"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vertAlign w:val="baseline"/>
                <w:lang w:val="en-US" w:eastAsia="zh-CN"/>
              </w:rPr>
              <w:t>小清河，</w:t>
            </w:r>
            <w:r>
              <w:rPr>
                <w:rFonts w:hint="eastAsia" w:ascii="Times New Roman" w:hAnsi="Times New Roman" w:eastAsia="宋体"/>
                <w:vertAlign w:val="baseline"/>
                <w:lang w:val="en-US" w:eastAsia="zh-CN"/>
              </w:rPr>
              <w:t>杏花河入小清河</w:t>
            </w:r>
            <w:r>
              <w:rPr>
                <w:rFonts w:hint="eastAsia" w:ascii="Times New Roman" w:hAnsi="Times New Roman" w:eastAsia="宋体"/>
                <w:vertAlign w:val="baseline"/>
              </w:rPr>
              <w:t>处</w:t>
            </w:r>
            <w:r>
              <w:rPr>
                <w:rFonts w:hint="eastAsia" w:ascii="Times New Roman" w:hAnsi="Times New Roman" w:eastAsia="宋体"/>
                <w:vertAlign w:val="baseline"/>
                <w:lang w:val="en-US" w:eastAsia="zh-CN"/>
              </w:rPr>
              <w:t>下</w:t>
            </w:r>
            <w:r>
              <w:rPr>
                <w:rFonts w:hint="eastAsia" w:ascii="Times New Roman" w:hAnsi="Times New Roman" w:eastAsia="宋体"/>
                <w:vertAlign w:val="baseline"/>
              </w:rPr>
              <w:t>游</w:t>
            </w:r>
            <w:r>
              <w:rPr>
                <w:rFonts w:hint="eastAsia" w:ascii="Times New Roman" w:hAnsi="Times New Roman"/>
                <w:vertAlign w:val="baseline"/>
                <w:lang w:val="en-US" w:eastAsia="zh-CN"/>
              </w:rPr>
              <w:t>10</w:t>
            </w:r>
            <w:r>
              <w:rPr>
                <w:rFonts w:hint="eastAsia" w:ascii="Times New Roman" w:hAnsi="Times New Roman" w:eastAsia="宋体"/>
                <w:vertAlign w:val="baseline"/>
              </w:rPr>
              <w:t>00m</w:t>
            </w:r>
            <w:r>
              <w:rPr>
                <w:rFonts w:hint="eastAsia" w:ascii="Times New Roman" w:hAnsi="Times New Roman"/>
                <w:vertAlign w:val="baseline"/>
                <w:lang w:val="en-US" w:eastAsia="zh-CN"/>
              </w:rPr>
              <w:t>处</w:t>
            </w:r>
          </w:p>
        </w:tc>
        <w:tc>
          <w:tcPr>
            <w:tcW w:w="3168"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vertAlign w:val="baseline"/>
              </w:rPr>
            </w:pPr>
            <w:r>
              <w:rPr>
                <w:rFonts w:hint="eastAsia" w:ascii="Times New Roman" w:hAnsi="Times New Roman" w:eastAsia="宋体"/>
                <w:vertAlign w:val="baseline"/>
              </w:rPr>
              <w:t>了解</w:t>
            </w:r>
            <w:r>
              <w:rPr>
                <w:rFonts w:hint="eastAsia" w:ascii="Times New Roman" w:hAnsi="Times New Roman"/>
                <w:vertAlign w:val="baseline"/>
                <w:lang w:val="en-US" w:eastAsia="zh-CN"/>
              </w:rPr>
              <w:t>杏花河与小清河交汇处下游</w:t>
            </w:r>
            <w:r>
              <w:rPr>
                <w:rFonts w:hint="eastAsia" w:ascii="Times New Roman" w:hAnsi="Times New Roman" w:eastAsia="宋体"/>
                <w:vertAlign w:val="baseline"/>
              </w:rPr>
              <w:t>水质</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eastAsia" w:ascii="Times New Roman" w:hAnsi="Times New Roman" w:cs="Times New Roman"/>
          <w:b/>
          <w:bCs/>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eastAsia" w:ascii="Times New Roman" w:hAnsi="Times New Roman" w:cs="Times New Roman"/>
          <w:b/>
          <w:bCs/>
          <w:sz w:val="24"/>
          <w:szCs w:val="24"/>
          <w:lang w:val="en-US" w:eastAsia="zh-CN"/>
        </w:rPr>
      </w:pPr>
      <w:r>
        <w:rPr>
          <w:szCs w:val="21"/>
        </w:rPr>
        <w:drawing>
          <wp:anchor distT="0" distB="0" distL="114300" distR="114300" simplePos="0" relativeHeight="251713536" behindDoc="0" locked="0" layoutInCell="1" allowOverlap="1">
            <wp:simplePos x="0" y="0"/>
            <wp:positionH relativeFrom="column">
              <wp:posOffset>665480</wp:posOffset>
            </wp:positionH>
            <wp:positionV relativeFrom="paragraph">
              <wp:posOffset>-191135</wp:posOffset>
            </wp:positionV>
            <wp:extent cx="821055" cy="746125"/>
            <wp:effectExtent l="9525" t="9525" r="26670" b="25400"/>
            <wp:wrapNone/>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pic:cNvPicPr>
                      <a:picLocks noChangeAspect="1"/>
                    </pic:cNvPicPr>
                  </pic:nvPicPr>
                  <pic:blipFill>
                    <a:blip r:embed="rId96"/>
                    <a:stretch>
                      <a:fillRect/>
                    </a:stretch>
                  </pic:blipFill>
                  <pic:spPr>
                    <a:xfrm>
                      <a:off x="0" y="0"/>
                      <a:ext cx="821055" cy="746125"/>
                    </a:xfrm>
                    <a:prstGeom prst="rect">
                      <a:avLst/>
                    </a:prstGeom>
                    <a:noFill/>
                    <a:ln>
                      <a:solidFill>
                        <a:schemeClr val="tx1">
                          <a:alpha val="0"/>
                        </a:schemeClr>
                      </a:solidFill>
                    </a:ln>
                  </pic:spPr>
                </pic:pic>
              </a:graphicData>
            </a:graphic>
          </wp:anchor>
        </w:drawing>
      </w:r>
      <w:r>
        <w:rPr>
          <w:rFonts w:hint="eastAsia" w:ascii="Times New Roman" w:hAnsi="Times New Roman" w:cs="Times New Roman"/>
          <w:b/>
          <w:bCs/>
          <w:sz w:val="24"/>
          <w:szCs w:val="24"/>
          <w:lang w:val="en-US" w:eastAsia="zh-CN"/>
        </w:rPr>
        <w:drawing>
          <wp:anchor distT="0" distB="0" distL="114300" distR="114300" simplePos="0" relativeHeight="251698176" behindDoc="0" locked="0" layoutInCell="1" allowOverlap="1">
            <wp:simplePos x="0" y="0"/>
            <wp:positionH relativeFrom="column">
              <wp:posOffset>573405</wp:posOffset>
            </wp:positionH>
            <wp:positionV relativeFrom="paragraph">
              <wp:posOffset>-255270</wp:posOffset>
            </wp:positionV>
            <wp:extent cx="7798435" cy="5040630"/>
            <wp:effectExtent l="9525" t="9525" r="21590" b="17145"/>
            <wp:wrapNone/>
            <wp:docPr id="115" name="图片 115" descr="C:\Users\Administrator\Desktop\11.jp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Users\Administrator\Desktop\11.jpg11"/>
                    <pic:cNvPicPr>
                      <a:picLocks noChangeAspect="1"/>
                    </pic:cNvPicPr>
                  </pic:nvPicPr>
                  <pic:blipFill>
                    <a:blip r:embed="rId97"/>
                    <a:srcRect/>
                    <a:stretch>
                      <a:fillRect/>
                    </a:stretch>
                  </pic:blipFill>
                  <pic:spPr>
                    <a:xfrm>
                      <a:off x="0" y="0"/>
                      <a:ext cx="7798435" cy="5040630"/>
                    </a:xfrm>
                    <a:prstGeom prst="rect">
                      <a:avLst/>
                    </a:prstGeom>
                    <a:ln>
                      <a:solidFill>
                        <a:schemeClr val="tx1"/>
                      </a:solidFill>
                    </a:ln>
                  </pic:spPr>
                </pic:pic>
              </a:graphicData>
            </a:graphic>
          </wp:anchor>
        </w:drawing>
      </w: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r>
        <w:rPr>
          <w:sz w:val="24"/>
        </w:rPr>
        <mc:AlternateContent>
          <mc:Choice Requires="wps">
            <w:drawing>
              <wp:anchor distT="0" distB="0" distL="114300" distR="114300" simplePos="0" relativeHeight="251708416" behindDoc="0" locked="0" layoutInCell="1" allowOverlap="1">
                <wp:simplePos x="0" y="0"/>
                <wp:positionH relativeFrom="column">
                  <wp:posOffset>6229985</wp:posOffset>
                </wp:positionH>
                <wp:positionV relativeFrom="paragraph">
                  <wp:posOffset>83820</wp:posOffset>
                </wp:positionV>
                <wp:extent cx="421640" cy="37338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421640" cy="3733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color w:val="FF0000"/>
                                <w:lang w:val="en-US" w:eastAsia="zh-CN"/>
                              </w:rPr>
                            </w:pPr>
                            <w:r>
                              <w:rPr>
                                <w:rFonts w:hint="eastAsia" w:ascii="Times New Roman" w:hAnsi="Times New Roman" w:cs="Times New Roman"/>
                                <w:b/>
                                <w:bCs/>
                                <w:color w:val="FF0000"/>
                                <w:lang w:val="en-US" w:eastAsia="zh-CN"/>
                              </w:rPr>
                              <w:t>4</w:t>
                            </w:r>
                            <w:r>
                              <w:rPr>
                                <w:rFonts w:hint="default" w:ascii="Times New Roman" w:hAnsi="Times New Roman" w:cs="Times New Roman"/>
                                <w:b/>
                                <w:bCs/>
                                <w:color w:val="FF0000"/>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0.55pt;margin-top:6.6pt;height:29.4pt;width:33.2pt;z-index:251708416;mso-width-relative:page;mso-height-relative:page;" filled="f" stroked="f" coordsize="21600,21600" o:gfxdata="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dNyo&#10;NtoAAAAKAQAADwAAAAAAAAABACAAAAAiAAAAZHJzL2Rvd25yZXYueG1sUEsBAhQAFAAAAAgAh07i&#10;QNs7uZcgAgAAGwQAAA4AAAAAAAAAAQAgAAAAKQEAAGRycy9lMm9Eb2MueG1sUEsFBgAAAAAGAAYA&#10;WQEAALsFAAAAAA==&#10;">
                <v:fill on="f" focussize="0,0"/>
                <v:stroke on="f" weight="0.5pt"/>
                <v:imagedata o:title=""/>
                <o:lock v:ext="edit" aspectratio="f"/>
                <v:textbox>
                  <w:txbxContent>
                    <w:p>
                      <w:pPr>
                        <w:rPr>
                          <w:rFonts w:hint="default" w:ascii="Times New Roman" w:hAnsi="Times New Roman" w:eastAsia="宋体" w:cs="Times New Roman"/>
                          <w:b/>
                          <w:bCs/>
                          <w:color w:val="FF0000"/>
                          <w:lang w:val="en-US" w:eastAsia="zh-CN"/>
                        </w:rPr>
                      </w:pPr>
                      <w:r>
                        <w:rPr>
                          <w:rFonts w:hint="eastAsia" w:ascii="Times New Roman" w:hAnsi="Times New Roman" w:cs="Times New Roman"/>
                          <w:b/>
                          <w:bCs/>
                          <w:color w:val="FF0000"/>
                          <w:lang w:val="en-US" w:eastAsia="zh-CN"/>
                        </w:rPr>
                        <w:t>4</w:t>
                      </w:r>
                      <w:r>
                        <w:rPr>
                          <w:rFonts w:hint="default" w:ascii="Times New Roman" w:hAnsi="Times New Roman" w:cs="Times New Roman"/>
                          <w:b/>
                          <w:bCs/>
                          <w:color w:val="FF0000"/>
                          <w:lang w:val="en-US" w:eastAsia="zh-CN"/>
                        </w:rPr>
                        <w:t>#</w:t>
                      </w:r>
                    </w:p>
                  </w:txbxContent>
                </v:textbox>
              </v:shape>
            </w:pict>
          </mc:Fallback>
        </mc:AlternateContent>
      </w:r>
    </w:p>
    <w:p>
      <w:pPr>
        <w:jc w:val="center"/>
        <w:rPr>
          <w:rFonts w:hint="default" w:ascii="Times New Roman" w:hAnsi="Times New Roman"/>
          <w:b/>
          <w:bCs/>
          <w:sz w:val="24"/>
          <w:szCs w:val="24"/>
          <w:lang w:val="en-US" w:eastAsia="zh-CN"/>
        </w:rPr>
      </w:pPr>
      <w:r>
        <w:rPr>
          <w:sz w:val="24"/>
        </w:rPr>
        <mc:AlternateContent>
          <mc:Choice Requires="wps">
            <w:drawing>
              <wp:anchor distT="0" distB="0" distL="114300" distR="114300" simplePos="0" relativeHeight="251703296" behindDoc="0" locked="0" layoutInCell="1" allowOverlap="1">
                <wp:simplePos x="0" y="0"/>
                <wp:positionH relativeFrom="column">
                  <wp:posOffset>6501765</wp:posOffset>
                </wp:positionH>
                <wp:positionV relativeFrom="paragraph">
                  <wp:posOffset>128270</wp:posOffset>
                </wp:positionV>
                <wp:extent cx="95885" cy="262255"/>
                <wp:effectExtent l="17780" t="6350" r="19685" b="17145"/>
                <wp:wrapNone/>
                <wp:docPr id="120" name="直接连接符 120"/>
                <wp:cNvGraphicFramePr/>
                <a:graphic xmlns:a="http://schemas.openxmlformats.org/drawingml/2006/main">
                  <a:graphicData uri="http://schemas.microsoft.com/office/word/2010/wordprocessingShape">
                    <wps:wsp>
                      <wps:cNvCnPr/>
                      <wps:spPr>
                        <a:xfrm>
                          <a:off x="0" y="0"/>
                          <a:ext cx="95885" cy="26225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11.95pt;margin-top:10.1pt;height:20.65pt;width:7.55pt;z-index:251703296;mso-width-relative:page;mso-height-relative:page;" filled="f" stroked="t" coordsize="21600,21600" o:gfxdata="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A0BzmrXAAAACwEAAA8AAAAAAAAAAQAgAAAAIgAA&#10;AGRycy9kb3ducmV2LnhtbFBLAQIUABQAAAAIAIdO4kDrd8hk0AEAAGsDAAAOAAAAAAAAAAEAIAAA&#10;ACYBAABkcnMvZTJvRG9jLnhtbFBLBQYAAAAABgAGAFkBAABoBQAAAAA=&#10;">
                <v:fill on="f" focussize="0,0"/>
                <v:stroke weight="3pt" color="#FF0000 [3204]" miterlimit="8" joinstyle="miter"/>
                <v:imagedata o:title=""/>
                <o:lock v:ext="edit" aspectratio="f"/>
              </v:line>
            </w:pict>
          </mc:Fallback>
        </mc:AlternateContent>
      </w: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r>
        <w:rPr>
          <w:sz w:val="24"/>
        </w:rPr>
        <mc:AlternateContent>
          <mc:Choice Requires="wps">
            <w:drawing>
              <wp:anchor distT="0" distB="0" distL="114300" distR="114300" simplePos="0" relativeHeight="251704320" behindDoc="0" locked="0" layoutInCell="1" allowOverlap="1">
                <wp:simplePos x="0" y="0"/>
                <wp:positionH relativeFrom="column">
                  <wp:posOffset>5337810</wp:posOffset>
                </wp:positionH>
                <wp:positionV relativeFrom="paragraph">
                  <wp:posOffset>101600</wp:posOffset>
                </wp:positionV>
                <wp:extent cx="107315" cy="258445"/>
                <wp:effectExtent l="17780" t="7620" r="27305" b="19685"/>
                <wp:wrapNone/>
                <wp:docPr id="121" name="直接连接符 121"/>
                <wp:cNvGraphicFramePr/>
                <a:graphic xmlns:a="http://schemas.openxmlformats.org/drawingml/2006/main">
                  <a:graphicData uri="http://schemas.microsoft.com/office/word/2010/wordprocessingShape">
                    <wps:wsp>
                      <wps:cNvCnPr/>
                      <wps:spPr>
                        <a:xfrm>
                          <a:off x="0" y="0"/>
                          <a:ext cx="107315" cy="25844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20.3pt;margin-top:8pt;height:20.35pt;width:8.45pt;z-index:251704320;mso-width-relative:page;mso-height-relative:page;" filled="f" stroked="t" coordsize="21600,21600" o:gfxdata="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jWYd8dYAAAAJAQAADwAAAAAAAAABACAAAAAi&#10;AAAAZHJzL2Rvd25yZXYueG1sUEsBAhQAFAAAAAgAh07iQDwmEiDTAQAAbAMAAA4AAAAAAAAAAQAg&#10;AAAAJQEAAGRycy9lMm9Eb2MueG1sUEsFBgAAAAAGAAYAWQEAAGoFAAAAAA==&#10;">
                <v:fill on="f" focussize="0,0"/>
                <v:stroke weight="3pt" color="#FF0000 [3204]" miterlimit="8" joinstyle="miter"/>
                <v:imagedata o:title=""/>
                <o:lock v:ext="edit" aspectratio="f"/>
              </v:line>
            </w:pict>
          </mc:Fallback>
        </mc:AlternateContent>
      </w:r>
    </w:p>
    <w:p>
      <w:pPr>
        <w:jc w:val="center"/>
        <w:rPr>
          <w:rFonts w:hint="default" w:ascii="Times New Roman" w:hAnsi="Times New Roman"/>
          <w:b/>
          <w:bCs/>
          <w:sz w:val="24"/>
          <w:szCs w:val="24"/>
          <w:lang w:val="en-US" w:eastAsia="zh-CN"/>
        </w:rPr>
      </w:pPr>
      <w:r>
        <w:rPr>
          <w:sz w:val="24"/>
        </w:rPr>
        <mc:AlternateContent>
          <mc:Choice Requires="wps">
            <w:drawing>
              <wp:anchor distT="0" distB="0" distL="114300" distR="114300" simplePos="0" relativeHeight="251707392" behindDoc="0" locked="0" layoutInCell="1" allowOverlap="1">
                <wp:simplePos x="0" y="0"/>
                <wp:positionH relativeFrom="column">
                  <wp:posOffset>5290185</wp:posOffset>
                </wp:positionH>
                <wp:positionV relativeFrom="paragraph">
                  <wp:posOffset>193040</wp:posOffset>
                </wp:positionV>
                <wp:extent cx="421640" cy="373380"/>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421640" cy="3733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color w:val="FF0000"/>
                                <w:lang w:val="en-US" w:eastAsia="zh-CN"/>
                              </w:rPr>
                            </w:pPr>
                            <w:r>
                              <w:rPr>
                                <w:rFonts w:hint="eastAsia" w:ascii="Times New Roman" w:hAnsi="Times New Roman" w:cs="Times New Roman"/>
                                <w:b/>
                                <w:bCs/>
                                <w:color w:val="FF0000"/>
                                <w:lang w:val="en-US" w:eastAsia="zh-CN"/>
                              </w:rPr>
                              <w:t>2</w:t>
                            </w:r>
                            <w:r>
                              <w:rPr>
                                <w:rFonts w:hint="default" w:ascii="Times New Roman" w:hAnsi="Times New Roman" w:cs="Times New Roman"/>
                                <w:b/>
                                <w:bCs/>
                                <w:color w:val="FF0000"/>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55pt;margin-top:15.2pt;height:29.4pt;width:33.2pt;z-index:251707392;mso-width-relative:page;mso-height-relative:page;" filled="f" stroked="f" coordsize="21600,21600" o:gfxdata="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NyLF&#10;utoAAAAJAQAADwAAAAAAAAABACAAAAAiAAAAZHJzL2Rvd25yZXYueG1sUEsBAhQAFAAAAAgAh07i&#10;QMEkifsgAgAAGwQAAA4AAAAAAAAAAQAgAAAAKQEAAGRycy9lMm9Eb2MueG1sUEsFBgAAAAAGAAYA&#10;WQEAALsFAAAAAA==&#10;">
                <v:fill on="f" focussize="0,0"/>
                <v:stroke on="f" weight="0.5pt"/>
                <v:imagedata o:title=""/>
                <o:lock v:ext="edit" aspectratio="f"/>
                <v:textbox>
                  <w:txbxContent>
                    <w:p>
                      <w:pPr>
                        <w:rPr>
                          <w:rFonts w:hint="default" w:ascii="Times New Roman" w:hAnsi="Times New Roman" w:eastAsia="宋体" w:cs="Times New Roman"/>
                          <w:b/>
                          <w:bCs/>
                          <w:color w:val="FF0000"/>
                          <w:lang w:val="en-US" w:eastAsia="zh-CN"/>
                        </w:rPr>
                      </w:pPr>
                      <w:r>
                        <w:rPr>
                          <w:rFonts w:hint="eastAsia" w:ascii="Times New Roman" w:hAnsi="Times New Roman" w:cs="Times New Roman"/>
                          <w:b/>
                          <w:bCs/>
                          <w:color w:val="FF0000"/>
                          <w:lang w:val="en-US" w:eastAsia="zh-CN"/>
                        </w:rPr>
                        <w:t>2</w:t>
                      </w:r>
                      <w:r>
                        <w:rPr>
                          <w:rFonts w:hint="default" w:ascii="Times New Roman" w:hAnsi="Times New Roman" w:cs="Times New Roman"/>
                          <w:b/>
                          <w:bCs/>
                          <w:color w:val="FF0000"/>
                          <w:lang w:val="en-US" w:eastAsia="zh-CN"/>
                        </w:rPr>
                        <w:t>#</w:t>
                      </w:r>
                    </w:p>
                  </w:txbxContent>
                </v:textbox>
              </v:shape>
            </w:pict>
          </mc:Fallback>
        </mc:AlternateContent>
      </w: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r>
        <w:rPr>
          <w:sz w:val="24"/>
        </w:rPr>
        <mc:AlternateContent>
          <mc:Choice Requires="wps">
            <w:drawing>
              <wp:anchor distT="0" distB="0" distL="114300" distR="114300" simplePos="0" relativeHeight="251706368" behindDoc="0" locked="0" layoutInCell="1" allowOverlap="1">
                <wp:simplePos x="0" y="0"/>
                <wp:positionH relativeFrom="column">
                  <wp:posOffset>3550285</wp:posOffset>
                </wp:positionH>
                <wp:positionV relativeFrom="paragraph">
                  <wp:posOffset>57150</wp:posOffset>
                </wp:positionV>
                <wp:extent cx="421640" cy="373380"/>
                <wp:effectExtent l="0" t="0" r="0" b="0"/>
                <wp:wrapNone/>
                <wp:docPr id="123" name="文本框 123"/>
                <wp:cNvGraphicFramePr/>
                <a:graphic xmlns:a="http://schemas.openxmlformats.org/drawingml/2006/main">
                  <a:graphicData uri="http://schemas.microsoft.com/office/word/2010/wordprocessingShape">
                    <wps:wsp>
                      <wps:cNvSpPr txBox="1"/>
                      <wps:spPr>
                        <a:xfrm>
                          <a:off x="4568190" y="3853180"/>
                          <a:ext cx="421640" cy="3733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color w:val="FF0000"/>
                                <w:lang w:val="en-US" w:eastAsia="zh-CN"/>
                              </w:rPr>
                            </w:pPr>
                            <w:r>
                              <w:rPr>
                                <w:rFonts w:hint="default" w:ascii="Times New Roman" w:hAnsi="Times New Roman" w:cs="Times New Roman"/>
                                <w:b/>
                                <w:bCs/>
                                <w:color w:val="FF0000"/>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9.55pt;margin-top:4.5pt;height:29.4pt;width:33.2pt;z-index:251706368;mso-width-relative:page;mso-height-relative:page;" filled="f" stroked="f" coordsize="21600,21600" o:gfxdata="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45T91dkAAAAIAQAADwAAAAAAAAABACAAAAAiAAAAZHJzL2Rvd25yZXYueG1sUEsBAhQA&#10;FAAAAAgAh07iQGOm2ewqAgAAJwQAAA4AAAAAAAAAAQAgAAAAKAEAAGRycy9lMm9Eb2MueG1sUEsF&#10;BgAAAAAGAAYAWQEAAMQFAAAAAA==&#10;">
                <v:fill on="f" focussize="0,0"/>
                <v:stroke on="f" weight="0.5pt"/>
                <v:imagedata o:title=""/>
                <o:lock v:ext="edit" aspectratio="f"/>
                <v:textbox>
                  <w:txbxContent>
                    <w:p>
                      <w:pPr>
                        <w:rPr>
                          <w:rFonts w:hint="default" w:ascii="Times New Roman" w:hAnsi="Times New Roman" w:eastAsia="宋体" w:cs="Times New Roman"/>
                          <w:b/>
                          <w:bCs/>
                          <w:color w:val="FF0000"/>
                          <w:lang w:val="en-US" w:eastAsia="zh-CN"/>
                        </w:rPr>
                      </w:pPr>
                      <w:r>
                        <w:rPr>
                          <w:rFonts w:hint="default" w:ascii="Times New Roman" w:hAnsi="Times New Roman" w:cs="Times New Roman"/>
                          <w:b/>
                          <w:bCs/>
                          <w:color w:val="FF0000"/>
                          <w:lang w:val="en-US" w:eastAsia="zh-CN"/>
                        </w:rPr>
                        <w:t>1#</w:t>
                      </w:r>
                    </w:p>
                  </w:txbxContent>
                </v:textbox>
              </v:shape>
            </w:pict>
          </mc:Fallback>
        </mc:AlternateContent>
      </w:r>
    </w:p>
    <w:p>
      <w:pPr>
        <w:jc w:val="center"/>
        <w:rPr>
          <w:rFonts w:hint="default" w:ascii="Times New Roman" w:hAnsi="Times New Roman"/>
          <w:b/>
          <w:bCs/>
          <w:sz w:val="24"/>
          <w:szCs w:val="24"/>
          <w:lang w:val="en-US" w:eastAsia="zh-CN"/>
        </w:rPr>
      </w:pPr>
      <w:r>
        <w:rPr>
          <w:sz w:val="24"/>
        </w:rPr>
        <mc:AlternateContent>
          <mc:Choice Requires="wps">
            <w:drawing>
              <wp:anchor distT="0" distB="0" distL="114300" distR="114300" simplePos="0" relativeHeight="251705344" behindDoc="0" locked="0" layoutInCell="1" allowOverlap="1">
                <wp:simplePos x="0" y="0"/>
                <wp:positionH relativeFrom="column">
                  <wp:posOffset>3883025</wp:posOffset>
                </wp:positionH>
                <wp:positionV relativeFrom="paragraph">
                  <wp:posOffset>138430</wp:posOffset>
                </wp:positionV>
                <wp:extent cx="7620" cy="274955"/>
                <wp:effectExtent l="19050" t="0" r="30480" b="10795"/>
                <wp:wrapNone/>
                <wp:docPr id="122" name="直接连接符 122"/>
                <wp:cNvGraphicFramePr/>
                <a:graphic xmlns:a="http://schemas.openxmlformats.org/drawingml/2006/main">
                  <a:graphicData uri="http://schemas.microsoft.com/office/word/2010/wordprocessingShape">
                    <wps:wsp>
                      <wps:cNvCnPr/>
                      <wps:spPr>
                        <a:xfrm>
                          <a:off x="0" y="0"/>
                          <a:ext cx="7620" cy="27495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05.75pt;margin-top:10.9pt;height:21.65pt;width:0.6pt;z-index:251705344;mso-width-relative:page;mso-height-relative:page;" filled="f" stroked="t" coordsize="21600,21600" o:gfxdata="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OuKEVrWAAAACQEAAA8AAAAAAAAAAQAgAAAAIgAA&#10;AGRycy9kb3ducmV2LnhtbFBLAQIUABQAAAAIAIdO4kB90Is50QEAAGoDAAAOAAAAAAAAAAEAIAAA&#10;ACUBAABkcnMvZTJvRG9jLnhtbFBLBQYAAAAABgAGAFkBAABoBQAAAAA=&#10;">
                <v:fill on="f" focussize="0,0"/>
                <v:stroke weight="3pt" color="#FF0000 [3204]" miterlimit="8" joinstyle="miter"/>
                <v:imagedata o:title=""/>
                <o:lock v:ext="edit" aspectratio="f"/>
              </v:line>
            </w:pict>
          </mc:Fallback>
        </mc:AlternateContent>
      </w: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r>
        <w:rPr>
          <w:sz w:val="24"/>
        </w:rPr>
        <mc:AlternateContent>
          <mc:Choice Requires="wps">
            <w:drawing>
              <wp:anchor distT="0" distB="0" distL="114300" distR="114300" simplePos="0" relativeHeight="251710464" behindDoc="0" locked="0" layoutInCell="1" allowOverlap="1">
                <wp:simplePos x="0" y="0"/>
                <wp:positionH relativeFrom="column">
                  <wp:posOffset>6787515</wp:posOffset>
                </wp:positionH>
                <wp:positionV relativeFrom="paragraph">
                  <wp:posOffset>74930</wp:posOffset>
                </wp:positionV>
                <wp:extent cx="665480" cy="292100"/>
                <wp:effectExtent l="0" t="0" r="0" b="0"/>
                <wp:wrapNone/>
                <wp:docPr id="119" name="文本框 119"/>
                <wp:cNvGraphicFramePr/>
                <a:graphic xmlns:a="http://schemas.openxmlformats.org/drawingml/2006/main">
                  <a:graphicData uri="http://schemas.microsoft.com/office/word/2010/wordprocessingShape">
                    <wps:wsp>
                      <wps:cNvSpPr txBox="1"/>
                      <wps:spPr>
                        <a:xfrm>
                          <a:off x="7719695" y="5204460"/>
                          <a:ext cx="66548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lang w:val="en-US" w:eastAsia="zh-CN"/>
                              </w:rPr>
                            </w:pPr>
                            <w:r>
                              <w:rPr>
                                <w:rFonts w:hint="eastAsia"/>
                                <w:b/>
                                <w:bCs/>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45pt;margin-top:5.9pt;height:23pt;width:52.4pt;z-index:251710464;mso-width-relative:page;mso-height-relative:page;" filled="f" stroked="f" coordsize="21600,21600" o:gfxdata="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QXk+rtoAAAALAQAADwAAAAAAAAABACAAAAAiAAAAZHJzL2Rvd25yZXYueG1sUEsB&#10;AhQAFAAAAAgAh07iQKQcG7IsAgAAJwQAAA4AAAAAAAAAAQAgAAAAKQEAAGRycy9lMm9Eb2MueG1s&#10;UEsFBgAAAAAGAAYAWQEAAMcFAAAAAA==&#10;">
                <v:fill on="f" focussize="0,0"/>
                <v:stroke on="f" weight="0.5pt"/>
                <v:imagedata o:title=""/>
                <o:lock v:ext="edit" aspectratio="f"/>
                <v:textbox>
                  <w:txbxContent>
                    <w:p>
                      <w:pPr>
                        <w:rPr>
                          <w:rFonts w:hint="eastAsia" w:eastAsia="宋体"/>
                          <w:b/>
                          <w:bCs/>
                          <w:lang w:val="en-US" w:eastAsia="zh-CN"/>
                        </w:rPr>
                      </w:pPr>
                      <w:r>
                        <w:rPr>
                          <w:rFonts w:hint="eastAsia"/>
                          <w:b/>
                          <w:bCs/>
                          <w:lang w:val="en-US" w:eastAsia="zh-CN"/>
                        </w:rPr>
                        <w:t>图例：</w:t>
                      </w:r>
                    </w:p>
                  </w:txbxContent>
                </v:textbox>
              </v:shape>
            </w:pict>
          </mc:Fallback>
        </mc:AlternateContent>
      </w:r>
      <w:r>
        <w:rPr>
          <w:sz w:val="24"/>
        </w:rPr>
        <mc:AlternateContent>
          <mc:Choice Requires="wps">
            <w:drawing>
              <wp:anchor distT="0" distB="0" distL="114300" distR="114300" simplePos="0" relativeHeight="251709440" behindDoc="0" locked="0" layoutInCell="1" allowOverlap="1">
                <wp:simplePos x="0" y="0"/>
                <wp:positionH relativeFrom="column">
                  <wp:posOffset>6717665</wp:posOffset>
                </wp:positionH>
                <wp:positionV relativeFrom="paragraph">
                  <wp:posOffset>71755</wp:posOffset>
                </wp:positionV>
                <wp:extent cx="1555750" cy="730250"/>
                <wp:effectExtent l="4445" t="4445" r="20955" b="8255"/>
                <wp:wrapNone/>
                <wp:docPr id="117" name="矩形 117"/>
                <wp:cNvGraphicFramePr/>
                <a:graphic xmlns:a="http://schemas.openxmlformats.org/drawingml/2006/main">
                  <a:graphicData uri="http://schemas.microsoft.com/office/word/2010/wordprocessingShape">
                    <wps:wsp>
                      <wps:cNvSpPr/>
                      <wps:spPr>
                        <a:xfrm>
                          <a:off x="7632065" y="5142230"/>
                          <a:ext cx="1555750" cy="73025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8.95pt;margin-top:5.65pt;height:57.5pt;width:122.5pt;z-index:251709440;v-text-anchor:middle;mso-width-relative:page;mso-height-relative:page;" fillcolor="#FFFFFF [3212]" filled="t" stroked="t" coordsize="21600,21600" o:gfxdata="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MJYYjXaAAAADAEAAA8AAAAAAAAAAQAgAAAAIgAAAGRycy9kb3ducmV2LnhtbFBLAQIUABQA&#10;AAAIAIdO4kDrVbvIYAIAALUEAAAOAAAAAAAAAAEAIAAAACkBAABkcnMvZTJvRG9jLnhtbFBLBQYA&#10;AAAABgAGAFkBAAD7BQAAAAA=&#10;">
                <v:fill on="t" focussize="0,0"/>
                <v:stroke color="#000000 [3213]" miterlimit="8" joinstyle="miter"/>
                <v:imagedata o:title=""/>
                <o:lock v:ext="edit" aspectratio="f"/>
              </v:rect>
            </w:pict>
          </mc:Fallback>
        </mc:AlternateContent>
      </w: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r>
        <w:rPr>
          <w:sz w:val="24"/>
        </w:rPr>
        <mc:AlternateContent>
          <mc:Choice Requires="wps">
            <w:drawing>
              <wp:anchor distT="0" distB="0" distL="114300" distR="114300" simplePos="0" relativeHeight="251712512" behindDoc="0" locked="0" layoutInCell="1" allowOverlap="1">
                <wp:simplePos x="0" y="0"/>
                <wp:positionH relativeFrom="column">
                  <wp:posOffset>7315200</wp:posOffset>
                </wp:positionH>
                <wp:positionV relativeFrom="paragraph">
                  <wp:posOffset>33020</wp:posOffset>
                </wp:positionV>
                <wp:extent cx="790575" cy="29210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790575"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b/>
                                <w:bCs/>
                                <w:lang w:val="en-US" w:eastAsia="zh-CN"/>
                              </w:rPr>
                              <w:t>监测断面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6pt;margin-top:2.6pt;height:23pt;width:62.25pt;z-index:251712512;mso-width-relative:page;mso-height-relative:page;" filled="f" stroked="f" coordsize="21600,21600" o:gfxdata="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AA&#10;T7XaAAAACgEAAA8AAAAAAAAAAQAgAAAAIgAAAGRycy9kb3ducmV2LnhtbFBLAQIUABQAAAAIAIdO&#10;4kCpftc8IQIAABsEAAAOAAAAAAAAAAEAIAAAACkBAABkcnMvZTJvRG9jLnhtbFBLBQYAAAAABgAG&#10;AFkBAAC8BQAAAAA=&#10;">
                <v:fill on="f" focussize="0,0"/>
                <v:stroke on="f" weight="0.5pt"/>
                <v:imagedata o:title=""/>
                <o:lock v:ext="edit" aspectratio="f"/>
                <v:textbox>
                  <w:txbxContent>
                    <w:p>
                      <w:pPr>
                        <w:rPr>
                          <w:rFonts w:hint="default" w:eastAsia="宋体"/>
                          <w:b/>
                          <w:bCs/>
                          <w:lang w:val="en-US" w:eastAsia="zh-CN"/>
                        </w:rPr>
                      </w:pPr>
                      <w:r>
                        <w:rPr>
                          <w:rFonts w:hint="eastAsia"/>
                          <w:b/>
                          <w:bCs/>
                          <w:lang w:val="en-US" w:eastAsia="zh-CN"/>
                        </w:rPr>
                        <w:t>监测断面</w:t>
                      </w:r>
                    </w:p>
                  </w:txbxContent>
                </v:textbox>
              </v:shape>
            </w:pict>
          </mc:Fallback>
        </mc:AlternateContent>
      </w:r>
      <w:r>
        <w:rPr>
          <w:sz w:val="24"/>
        </w:rPr>
        <mc:AlternateContent>
          <mc:Choice Requires="wps">
            <w:drawing>
              <wp:anchor distT="0" distB="0" distL="114300" distR="114300" simplePos="0" relativeHeight="251711488" behindDoc="0" locked="0" layoutInCell="1" allowOverlap="1">
                <wp:simplePos x="0" y="0"/>
                <wp:positionH relativeFrom="column">
                  <wp:posOffset>7056755</wp:posOffset>
                </wp:positionH>
                <wp:positionV relativeFrom="paragraph">
                  <wp:posOffset>47625</wp:posOffset>
                </wp:positionV>
                <wp:extent cx="4445" cy="247015"/>
                <wp:effectExtent l="19050" t="0" r="33655" b="0"/>
                <wp:wrapNone/>
                <wp:docPr id="127" name="直接连接符 127"/>
                <wp:cNvGraphicFramePr/>
                <a:graphic xmlns:a="http://schemas.openxmlformats.org/drawingml/2006/main">
                  <a:graphicData uri="http://schemas.microsoft.com/office/word/2010/wordprocessingShape">
                    <wps:wsp>
                      <wps:cNvCnPr/>
                      <wps:spPr>
                        <a:xfrm flipH="1">
                          <a:off x="0" y="0"/>
                          <a:ext cx="4445" cy="24701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555.65pt;margin-top:3.75pt;height:19.45pt;width:0.35pt;z-index:251711488;mso-width-relative:page;mso-height-relative:page;" filled="f" stroked="t" coordsize="21600,21600" o:gfxdata="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Avg2fXWAAAACgEAAA8AAAAAAAAAAQAg&#10;AAAAIgAAAGRycy9kb3ducmV2LnhtbFBLAQIUABQAAAAIAIdO4kDkf1Oa1wEAAHQDAAAOAAAAAAAA&#10;AAEAIAAAACUBAABkcnMvZTJvRG9jLnhtbFBLBQYAAAAABgAGAFkBAABuBQAAAAA=&#10;">
                <v:fill on="f" focussize="0,0"/>
                <v:stroke weight="3pt" color="#FF0000 [3204]" miterlimit="8" joinstyle="miter"/>
                <v:imagedata o:title=""/>
                <o:lock v:ext="edit" aspectratio="f"/>
              </v:line>
            </w:pict>
          </mc:Fallback>
        </mc:AlternateContent>
      </w:r>
    </w:p>
    <w:p>
      <w:pPr>
        <w:jc w:val="center"/>
        <w:rPr>
          <w:rFonts w:hint="default" w:ascii="Times New Roman" w:hAnsi="Times New Roman"/>
          <w:b/>
          <w:bCs/>
          <w:sz w:val="24"/>
          <w:szCs w:val="24"/>
          <w:lang w:val="en-US" w:eastAsia="zh-CN"/>
        </w:rPr>
      </w:pPr>
    </w:p>
    <w:p>
      <w:pPr>
        <w:jc w:val="center"/>
        <w:rPr>
          <w:rFonts w:hint="default" w:ascii="Times New Roman" w:hAnsi="Times New Roman"/>
          <w:b/>
          <w:bCs/>
          <w:sz w:val="24"/>
          <w:szCs w:val="24"/>
          <w:lang w:val="en-US" w:eastAsia="zh-CN"/>
        </w:rPr>
      </w:pPr>
    </w:p>
    <w:p>
      <w:pPr>
        <w:jc w:val="center"/>
        <w:rPr>
          <w:rFonts w:hint="default"/>
          <w:b/>
          <w:bCs/>
          <w:sz w:val="24"/>
          <w:szCs w:val="24"/>
          <w:lang w:val="en-US" w:eastAsia="zh-CN"/>
        </w:rPr>
        <w:sectPr>
          <w:headerReference r:id="rId21" w:type="default"/>
          <w:footerReference r:id="rId22"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b/>
          <w:bCs/>
          <w:sz w:val="24"/>
          <w:szCs w:val="24"/>
          <w:lang w:val="en-US" w:eastAsia="zh-CN"/>
        </w:rPr>
        <w:t>图</w:t>
      </w:r>
      <w:r>
        <w:rPr>
          <w:rFonts w:hint="eastAsia" w:ascii="Times New Roman" w:hAnsi="Times New Roman"/>
          <w:b/>
          <w:bCs/>
          <w:sz w:val="24"/>
          <w:szCs w:val="24"/>
          <w:lang w:val="en-US" w:eastAsia="zh-CN"/>
        </w:rPr>
        <w:t>5.5</w:t>
      </w:r>
      <w:r>
        <w:rPr>
          <w:rFonts w:hint="default" w:ascii="Times New Roman" w:hAnsi="Times New Roman"/>
          <w:b/>
          <w:bCs/>
          <w:sz w:val="24"/>
          <w:szCs w:val="24"/>
          <w:lang w:val="en-US" w:eastAsia="zh-CN"/>
        </w:rPr>
        <w:t>-1</w:t>
      </w:r>
      <w:r>
        <w:rPr>
          <w:rFonts w:hint="eastAsia" w:ascii="Times New Roman" w:hAnsi="Times New Roman"/>
          <w:b/>
          <w:bCs/>
          <w:sz w:val="24"/>
          <w:szCs w:val="24"/>
          <w:lang w:val="en-US" w:eastAsia="zh-CN"/>
        </w:rPr>
        <w:t xml:space="preserve">  地表水监测布点图</w:t>
      </w:r>
    </w:p>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eastAsia"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ascii="Times New Roman" w:hAnsi="Times New Roman"/>
          <w:b/>
          <w:bCs/>
          <w:sz w:val="24"/>
          <w:szCs w:val="24"/>
          <w:lang w:val="en-US" w:eastAsia="zh-CN"/>
        </w:rPr>
        <w:t>监测项目、监测时间及频率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1、监测项目：pH值、COD</w:t>
      </w:r>
      <w:r>
        <w:rPr>
          <w:rFonts w:hint="eastAsia" w:ascii="Times New Roman" w:hAnsi="Times New Roman"/>
          <w:sz w:val="24"/>
          <w:szCs w:val="24"/>
          <w:vertAlign w:val="subscript"/>
          <w:lang w:val="en-US" w:eastAsia="zh-CN"/>
        </w:rPr>
        <w:t>cr</w:t>
      </w:r>
      <w:r>
        <w:rPr>
          <w:rFonts w:hint="eastAsia" w:ascii="Times New Roman" w:hAnsi="Times New Roman"/>
          <w:sz w:val="24"/>
          <w:szCs w:val="24"/>
          <w:lang w:val="en-US" w:eastAsia="zh-CN"/>
        </w:rPr>
        <w:t>、BOD</w:t>
      </w:r>
      <w:r>
        <w:rPr>
          <w:rFonts w:hint="eastAsia" w:ascii="Times New Roman" w:hAnsi="Times New Roman"/>
          <w:sz w:val="24"/>
          <w:szCs w:val="24"/>
          <w:vertAlign w:val="subscript"/>
          <w:lang w:val="en-US" w:eastAsia="zh-CN"/>
        </w:rPr>
        <w:t>5</w:t>
      </w:r>
      <w:r>
        <w:rPr>
          <w:rFonts w:hint="eastAsia" w:ascii="Times New Roman" w:hAnsi="Times New Roman"/>
          <w:sz w:val="24"/>
          <w:szCs w:val="24"/>
          <w:lang w:val="en-US" w:eastAsia="zh-CN"/>
        </w:rPr>
        <w:t>、氨氮、总氮、总磷、挥发酚、氰化物、硫化物、氟化物、石油类、砷、镉、六价铬、汞、全盐量、粪大肠菌群等，同时测量各断面的水温、流量、河宽、河深、流速等水文参数。</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2、监测时间：山东蓝城分析测试有限公司于2020年05月09日-05月10日进行了连续监测；山东中泽环境检测有限公司于2020年09月07日-09月08日进行了监测。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ascii="Times New Roman" w:hAnsi="Times New Roman"/>
          <w:sz w:val="24"/>
          <w:szCs w:val="24"/>
          <w:lang w:val="en-US" w:eastAsia="zh-CN"/>
        </w:rPr>
        <w:t>3、监测频率：监测2天，每天采样一次。</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eastAsia" w:ascii="Times New Roman" w:hAnsi="Times New Roman"/>
          <w:b/>
          <w:bCs/>
          <w:sz w:val="24"/>
          <w:szCs w:val="24"/>
          <w:lang w:val="en-US" w:eastAsia="zh-CN"/>
        </w:rPr>
        <w:t>监测分析方法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监测分析方法详见下表：</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sz w:val="24"/>
          <w:szCs w:val="24"/>
          <w:lang w:val="en-US" w:eastAsia="zh-CN"/>
        </w:rPr>
      </w:pPr>
      <w:r>
        <w:rPr>
          <w:rFonts w:hint="eastAsia" w:ascii="宋体" w:hAnsi="宋体" w:eastAsia="宋体" w:cs="宋体"/>
          <w:b/>
          <w:bCs/>
          <w:color w:val="000000"/>
          <w:sz w:val="24"/>
        </w:rPr>
        <w:t>表</w:t>
      </w:r>
      <w:r>
        <w:rPr>
          <w:rFonts w:hint="eastAsia" w:ascii="Times New Roman" w:hAnsi="Times New Roman" w:cs="Times New Roman"/>
          <w:b/>
          <w:bCs/>
          <w:color w:val="000000"/>
          <w:sz w:val="24"/>
          <w:lang w:val="en-US" w:eastAsia="zh-CN"/>
        </w:rPr>
        <w:t>5.5</w:t>
      </w:r>
      <w:r>
        <w:rPr>
          <w:rFonts w:hint="default" w:ascii="Times New Roman" w:hAnsi="Times New Roman" w:cs="Times New Roman"/>
          <w:b/>
          <w:bCs/>
          <w:color w:val="000000"/>
          <w:sz w:val="24"/>
          <w:lang w:val="en-US" w:eastAsia="zh-CN"/>
        </w:rPr>
        <w:t>-</w:t>
      </w:r>
      <w:r>
        <w:rPr>
          <w:rFonts w:hint="eastAsia" w:ascii="Times New Roman" w:hAnsi="Times New Roman" w:cs="Times New Roman"/>
          <w:b/>
          <w:bCs/>
          <w:color w:val="000000"/>
          <w:sz w:val="24"/>
          <w:lang w:val="en-US" w:eastAsia="zh-CN"/>
        </w:rPr>
        <w:t>2</w:t>
      </w:r>
      <w:r>
        <w:rPr>
          <w:rFonts w:hint="default" w:ascii="Times New Roman" w:hAnsi="Times New Roman" w:eastAsia="宋体" w:cs="Times New Roman"/>
          <w:b/>
          <w:bCs/>
          <w:color w:val="000000"/>
          <w:sz w:val="24"/>
        </w:rPr>
        <w:t xml:space="preserve"> </w:t>
      </w:r>
      <w:r>
        <w:rPr>
          <w:rFonts w:hint="eastAsia" w:ascii="宋体" w:hAnsi="宋体" w:eastAsia="宋体" w:cs="宋体"/>
          <w:b/>
          <w:bCs/>
          <w:color w:val="000000"/>
          <w:sz w:val="24"/>
        </w:rPr>
        <w:t xml:space="preserve"> 地表水监测项目分析方法一览表</w:t>
      </w:r>
    </w:p>
    <w:tbl>
      <w:tblPr>
        <w:tblStyle w:val="18"/>
        <w:tblW w:w="84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2"/>
        <w:gridCol w:w="1214"/>
        <w:gridCol w:w="3287"/>
        <w:gridCol w:w="1924"/>
        <w:gridCol w:w="1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662"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序号</w:t>
            </w:r>
          </w:p>
        </w:tc>
        <w:tc>
          <w:tcPr>
            <w:tcW w:w="1214"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检验项目</w:t>
            </w:r>
          </w:p>
        </w:tc>
        <w:tc>
          <w:tcPr>
            <w:tcW w:w="3287"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检测方法</w:t>
            </w:r>
          </w:p>
        </w:tc>
        <w:tc>
          <w:tcPr>
            <w:tcW w:w="1924"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检测依据</w:t>
            </w:r>
          </w:p>
        </w:tc>
        <w:tc>
          <w:tcPr>
            <w:tcW w:w="138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pH</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水质pH的测定 玻璃电极法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GB/T 6920-1986</w:t>
            </w:r>
          </w:p>
        </w:tc>
        <w:tc>
          <w:tcPr>
            <w:tcW w:w="1385"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SS</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悬浮物的测定 重量法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 xml:space="preserve"> GB/T 11901-1989</w:t>
            </w:r>
          </w:p>
        </w:tc>
        <w:tc>
          <w:tcPr>
            <w:tcW w:w="1385"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COD</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化学需氧量的测定 重铬酸盐法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HJ 828-2017</w:t>
            </w:r>
          </w:p>
        </w:tc>
        <w:tc>
          <w:tcPr>
            <w:tcW w:w="1385"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BOD</w:t>
            </w:r>
            <w:r>
              <w:rPr>
                <w:rFonts w:hint="eastAsia" w:ascii="Times New Roman" w:hAnsi="Times New Roman"/>
                <w:sz w:val="21"/>
                <w:szCs w:val="21"/>
                <w:vertAlign w:val="subscript"/>
                <w:lang w:val="en-US" w:eastAsia="zh-CN"/>
              </w:rPr>
              <w:t>5</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五日生化需氧量（BOD</w:t>
            </w:r>
            <w:r>
              <w:rPr>
                <w:rFonts w:hint="default" w:ascii="Times New Roman" w:hAnsi="Times New Roman" w:eastAsia="宋体"/>
                <w:sz w:val="21"/>
                <w:szCs w:val="21"/>
                <w:vertAlign w:val="subscript"/>
                <w:lang w:val="en-US" w:eastAsia="zh-CN"/>
              </w:rPr>
              <w:t>5</w:t>
            </w:r>
            <w:r>
              <w:rPr>
                <w:rFonts w:hint="default" w:ascii="Times New Roman" w:hAnsi="Times New Roman" w:eastAsia="宋体"/>
                <w:sz w:val="21"/>
                <w:szCs w:val="21"/>
                <w:vertAlign w:val="baseline"/>
                <w:lang w:val="en-US" w:eastAsia="zh-CN"/>
              </w:rPr>
              <w:t>）的测定 稀释与接种法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HJ 505-2009</w:t>
            </w:r>
          </w:p>
        </w:tc>
        <w:tc>
          <w:tcPr>
            <w:tcW w:w="1385"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5</w:t>
            </w:r>
          </w:p>
        </w:tc>
        <w:tc>
          <w:tcPr>
            <w:tcW w:w="1214" w:type="dxa"/>
            <w:noWrap w:val="0"/>
            <w:vAlign w:val="center"/>
          </w:tcPr>
          <w:p>
            <w:pPr>
              <w:widowControl/>
              <w:spacing w:line="240" w:lineRule="atLeast"/>
              <w:jc w:val="center"/>
              <w:textAlignment w:val="top"/>
              <w:rPr>
                <w:rFonts w:hint="eastAsia" w:ascii="Times New Roman" w:hAnsi="Times New Roman" w:eastAsia="宋体"/>
                <w:color w:val="000000"/>
                <w:szCs w:val="21"/>
                <w:lang w:val="en-US" w:eastAsia="zh-CN"/>
              </w:rPr>
            </w:pPr>
            <w:r>
              <w:rPr>
                <w:rFonts w:hint="eastAsia" w:ascii="Times New Roman" w:hAnsi="Times New Roman"/>
                <w:color w:val="000000"/>
                <w:szCs w:val="21"/>
                <w:lang w:val="en-US" w:eastAsia="zh-CN"/>
              </w:rPr>
              <w:t>氨氮</w:t>
            </w:r>
          </w:p>
        </w:tc>
        <w:tc>
          <w:tcPr>
            <w:tcW w:w="3287" w:type="dxa"/>
            <w:noWrap w:val="0"/>
            <w:vAlign w:val="center"/>
          </w:tcPr>
          <w:p>
            <w:pPr>
              <w:spacing w:line="240" w:lineRule="atLeast"/>
              <w:jc w:val="center"/>
              <w:rPr>
                <w:rFonts w:ascii="Times New Roman" w:hAnsi="Times New Roman" w:eastAsia="宋体"/>
                <w:kern w:val="0"/>
                <w:szCs w:val="21"/>
              </w:rPr>
            </w:pPr>
            <w:r>
              <w:rPr>
                <w:rFonts w:hint="eastAsia" w:ascii="Times New Roman" w:hAnsi="Times New Roman" w:eastAsia="宋体"/>
                <w:kern w:val="0"/>
                <w:szCs w:val="21"/>
              </w:rPr>
              <w:t>水质 氨氮的测定 纳氏试剂分光光度法</w:t>
            </w:r>
          </w:p>
        </w:tc>
        <w:tc>
          <w:tcPr>
            <w:tcW w:w="1924" w:type="dxa"/>
            <w:noWrap w:val="0"/>
            <w:vAlign w:val="center"/>
          </w:tcPr>
          <w:p>
            <w:pPr>
              <w:tabs>
                <w:tab w:val="left" w:pos="9795"/>
              </w:tabs>
              <w:spacing w:line="240" w:lineRule="atLeast"/>
              <w:jc w:val="center"/>
              <w:rPr>
                <w:rFonts w:ascii="Times New Roman" w:hAnsi="Times New Roman" w:eastAsia="宋体"/>
                <w:kern w:val="0"/>
                <w:szCs w:val="21"/>
              </w:rPr>
            </w:pPr>
            <w:r>
              <w:rPr>
                <w:rFonts w:hint="eastAsia" w:ascii="Times New Roman" w:hAnsi="Times New Roman" w:eastAsia="宋体"/>
                <w:kern w:val="0"/>
                <w:szCs w:val="21"/>
              </w:rPr>
              <w:t>HJ 535-2009</w:t>
            </w:r>
          </w:p>
        </w:tc>
        <w:tc>
          <w:tcPr>
            <w:tcW w:w="1385" w:type="dxa"/>
            <w:noWrap w:val="0"/>
            <w:vAlign w:val="center"/>
          </w:tcPr>
          <w:p>
            <w:pPr>
              <w:spacing w:line="240" w:lineRule="atLeast"/>
              <w:jc w:val="center"/>
              <w:rPr>
                <w:rFonts w:ascii="Times New Roman" w:hAnsi="Times New Roman" w:eastAsia="宋体"/>
                <w:kern w:val="0"/>
                <w:szCs w:val="21"/>
              </w:rPr>
            </w:pPr>
            <w:r>
              <w:rPr>
                <w:rFonts w:hint="eastAsia" w:ascii="Times New Roman" w:hAnsi="Times New Roman"/>
                <w:sz w:val="21"/>
                <w:szCs w:val="21"/>
                <w:vertAlign w:val="baseline"/>
                <w:lang w:val="en-US" w:eastAsia="zh-CN"/>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6</w:t>
            </w:r>
          </w:p>
        </w:tc>
        <w:tc>
          <w:tcPr>
            <w:tcW w:w="1214" w:type="dxa"/>
            <w:noWrap w:val="0"/>
            <w:vAlign w:val="center"/>
          </w:tcPr>
          <w:p>
            <w:pPr>
              <w:widowControl/>
              <w:spacing w:line="240" w:lineRule="atLeast"/>
              <w:jc w:val="center"/>
              <w:textAlignment w:val="top"/>
              <w:rPr>
                <w:rFonts w:hint="eastAsia" w:ascii="Times New Roman" w:hAnsi="Times New Roman" w:eastAsia="宋体"/>
                <w:color w:val="000000"/>
                <w:szCs w:val="21"/>
                <w:lang w:val="en-US" w:eastAsia="zh-CN"/>
              </w:rPr>
            </w:pPr>
            <w:r>
              <w:rPr>
                <w:rFonts w:hint="eastAsia" w:ascii="Times New Roman" w:hAnsi="Times New Roman"/>
                <w:color w:val="000000"/>
                <w:szCs w:val="21"/>
                <w:lang w:val="en-US" w:eastAsia="zh-CN"/>
              </w:rPr>
              <w:t>总氮</w:t>
            </w:r>
          </w:p>
        </w:tc>
        <w:tc>
          <w:tcPr>
            <w:tcW w:w="3287" w:type="dxa"/>
            <w:noWrap w:val="0"/>
            <w:vAlign w:val="center"/>
          </w:tcPr>
          <w:p>
            <w:pPr>
              <w:spacing w:line="240" w:lineRule="atLeast"/>
              <w:jc w:val="center"/>
              <w:rPr>
                <w:rFonts w:ascii="Times New Roman" w:hAnsi="Times New Roman" w:eastAsia="宋体"/>
                <w:kern w:val="0"/>
                <w:szCs w:val="21"/>
              </w:rPr>
            </w:pPr>
            <w:r>
              <w:rPr>
                <w:rFonts w:hint="eastAsia" w:ascii="Times New Roman" w:hAnsi="Times New Roman" w:eastAsia="宋体"/>
                <w:kern w:val="0"/>
                <w:szCs w:val="21"/>
              </w:rPr>
              <w:t>水质 总氮的测定 碱性过硫酸钾消解紫外分光光度法</w:t>
            </w:r>
          </w:p>
        </w:tc>
        <w:tc>
          <w:tcPr>
            <w:tcW w:w="1924" w:type="dxa"/>
            <w:noWrap w:val="0"/>
            <w:vAlign w:val="center"/>
          </w:tcPr>
          <w:p>
            <w:pPr>
              <w:tabs>
                <w:tab w:val="left" w:pos="9795"/>
              </w:tabs>
              <w:spacing w:line="240" w:lineRule="atLeast"/>
              <w:jc w:val="center"/>
              <w:rPr>
                <w:rFonts w:ascii="Times New Roman" w:hAnsi="Times New Roman" w:eastAsia="宋体"/>
                <w:kern w:val="0"/>
                <w:szCs w:val="21"/>
              </w:rPr>
            </w:pPr>
            <w:r>
              <w:rPr>
                <w:rFonts w:hint="eastAsia" w:ascii="Times New Roman" w:hAnsi="Times New Roman" w:eastAsia="宋体"/>
                <w:kern w:val="0"/>
                <w:szCs w:val="21"/>
              </w:rPr>
              <w:t>HJ 636-2012</w:t>
            </w:r>
          </w:p>
        </w:tc>
        <w:tc>
          <w:tcPr>
            <w:tcW w:w="1385" w:type="dxa"/>
            <w:noWrap w:val="0"/>
            <w:vAlign w:val="center"/>
          </w:tcPr>
          <w:p>
            <w:pPr>
              <w:spacing w:line="240" w:lineRule="atLeast"/>
              <w:jc w:val="center"/>
              <w:rPr>
                <w:rFonts w:ascii="Times New Roman" w:hAnsi="Times New Roman" w:eastAsia="宋体"/>
                <w:kern w:val="0"/>
                <w:szCs w:val="21"/>
              </w:rPr>
            </w:pPr>
            <w:r>
              <w:rPr>
                <w:rFonts w:hint="eastAsia" w:ascii="Times New Roman" w:hAnsi="Times New Roman"/>
                <w:sz w:val="21"/>
                <w:szCs w:val="21"/>
                <w:vertAlign w:val="baseline"/>
                <w:lang w:val="en-US" w:eastAsia="zh-CN"/>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7</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总磷</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总磷的测定 钼酸铵分光光度法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GB/T 11893-1989</w:t>
            </w:r>
          </w:p>
        </w:tc>
        <w:tc>
          <w:tcPr>
            <w:tcW w:w="1385"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8</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铜</w:t>
            </w:r>
          </w:p>
        </w:tc>
        <w:tc>
          <w:tcPr>
            <w:tcW w:w="3287" w:type="dxa"/>
            <w:vMerge w:val="restart"/>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w:t>
            </w:r>
            <w:r>
              <w:rPr>
                <w:rFonts w:hint="eastAsia" w:ascii="Times New Roman" w:hAnsi="Times New Roman"/>
                <w:sz w:val="21"/>
                <w:szCs w:val="21"/>
                <w:vertAlign w:val="baseline"/>
                <w:lang w:val="en-US" w:eastAsia="zh-CN"/>
              </w:rPr>
              <w:t>32</w:t>
            </w:r>
            <w:r>
              <w:rPr>
                <w:rFonts w:hint="default" w:ascii="Times New Roman" w:hAnsi="Times New Roman" w:eastAsia="宋体"/>
                <w:sz w:val="21"/>
                <w:szCs w:val="21"/>
                <w:vertAlign w:val="baseline"/>
                <w:lang w:val="en-US" w:eastAsia="zh-CN"/>
              </w:rPr>
              <w:t>种元素的测定 电感耦合等离子体发射光谱法</w:t>
            </w:r>
          </w:p>
        </w:tc>
        <w:tc>
          <w:tcPr>
            <w:tcW w:w="1924" w:type="dxa"/>
            <w:vMerge w:val="restart"/>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HJ 776-2015</w:t>
            </w:r>
          </w:p>
        </w:tc>
        <w:tc>
          <w:tcPr>
            <w:tcW w:w="1385"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9</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锌</w:t>
            </w:r>
          </w:p>
        </w:tc>
        <w:tc>
          <w:tcPr>
            <w:tcW w:w="3287" w:type="dxa"/>
            <w:vMerge w:val="continue"/>
            <w:noWrap w:val="0"/>
            <w:vAlign w:val="center"/>
          </w:tcPr>
          <w:p>
            <w:pPr>
              <w:spacing w:line="240" w:lineRule="atLeast"/>
              <w:jc w:val="center"/>
              <w:rPr>
                <w:rFonts w:hint="default" w:ascii="Times New Roman" w:hAnsi="Times New Roman" w:eastAsia="宋体"/>
                <w:sz w:val="21"/>
                <w:szCs w:val="21"/>
                <w:vertAlign w:val="baseline"/>
                <w:lang w:val="en-US" w:eastAsia="zh-CN"/>
              </w:rPr>
            </w:pPr>
          </w:p>
        </w:tc>
        <w:tc>
          <w:tcPr>
            <w:tcW w:w="1924" w:type="dxa"/>
            <w:vMerge w:val="continue"/>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p>
        </w:tc>
        <w:tc>
          <w:tcPr>
            <w:tcW w:w="1385"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0.009mg/L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10</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汞</w:t>
            </w:r>
          </w:p>
        </w:tc>
        <w:tc>
          <w:tcPr>
            <w:tcW w:w="3287" w:type="dxa"/>
            <w:vMerge w:val="restart"/>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汞、砷、硒、铋和锑的测定 原子荧光法</w:t>
            </w:r>
          </w:p>
        </w:tc>
        <w:tc>
          <w:tcPr>
            <w:tcW w:w="1924" w:type="dxa"/>
            <w:vMerge w:val="restart"/>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HJ 694-2014</w:t>
            </w:r>
          </w:p>
        </w:tc>
        <w:tc>
          <w:tcPr>
            <w:tcW w:w="1385"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11</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砷</w:t>
            </w:r>
          </w:p>
        </w:tc>
        <w:tc>
          <w:tcPr>
            <w:tcW w:w="3287" w:type="dxa"/>
            <w:vMerge w:val="continue"/>
            <w:noWrap w:val="0"/>
            <w:vAlign w:val="center"/>
          </w:tcPr>
          <w:p>
            <w:pPr>
              <w:spacing w:line="240" w:lineRule="atLeast"/>
              <w:jc w:val="center"/>
              <w:rPr>
                <w:rFonts w:hint="default" w:ascii="Times New Roman" w:hAnsi="Times New Roman" w:eastAsia="宋体"/>
                <w:sz w:val="21"/>
                <w:szCs w:val="21"/>
                <w:vertAlign w:val="baseline"/>
                <w:lang w:val="en-US" w:eastAsia="zh-CN"/>
              </w:rPr>
            </w:pPr>
          </w:p>
        </w:tc>
        <w:tc>
          <w:tcPr>
            <w:tcW w:w="1924" w:type="dxa"/>
            <w:vMerge w:val="continue"/>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p>
        </w:tc>
        <w:tc>
          <w:tcPr>
            <w:tcW w:w="1385"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12</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铅</w:t>
            </w:r>
          </w:p>
        </w:tc>
        <w:tc>
          <w:tcPr>
            <w:tcW w:w="3287" w:type="dxa"/>
            <w:vMerge w:val="restart"/>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65 种元素的测定 电感耦合等离子体质谱法</w:t>
            </w:r>
          </w:p>
        </w:tc>
        <w:tc>
          <w:tcPr>
            <w:tcW w:w="1924" w:type="dxa"/>
            <w:vMerge w:val="restart"/>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 xml:space="preserve">HJ </w:t>
            </w:r>
            <w:r>
              <w:rPr>
                <w:rFonts w:hint="eastAsia" w:ascii="Times New Roman" w:hAnsi="Times New Roman"/>
                <w:sz w:val="21"/>
                <w:szCs w:val="21"/>
                <w:vertAlign w:val="baseline"/>
                <w:lang w:val="en-US" w:eastAsia="zh-CN"/>
              </w:rPr>
              <w:t>700</w:t>
            </w:r>
            <w:r>
              <w:rPr>
                <w:rFonts w:hint="default" w:ascii="Times New Roman" w:hAnsi="Times New Roman" w:eastAsia="宋体"/>
                <w:sz w:val="21"/>
                <w:szCs w:val="21"/>
                <w:vertAlign w:val="baseline"/>
                <w:lang w:val="en-US" w:eastAsia="zh-CN"/>
              </w:rPr>
              <w:t>-2014</w:t>
            </w: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0.00009mg/L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13</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镍</w:t>
            </w:r>
          </w:p>
        </w:tc>
        <w:tc>
          <w:tcPr>
            <w:tcW w:w="3287" w:type="dxa"/>
            <w:vMerge w:val="continue"/>
            <w:noWrap w:val="0"/>
            <w:vAlign w:val="center"/>
          </w:tcPr>
          <w:p>
            <w:pPr>
              <w:spacing w:line="240" w:lineRule="atLeast"/>
              <w:jc w:val="center"/>
              <w:rPr>
                <w:rFonts w:hint="default" w:ascii="Times New Roman" w:hAnsi="Times New Roman" w:eastAsia="宋体"/>
                <w:sz w:val="21"/>
                <w:szCs w:val="21"/>
                <w:vertAlign w:val="baseline"/>
                <w:lang w:val="en-US" w:eastAsia="zh-CN"/>
              </w:rPr>
            </w:pPr>
          </w:p>
        </w:tc>
        <w:tc>
          <w:tcPr>
            <w:tcW w:w="1924" w:type="dxa"/>
            <w:vMerge w:val="continue"/>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0.00006mg/L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14</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镉</w:t>
            </w:r>
          </w:p>
        </w:tc>
        <w:tc>
          <w:tcPr>
            <w:tcW w:w="3287" w:type="dxa"/>
            <w:vMerge w:val="continue"/>
            <w:noWrap w:val="0"/>
            <w:vAlign w:val="center"/>
          </w:tcPr>
          <w:p>
            <w:pPr>
              <w:spacing w:line="240" w:lineRule="atLeast"/>
              <w:jc w:val="center"/>
              <w:rPr>
                <w:rFonts w:hint="default" w:ascii="Times New Roman" w:hAnsi="Times New Roman" w:eastAsia="宋体"/>
                <w:sz w:val="21"/>
                <w:szCs w:val="21"/>
                <w:vertAlign w:val="baseline"/>
                <w:lang w:val="en-US" w:eastAsia="zh-CN"/>
              </w:rPr>
            </w:pPr>
          </w:p>
        </w:tc>
        <w:tc>
          <w:tcPr>
            <w:tcW w:w="1924" w:type="dxa"/>
            <w:vMerge w:val="continue"/>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15</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六价铬</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六价铬的测定 二苯碳酰二肼分光光度法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GB/T 7467-1987</w:t>
            </w: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16</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挥发酚</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挥发酚的测定4-氨基安替比林分光光度法 方法</w:t>
            </w:r>
            <w:r>
              <w:rPr>
                <w:rFonts w:hint="eastAsia" w:ascii="Times New Roman" w:hAnsi="Times New Roman"/>
                <w:sz w:val="21"/>
                <w:szCs w:val="21"/>
                <w:vertAlign w:val="baseline"/>
                <w:lang w:val="en-US" w:eastAsia="zh-CN"/>
              </w:rPr>
              <w:t>1</w:t>
            </w:r>
            <w:r>
              <w:rPr>
                <w:rFonts w:hint="default" w:ascii="Times New Roman" w:hAnsi="Times New Roman" w:eastAsia="宋体"/>
                <w:sz w:val="21"/>
                <w:szCs w:val="21"/>
                <w:vertAlign w:val="baseline"/>
                <w:lang w:val="en-US" w:eastAsia="zh-CN"/>
              </w:rPr>
              <w:t>萃取分光光度法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HJ 503-2009</w:t>
            </w: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17</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硫化物</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硫化物的测定 亚甲蓝分光光度法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GB/T 16489-1996</w:t>
            </w: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18</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硫酸盐</w:t>
            </w:r>
          </w:p>
        </w:tc>
        <w:tc>
          <w:tcPr>
            <w:tcW w:w="3287" w:type="dxa"/>
            <w:vMerge w:val="restart"/>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无机阴离子（F</w:t>
            </w:r>
            <w:r>
              <w:rPr>
                <w:rFonts w:hint="default" w:ascii="Times New Roman" w:hAnsi="Times New Roman" w:eastAsia="宋体"/>
                <w:sz w:val="21"/>
                <w:szCs w:val="21"/>
                <w:vertAlign w:val="superscript"/>
                <w:lang w:val="en-US" w:eastAsia="zh-CN"/>
              </w:rPr>
              <w:t>-</w:t>
            </w:r>
            <w:r>
              <w:rPr>
                <w:rFonts w:hint="default" w:ascii="Times New Roman" w:hAnsi="Times New Roman" w:eastAsia="宋体"/>
                <w:sz w:val="21"/>
                <w:szCs w:val="21"/>
                <w:vertAlign w:val="baseline"/>
                <w:lang w:val="en-US" w:eastAsia="zh-CN"/>
              </w:rPr>
              <w:t>、Cl</w:t>
            </w:r>
            <w:r>
              <w:rPr>
                <w:rFonts w:hint="default" w:ascii="Times New Roman" w:hAnsi="Times New Roman" w:eastAsia="宋体"/>
                <w:sz w:val="21"/>
                <w:szCs w:val="21"/>
                <w:vertAlign w:val="superscript"/>
                <w:lang w:val="en-US" w:eastAsia="zh-CN"/>
              </w:rPr>
              <w:t>-</w:t>
            </w:r>
            <w:r>
              <w:rPr>
                <w:rFonts w:hint="default" w:ascii="Times New Roman" w:hAnsi="Times New Roman" w:eastAsia="宋体"/>
                <w:sz w:val="21"/>
                <w:szCs w:val="21"/>
                <w:vertAlign w:val="baseline"/>
                <w:lang w:val="en-US" w:eastAsia="zh-CN"/>
              </w:rPr>
              <w:t>、NO</w:t>
            </w:r>
            <w:r>
              <w:rPr>
                <w:rFonts w:hint="default" w:ascii="Times New Roman" w:hAnsi="Times New Roman" w:eastAsia="宋体"/>
                <w:sz w:val="21"/>
                <w:szCs w:val="21"/>
                <w:vertAlign w:val="superscript"/>
                <w:lang w:val="en-US" w:eastAsia="zh-CN"/>
              </w:rPr>
              <w:t>2-</w:t>
            </w:r>
            <w:r>
              <w:rPr>
                <w:rFonts w:hint="default" w:ascii="Times New Roman" w:hAnsi="Times New Roman" w:eastAsia="宋体"/>
                <w:sz w:val="21"/>
                <w:szCs w:val="21"/>
                <w:vertAlign w:val="baseline"/>
                <w:lang w:val="en-US" w:eastAsia="zh-CN"/>
              </w:rPr>
              <w:t>、Br</w:t>
            </w:r>
            <w:r>
              <w:rPr>
                <w:rFonts w:hint="default" w:ascii="Times New Roman" w:hAnsi="Times New Roman" w:eastAsia="宋体"/>
                <w:sz w:val="21"/>
                <w:szCs w:val="21"/>
                <w:vertAlign w:val="superscript"/>
                <w:lang w:val="en-US" w:eastAsia="zh-CN"/>
              </w:rPr>
              <w:t>-</w:t>
            </w:r>
            <w:r>
              <w:rPr>
                <w:rFonts w:hint="default" w:ascii="Times New Roman" w:hAnsi="Times New Roman" w:eastAsia="宋体"/>
                <w:sz w:val="21"/>
                <w:szCs w:val="21"/>
                <w:vertAlign w:val="baseline"/>
                <w:lang w:val="en-US" w:eastAsia="zh-CN"/>
              </w:rPr>
              <w:t>、NO</w:t>
            </w:r>
            <w:r>
              <w:rPr>
                <w:rFonts w:hint="default" w:ascii="Times New Roman" w:hAnsi="Times New Roman" w:eastAsia="宋体"/>
                <w:sz w:val="21"/>
                <w:szCs w:val="21"/>
                <w:vertAlign w:val="superscript"/>
                <w:lang w:val="en-US" w:eastAsia="zh-CN"/>
              </w:rPr>
              <w:t>3</w:t>
            </w:r>
            <w:r>
              <w:rPr>
                <w:rFonts w:hint="default" w:ascii="Times New Roman" w:hAnsi="Times New Roman" w:eastAsia="宋体"/>
                <w:sz w:val="21"/>
                <w:szCs w:val="21"/>
                <w:vertAlign w:val="baseline"/>
                <w:lang w:val="en-US" w:eastAsia="zh-CN"/>
              </w:rPr>
              <w:t>-、PO</w:t>
            </w:r>
            <w:r>
              <w:rPr>
                <w:rFonts w:hint="default" w:ascii="Times New Roman" w:hAnsi="Times New Roman" w:eastAsia="宋体"/>
                <w:sz w:val="21"/>
                <w:szCs w:val="21"/>
                <w:vertAlign w:val="subscript"/>
                <w:lang w:val="en-US" w:eastAsia="zh-CN"/>
              </w:rPr>
              <w:t>4</w:t>
            </w:r>
            <w:r>
              <w:rPr>
                <w:rFonts w:hint="default" w:ascii="Times New Roman" w:hAnsi="Times New Roman" w:eastAsia="宋体"/>
                <w:sz w:val="21"/>
                <w:szCs w:val="21"/>
                <w:vertAlign w:val="superscript"/>
                <w:lang w:val="en-US" w:eastAsia="zh-CN"/>
              </w:rPr>
              <w:t>3-</w:t>
            </w:r>
            <w:r>
              <w:rPr>
                <w:rFonts w:hint="default" w:ascii="Times New Roman" w:hAnsi="Times New Roman" w:eastAsia="宋体"/>
                <w:sz w:val="21"/>
                <w:szCs w:val="21"/>
                <w:vertAlign w:val="baseline"/>
                <w:lang w:val="en-US" w:eastAsia="zh-CN"/>
              </w:rPr>
              <w:t>、 SO</w:t>
            </w:r>
            <w:r>
              <w:rPr>
                <w:rFonts w:hint="default" w:ascii="Times New Roman" w:hAnsi="Times New Roman" w:eastAsia="宋体"/>
                <w:sz w:val="21"/>
                <w:szCs w:val="21"/>
                <w:vertAlign w:val="subscript"/>
                <w:lang w:val="en-US" w:eastAsia="zh-CN"/>
              </w:rPr>
              <w:t>3</w:t>
            </w:r>
            <w:r>
              <w:rPr>
                <w:rFonts w:hint="default" w:ascii="Times New Roman" w:hAnsi="Times New Roman" w:eastAsia="宋体"/>
                <w:sz w:val="21"/>
                <w:szCs w:val="21"/>
                <w:vertAlign w:val="superscript"/>
                <w:lang w:val="en-US" w:eastAsia="zh-CN"/>
              </w:rPr>
              <w:t>2-</w:t>
            </w:r>
            <w:r>
              <w:rPr>
                <w:rFonts w:hint="default" w:ascii="Times New Roman" w:hAnsi="Times New Roman" w:eastAsia="宋体"/>
                <w:sz w:val="21"/>
                <w:szCs w:val="21"/>
                <w:vertAlign w:val="baseline"/>
                <w:lang w:val="en-US" w:eastAsia="zh-CN"/>
              </w:rPr>
              <w:t>、SO</w:t>
            </w:r>
            <w:r>
              <w:rPr>
                <w:rFonts w:hint="default" w:ascii="Times New Roman" w:hAnsi="Times New Roman" w:eastAsia="宋体"/>
                <w:sz w:val="21"/>
                <w:szCs w:val="21"/>
                <w:vertAlign w:val="subscript"/>
                <w:lang w:val="en-US" w:eastAsia="zh-CN"/>
              </w:rPr>
              <w:t>4</w:t>
            </w:r>
            <w:r>
              <w:rPr>
                <w:rFonts w:hint="default" w:ascii="Times New Roman" w:hAnsi="Times New Roman" w:eastAsia="宋体"/>
                <w:sz w:val="21"/>
                <w:szCs w:val="21"/>
                <w:vertAlign w:val="superscript"/>
                <w:lang w:val="en-US" w:eastAsia="zh-CN"/>
              </w:rPr>
              <w:t>2-</w:t>
            </w:r>
            <w:r>
              <w:rPr>
                <w:rFonts w:hint="default" w:ascii="Times New Roman" w:hAnsi="Times New Roman" w:eastAsia="宋体"/>
                <w:sz w:val="21"/>
                <w:szCs w:val="21"/>
                <w:vertAlign w:val="baseline"/>
                <w:lang w:val="en-US" w:eastAsia="zh-CN"/>
              </w:rPr>
              <w:t>）的测定 离子色谱法</w:t>
            </w:r>
          </w:p>
        </w:tc>
        <w:tc>
          <w:tcPr>
            <w:tcW w:w="1924" w:type="dxa"/>
            <w:vMerge w:val="restart"/>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HJ 84-2016</w:t>
            </w: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0.018mg/L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19</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氯化物</w:t>
            </w:r>
          </w:p>
        </w:tc>
        <w:tc>
          <w:tcPr>
            <w:tcW w:w="3287" w:type="dxa"/>
            <w:vMerge w:val="continue"/>
            <w:noWrap w:val="0"/>
            <w:vAlign w:val="center"/>
          </w:tcPr>
          <w:p>
            <w:pPr>
              <w:spacing w:line="240" w:lineRule="atLeast"/>
              <w:jc w:val="center"/>
              <w:rPr>
                <w:rFonts w:hint="default" w:ascii="Times New Roman" w:hAnsi="Times New Roman" w:eastAsia="宋体"/>
                <w:sz w:val="21"/>
                <w:szCs w:val="21"/>
                <w:vertAlign w:val="baseline"/>
                <w:lang w:val="en-US" w:eastAsia="zh-CN"/>
              </w:rPr>
            </w:pPr>
          </w:p>
        </w:tc>
        <w:tc>
          <w:tcPr>
            <w:tcW w:w="1924" w:type="dxa"/>
            <w:vMerge w:val="continue"/>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0.007mg/L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20</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氟化物</w:t>
            </w:r>
          </w:p>
        </w:tc>
        <w:tc>
          <w:tcPr>
            <w:tcW w:w="3287" w:type="dxa"/>
            <w:vMerge w:val="continue"/>
            <w:noWrap w:val="0"/>
            <w:vAlign w:val="center"/>
          </w:tcPr>
          <w:p>
            <w:pPr>
              <w:spacing w:line="240" w:lineRule="atLeast"/>
              <w:jc w:val="center"/>
              <w:rPr>
                <w:rFonts w:hint="default" w:ascii="Times New Roman" w:hAnsi="Times New Roman" w:eastAsia="宋体"/>
                <w:sz w:val="21"/>
                <w:szCs w:val="21"/>
                <w:vertAlign w:val="baseline"/>
                <w:lang w:val="en-US" w:eastAsia="zh-CN"/>
              </w:rPr>
            </w:pPr>
          </w:p>
        </w:tc>
        <w:tc>
          <w:tcPr>
            <w:tcW w:w="1924" w:type="dxa"/>
            <w:vMerge w:val="continue"/>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0.006mg/L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21</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全盐量</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全盐量的测定 重量法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HJ/T 51-1999</w:t>
            </w: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22</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氰化物</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氰化物的测定 容量法和分光光度法 方法</w:t>
            </w:r>
            <w:r>
              <w:rPr>
                <w:rFonts w:hint="eastAsia" w:ascii="Times New Roman" w:hAnsi="Times New Roman"/>
                <w:sz w:val="21"/>
                <w:szCs w:val="21"/>
                <w:vertAlign w:val="baseline"/>
                <w:lang w:val="en-US" w:eastAsia="zh-CN"/>
              </w:rPr>
              <w:t>2</w:t>
            </w:r>
            <w:r>
              <w:rPr>
                <w:rFonts w:hint="default" w:ascii="Times New Roman" w:hAnsi="Times New Roman" w:eastAsia="宋体"/>
                <w:sz w:val="21"/>
                <w:szCs w:val="21"/>
                <w:vertAlign w:val="baseline"/>
                <w:lang w:val="en-US" w:eastAsia="zh-CN"/>
              </w:rPr>
              <w:t>异烟酸-吡唑酮分光光度法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HJ 484-2009</w:t>
            </w: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23</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石油类</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石油类的测定 紫外分光光度法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HJ 970-2018</w:t>
            </w: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24</w:t>
            </w:r>
          </w:p>
        </w:tc>
        <w:tc>
          <w:tcPr>
            <w:tcW w:w="1214" w:type="dxa"/>
            <w:noWrap w:val="0"/>
            <w:vAlign w:val="center"/>
          </w:tcPr>
          <w:p>
            <w:pPr>
              <w:widowControl/>
              <w:spacing w:line="240" w:lineRule="atLeast"/>
              <w:jc w:val="center"/>
              <w:textAlignment w:val="top"/>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阴离子表面活性剂</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阴离子表面活性剂的测定 亚甲蓝分光光度法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GB/T 7494-1987</w:t>
            </w:r>
          </w:p>
        </w:tc>
        <w:tc>
          <w:tcPr>
            <w:tcW w:w="1385"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2" w:type="dxa"/>
            <w:noWrap w:val="0"/>
            <w:vAlign w:val="center"/>
          </w:tcPr>
          <w:p>
            <w:pPr>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25</w:t>
            </w:r>
          </w:p>
        </w:tc>
        <w:tc>
          <w:tcPr>
            <w:tcW w:w="1214" w:type="dxa"/>
            <w:noWrap w:val="0"/>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类大肠菌群</w:t>
            </w:r>
          </w:p>
        </w:tc>
        <w:tc>
          <w:tcPr>
            <w:tcW w:w="3287" w:type="dxa"/>
            <w:noWrap w:val="0"/>
            <w:vAlign w:val="center"/>
          </w:tcPr>
          <w:p>
            <w:pPr>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水质 粪大肠菌群的测定 多管发酵法9.1.1 15管法</w:t>
            </w:r>
          </w:p>
        </w:tc>
        <w:tc>
          <w:tcPr>
            <w:tcW w:w="1924" w:type="dxa"/>
            <w:noWrap w:val="0"/>
            <w:vAlign w:val="center"/>
          </w:tcPr>
          <w:p>
            <w:pPr>
              <w:tabs>
                <w:tab w:val="left" w:pos="9795"/>
              </w:tabs>
              <w:spacing w:line="240" w:lineRule="atLeast"/>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HJ 347.2-2018</w:t>
            </w:r>
          </w:p>
        </w:tc>
        <w:tc>
          <w:tcPr>
            <w:tcW w:w="1385" w:type="dxa"/>
            <w:noWrap w:val="0"/>
            <w:vAlign w:val="center"/>
          </w:tcPr>
          <w:p>
            <w:pPr>
              <w:snapToGrid w:val="0"/>
              <w:jc w:val="center"/>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20MPN/L</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eastAsia"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eastAsia" w:ascii="Times New Roman" w:hAnsi="Times New Roman"/>
          <w:b/>
          <w:bCs/>
          <w:sz w:val="24"/>
          <w:szCs w:val="24"/>
          <w:lang w:val="en-US" w:eastAsia="zh-CN"/>
        </w:rPr>
        <w:t>监测结果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地表水现状监测结果见下表：</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sz w:val="24"/>
          <w:szCs w:val="24"/>
          <w:lang w:val="en-US" w:eastAsia="zh-CN"/>
        </w:rPr>
      </w:pPr>
      <w:r>
        <w:rPr>
          <w:rFonts w:hint="eastAsia" w:ascii="宋体" w:hAnsi="宋体" w:eastAsia="宋体" w:cs="宋体"/>
          <w:b/>
          <w:bCs/>
          <w:color w:val="000000"/>
          <w:sz w:val="24"/>
        </w:rPr>
        <w:t>表</w:t>
      </w:r>
      <w:r>
        <w:rPr>
          <w:rFonts w:hint="eastAsia" w:ascii="Times New Roman" w:hAnsi="Times New Roman" w:cs="Times New Roman"/>
          <w:b/>
          <w:bCs/>
          <w:color w:val="000000"/>
          <w:sz w:val="24"/>
          <w:lang w:val="en-US" w:eastAsia="zh-CN"/>
        </w:rPr>
        <w:t>5.5</w:t>
      </w:r>
      <w:r>
        <w:rPr>
          <w:rFonts w:hint="default" w:ascii="Times New Roman" w:hAnsi="Times New Roman" w:cs="Times New Roman"/>
          <w:b/>
          <w:bCs/>
          <w:color w:val="000000"/>
          <w:sz w:val="24"/>
          <w:lang w:val="en-US" w:eastAsia="zh-CN"/>
        </w:rPr>
        <w:t>-</w:t>
      </w:r>
      <w:r>
        <w:rPr>
          <w:rFonts w:hint="eastAsia" w:ascii="Times New Roman" w:hAnsi="Times New Roman" w:cs="Times New Roman"/>
          <w:b/>
          <w:bCs/>
          <w:color w:val="000000"/>
          <w:sz w:val="24"/>
          <w:lang w:val="en-US" w:eastAsia="zh-CN"/>
        </w:rPr>
        <w:t>3</w:t>
      </w:r>
      <w:r>
        <w:rPr>
          <w:rFonts w:hint="default" w:ascii="Times New Roman" w:hAnsi="Times New Roman" w:eastAsia="宋体" w:cs="Times New Roman"/>
          <w:b/>
          <w:bCs/>
          <w:color w:val="000000"/>
          <w:sz w:val="24"/>
        </w:rPr>
        <w:t xml:space="preserve"> </w:t>
      </w:r>
      <w:r>
        <w:rPr>
          <w:rFonts w:hint="eastAsia" w:ascii="宋体" w:hAnsi="宋体" w:eastAsia="宋体" w:cs="宋体"/>
          <w:b/>
          <w:bCs/>
          <w:color w:val="000000"/>
          <w:sz w:val="24"/>
        </w:rPr>
        <w:t xml:space="preserve"> 地表水现状监测结果一览表</w:t>
      </w:r>
    </w:p>
    <w:tbl>
      <w:tblPr>
        <w:tblStyle w:val="19"/>
        <w:tblW w:w="8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31"/>
        <w:gridCol w:w="1187"/>
        <w:gridCol w:w="1187"/>
        <w:gridCol w:w="1188"/>
        <w:gridCol w:w="1189"/>
        <w:gridCol w:w="1189"/>
        <w:gridCol w:w="1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1531"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检测项目</w:t>
            </w:r>
          </w:p>
        </w:tc>
        <w:tc>
          <w:tcPr>
            <w:tcW w:w="7129" w:type="dxa"/>
            <w:gridSpan w:val="6"/>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153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374"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c>
          <w:tcPr>
            <w:tcW w:w="2377"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c>
          <w:tcPr>
            <w:tcW w:w="2378"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2020.05.09</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2020.05.10</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2020.09.23</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2020.09.24</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2020.05.09</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2020.05.10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ascii="Times New Roman" w:hAnsi="Times New Roman" w:eastAsia="宋体"/>
                <w:kern w:val="0"/>
                <w:sz w:val="21"/>
                <w:szCs w:val="21"/>
              </w:rPr>
              <w:t>pH值</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8.10</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8.23</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7.41</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7.11</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7.96</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COD（mg/L）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28</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31</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34</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42</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29</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BOD（mg/L）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5.8</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6.5</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9.6</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10.5</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5.9</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eastAsia="宋体"/>
                <w:kern w:val="0"/>
                <w:sz w:val="21"/>
                <w:szCs w:val="21"/>
                <w:lang w:val="en-US" w:eastAsia="zh-CN"/>
              </w:rPr>
            </w:pPr>
            <w:r>
              <w:rPr>
                <w:rFonts w:hint="eastAsia" w:ascii="Times New Roman" w:hAnsi="Times New Roman"/>
                <w:kern w:val="0"/>
                <w:sz w:val="21"/>
                <w:szCs w:val="21"/>
                <w:lang w:val="en-US" w:eastAsia="zh-CN"/>
              </w:rPr>
              <w:t>SS</w:t>
            </w:r>
            <w:r>
              <w:rPr>
                <w:rFonts w:hint="eastAsia" w:ascii="Times New Roman" w:hAnsi="Times New Roman"/>
                <w:sz w:val="21"/>
                <w:szCs w:val="21"/>
                <w:vertAlign w:val="baseline"/>
                <w:lang w:val="en-US" w:eastAsia="zh-CN"/>
              </w:rPr>
              <w:t>（mg/L）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6</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10</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9</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6</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全盐量（mg/L）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2030</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2040</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2450</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2430</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1420</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氨氮（mg/L）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2.31</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2.35</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2.46</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2.44</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1.86</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总氮（mg/L）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9.52</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10.9</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9.47</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9.42</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8.80</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9.87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总磷（mg/L）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0.36</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0.37</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0.22</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0.25</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0.36</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氟化物（mg/L）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1.72</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1.33</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1.36</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1.38</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1.16</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氯化物（mg/L）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376</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387</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268</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硫酸盐（mg/L）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785</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860</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463</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挥发酚（mg/L）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0.0010</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0.0035</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0.0009</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氰化物（mg/L）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7" w:type="dxa"/>
            <w:vAlign w:val="center"/>
          </w:tcPr>
          <w:p>
            <w:pPr>
              <w:widowControl/>
              <w:spacing w:line="240" w:lineRule="atLeast"/>
              <w:jc w:val="center"/>
              <w:textAlignment w:val="top"/>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镍（mg/L）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0.0092</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0.0114</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0.00804</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0.00805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汞（mg/L）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7" w:type="dxa"/>
            <w:vAlign w:val="center"/>
          </w:tcPr>
          <w:p>
            <w:pPr>
              <w:widowControl/>
              <w:spacing w:line="240" w:lineRule="atLeast"/>
              <w:jc w:val="center"/>
              <w:textAlignment w:val="top"/>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0.00012</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0.00012</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砷（mg/L）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0.0005</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0.0008</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0.0008</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0.0008</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0.0007</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铅（mg/L）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0.00014</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0.00049</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镉（mg/L）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0.00005</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六价铬（mg/L）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7" w:type="dxa"/>
            <w:vAlign w:val="center"/>
          </w:tcPr>
          <w:p>
            <w:pPr>
              <w:widowControl/>
              <w:spacing w:line="240" w:lineRule="atLeast"/>
              <w:jc w:val="center"/>
              <w:textAlignment w:val="top"/>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铜（mg/L）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7" w:type="dxa"/>
            <w:vAlign w:val="center"/>
          </w:tcPr>
          <w:p>
            <w:pPr>
              <w:widowControl/>
              <w:spacing w:line="240" w:lineRule="atLeast"/>
              <w:jc w:val="center"/>
              <w:textAlignment w:val="top"/>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锌（mg/L）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7" w:type="dxa"/>
            <w:vAlign w:val="center"/>
          </w:tcPr>
          <w:p>
            <w:pPr>
              <w:widowControl/>
              <w:spacing w:line="240" w:lineRule="atLeast"/>
              <w:jc w:val="center"/>
              <w:textAlignment w:val="top"/>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0.023</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石油类（mg/L）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7" w:type="dxa"/>
            <w:vAlign w:val="center"/>
          </w:tcPr>
          <w:p>
            <w:pPr>
              <w:widowControl/>
              <w:spacing w:line="240" w:lineRule="atLeast"/>
              <w:jc w:val="center"/>
              <w:textAlignment w:val="top"/>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硫化物（mg/L）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7" w:type="dxa"/>
            <w:vAlign w:val="center"/>
          </w:tcPr>
          <w:p>
            <w:pPr>
              <w:widowControl/>
              <w:spacing w:line="240" w:lineRule="atLeast"/>
              <w:jc w:val="center"/>
              <w:textAlignment w:val="top"/>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阴离子表面</w:t>
            </w:r>
          </w:p>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活性剂（mg/L）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7" w:type="dxa"/>
            <w:vAlign w:val="center"/>
          </w:tcPr>
          <w:p>
            <w:pPr>
              <w:widowControl/>
              <w:spacing w:line="240" w:lineRule="atLeast"/>
              <w:jc w:val="center"/>
              <w:textAlignment w:val="top"/>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类大肠菌群（20MPN/L）</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16000</w:t>
            </w:r>
          </w:p>
        </w:tc>
        <w:tc>
          <w:tcPr>
            <w:tcW w:w="1187"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24000</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9200</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9200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8660" w:type="dxa"/>
            <w:gridSpan w:val="7"/>
            <w:vAlign w:val="center"/>
          </w:tcPr>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注：ND为未检出；—为未检测项目。</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eastAsia"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eastAsia" w:ascii="Times New Roman" w:hAnsi="Times New Roman"/>
          <w:b/>
          <w:bCs/>
          <w:sz w:val="24"/>
          <w:szCs w:val="24"/>
          <w:lang w:val="en-US" w:eastAsia="zh-CN"/>
        </w:rPr>
        <w:t>评价标准与评价方法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1、评价标准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地表水环境质量现状评价标准见表2.4-3。</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2、评价方法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采用单因子指数法作为评价方法。</w:t>
      </w:r>
    </w:p>
    <w:p>
      <w:pPr>
        <w:keepNext w:val="0"/>
        <w:keepLines w:val="0"/>
        <w:pageBreakBefore w:val="0"/>
        <w:widowControl w:val="0"/>
        <w:numPr>
          <w:ilvl w:val="0"/>
          <w:numId w:val="3"/>
        </w:numPr>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常规因子标准指数计算公式</w:t>
      </w:r>
    </w:p>
    <w:p>
      <w:pPr>
        <w:pStyle w:val="2"/>
        <w:keepNext w:val="0"/>
        <w:keepLines w:val="0"/>
        <w:pageBreakBefore w:val="0"/>
        <w:widowControl w:val="0"/>
        <w:kinsoku/>
        <w:wordWrap/>
        <w:overflowPunct/>
        <w:topLinePunct w:val="0"/>
        <w:autoSpaceDE/>
        <w:autoSpaceDN/>
        <w:bidi w:val="0"/>
        <w:adjustRightInd/>
        <w:snapToGrid w:val="0"/>
        <w:spacing w:line="360" w:lineRule="auto"/>
        <w:ind w:firstLine="840" w:firstLineChars="400"/>
        <w:jc w:val="center"/>
        <w:textAlignment w:val="auto"/>
        <w:rPr>
          <w:rFonts w:hint="default" w:eastAsia="宋体"/>
          <w:lang w:val="en-US" w:eastAsia="zh-CN"/>
        </w:rPr>
      </w:pPr>
      <w:r>
        <w:rPr>
          <w:rFonts w:hint="eastAsia" w:hAnsi="Cambria Math"/>
          <w:i w:val="0"/>
          <w:position w:val="-30"/>
          <w:lang w:val="en-US" w:eastAsia="zh-CN"/>
        </w:rPr>
        <w:object>
          <v:shape id="_x0000_i1025" o:spt="75" type="#_x0000_t75" style="height:42.6pt;width:52.6pt;" o:ole="t" filled="f" o:preferrelative="t" stroked="f" coordsize="21600,21600">
            <v:path/>
            <v:fill on="f" focussize="0,0"/>
            <v:stroke on="f"/>
            <v:imagedata r:id="rId99" o:title=""/>
            <o:lock v:ext="edit" aspectratio="t"/>
            <w10:wrap type="none"/>
            <w10:anchorlock/>
          </v:shape>
          <o:OLEObject Type="Embed" ProgID="Equation.KSEE3" ShapeID="_x0000_i1025" DrawAspect="Content" ObjectID="_1468075725" r:id="rId98">
            <o:LockedField>false</o:LockedField>
          </o:OLEObject>
        </w:object>
      </w:r>
      <w:r>
        <w:rPr>
          <w:rFonts w:hint="eastAsia" w:hAnsi="Cambria Math"/>
          <w:i w:val="0"/>
          <w:lang w:val="en-US" w:eastAsia="zh-CN"/>
        </w:rPr>
        <w:t xml:space="preserve">       </w:t>
      </w:r>
      <w:r>
        <w:rPr>
          <w:rFonts w:hint="default" w:ascii="Times New Roman" w:hAnsi="Times New Roman" w:cs="Times New Roman"/>
          <w:i w:val="0"/>
          <w:sz w:val="24"/>
          <w:szCs w:val="24"/>
          <w:lang w:val="en-US" w:eastAsia="zh-CN"/>
        </w:rPr>
        <w:t>pH</w:t>
      </w:r>
      <w:r>
        <w:rPr>
          <w:rFonts w:hint="eastAsia" w:ascii="Times New Roman" w:hAnsi="Times New Roman" w:cs="Times New Roman"/>
          <w:i w:val="0"/>
          <w:sz w:val="24"/>
          <w:szCs w:val="24"/>
          <w:vertAlign w:val="subscript"/>
          <w:lang w:val="en-US" w:eastAsia="zh-CN"/>
        </w:rPr>
        <w:t>j</w:t>
      </w:r>
      <w:r>
        <w:rPr>
          <w:rFonts w:hint="default" w:ascii="Times New Roman" w:hAnsi="Times New Roman" w:cs="Times New Roman"/>
          <w:i w:val="0"/>
          <w:sz w:val="24"/>
          <w:szCs w:val="24"/>
          <w:lang w:val="en-US" w:eastAsia="zh-CN"/>
        </w:rPr>
        <w:t>≤7.0</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式中：S</w:t>
      </w:r>
      <w:r>
        <w:rPr>
          <w:rFonts w:hint="eastAsia" w:ascii="Times New Roman" w:hAnsi="Times New Roman"/>
          <w:sz w:val="24"/>
          <w:szCs w:val="24"/>
          <w:vertAlign w:val="subscript"/>
          <w:lang w:val="en-US" w:eastAsia="zh-CN"/>
        </w:rPr>
        <w:t>i</w:t>
      </w:r>
      <w:r>
        <w:rPr>
          <w:rFonts w:hint="eastAsia" w:ascii="Times New Roman" w:hAnsi="Times New Roman"/>
          <w:sz w:val="24"/>
          <w:szCs w:val="24"/>
          <w:lang w:val="en-US" w:eastAsia="zh-CN"/>
        </w:rPr>
        <w:t>—污染物单因子指数；</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1200" w:firstLineChars="5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i</w:t>
      </w:r>
      <w:r>
        <w:rPr>
          <w:rFonts w:hint="eastAsia" w:ascii="Times New Roman" w:hAnsi="Times New Roman"/>
          <w:sz w:val="24"/>
          <w:szCs w:val="24"/>
          <w:lang w:val="en-US" w:eastAsia="zh-CN"/>
        </w:rPr>
        <w:t>—i污染物的浓度值，mg/L；</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1200" w:firstLineChars="5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si</w:t>
      </w:r>
      <w:r>
        <w:rPr>
          <w:rFonts w:hint="eastAsia" w:ascii="Times New Roman" w:hAnsi="Times New Roman"/>
          <w:sz w:val="24"/>
          <w:szCs w:val="24"/>
          <w:lang w:val="en-US" w:eastAsia="zh-CN"/>
        </w:rPr>
        <w:t>—i污染物的评价标准值，mg/L。</w:t>
      </w:r>
    </w:p>
    <w:p>
      <w:pPr>
        <w:keepNext w:val="0"/>
        <w:keepLines w:val="0"/>
        <w:pageBreakBefore w:val="0"/>
        <w:widowControl w:val="0"/>
        <w:numPr>
          <w:ilvl w:val="0"/>
          <w:numId w:val="3"/>
        </w:numPr>
        <w:kinsoku/>
        <w:wordWrap/>
        <w:overflowPunct/>
        <w:topLinePunct w:val="0"/>
        <w:autoSpaceDE/>
        <w:autoSpaceDN/>
        <w:bidi w:val="0"/>
        <w:adjustRightInd/>
        <w:snapToGrid w:val="0"/>
        <w:spacing w:line="360" w:lineRule="auto"/>
        <w:ind w:left="0" w:leftChars="0"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pH 值标准指数的计算公式</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hint="default" w:ascii="Times New Roman" w:hAnsi="Times New Roman" w:cs="Times New Roman"/>
          <w:i w:val="0"/>
          <w:sz w:val="24"/>
          <w:szCs w:val="24"/>
          <w:lang w:val="en-US" w:eastAsia="zh-CN"/>
        </w:rPr>
      </w:pPr>
      <w:r>
        <w:rPr>
          <w:rFonts w:hint="eastAsia"/>
          <w:position w:val="-30"/>
          <w:lang w:val="en-US" w:eastAsia="zh-CN"/>
        </w:rPr>
        <w:object>
          <v:shape id="_x0000_i1026" o:spt="75" type="#_x0000_t75" style="height:42.85pt;width:105.9pt;" o:ole="t" filled="f" o:preferrelative="t" stroked="f" coordsize="21600,21600">
            <v:path/>
            <v:fill on="f" focussize="0,0"/>
            <v:stroke on="f"/>
            <v:imagedata r:id="rId101" o:title=""/>
            <o:lock v:ext="edit" aspectratio="t"/>
            <w10:wrap type="none"/>
            <w10:anchorlock/>
          </v:shape>
          <o:OLEObject Type="Embed" ProgID="Equation.KSEE3" ShapeID="_x0000_i1026" DrawAspect="Content" ObjectID="_1468075726" r:id="rId100">
            <o:LockedField>false</o:LockedField>
          </o:OLEObject>
        </w:object>
      </w:r>
      <w:r>
        <w:rPr>
          <w:rFonts w:hint="eastAsia"/>
          <w:lang w:val="en-US" w:eastAsia="zh-CN"/>
        </w:rPr>
        <w:t xml:space="preserve">      </w:t>
      </w:r>
      <w:r>
        <w:rPr>
          <w:rFonts w:hint="default" w:ascii="Times New Roman" w:hAnsi="Times New Roman" w:cs="Times New Roman"/>
          <w:i w:val="0"/>
          <w:sz w:val="24"/>
          <w:szCs w:val="24"/>
          <w:lang w:val="en-US" w:eastAsia="zh-CN"/>
        </w:rPr>
        <w:t>pH</w:t>
      </w:r>
      <w:r>
        <w:rPr>
          <w:rFonts w:hint="eastAsia" w:ascii="Times New Roman" w:hAnsi="Times New Roman" w:cs="Times New Roman"/>
          <w:i w:val="0"/>
          <w:sz w:val="24"/>
          <w:szCs w:val="24"/>
          <w:vertAlign w:val="subscript"/>
          <w:lang w:val="en-US" w:eastAsia="zh-CN"/>
        </w:rPr>
        <w:t>j</w:t>
      </w:r>
      <w:r>
        <w:rPr>
          <w:rFonts w:hint="default" w:ascii="Times New Roman" w:hAnsi="Times New Roman" w:cs="Times New Roman"/>
          <w:i w:val="0"/>
          <w:sz w:val="24"/>
          <w:szCs w:val="24"/>
          <w:lang w:val="en-US" w:eastAsia="zh-CN"/>
        </w:rPr>
        <w:t>≤7.0</w:t>
      </w:r>
    </w:p>
    <w:p>
      <w:pPr>
        <w:jc w:val="center"/>
        <w:rPr>
          <w:rFonts w:hint="default"/>
          <w:lang w:val="en-US" w:eastAsia="zh-CN"/>
        </w:rPr>
      </w:pPr>
      <w:r>
        <w:rPr>
          <w:rFonts w:hint="default"/>
          <w:position w:val="-30"/>
          <w:lang w:val="en-US" w:eastAsia="zh-CN"/>
        </w:rPr>
        <w:object>
          <v:shape id="_x0000_i1027" o:spt="75" type="#_x0000_t75" style="height:41pt;width:100.2pt;" o:ole="t" filled="f" o:preferrelative="t" stroked="f" coordsize="21600,21600">
            <v:path/>
            <v:fill on="f" focussize="0,0"/>
            <v:stroke on="f"/>
            <v:imagedata r:id="rId103" o:title=""/>
            <o:lock v:ext="edit" aspectratio="t"/>
            <w10:wrap type="none"/>
            <w10:anchorlock/>
          </v:shape>
          <o:OLEObject Type="Embed" ProgID="Equation.KSEE3" ShapeID="_x0000_i1027" DrawAspect="Content" ObjectID="_1468075727" r:id="rId102">
            <o:LockedField>false</o:LockedField>
          </o:OLEObject>
        </w:object>
      </w:r>
      <w:r>
        <w:rPr>
          <w:rFonts w:hint="eastAsia"/>
          <w:lang w:val="en-US" w:eastAsia="zh-CN"/>
        </w:rPr>
        <w:t xml:space="preserve">        </w:t>
      </w:r>
      <w:r>
        <w:rPr>
          <w:rFonts w:hint="default" w:ascii="Times New Roman" w:hAnsi="Times New Roman" w:cs="Times New Roman"/>
          <w:i w:val="0"/>
          <w:sz w:val="24"/>
          <w:szCs w:val="24"/>
          <w:lang w:val="en-US" w:eastAsia="zh-CN"/>
        </w:rPr>
        <w:t>pH</w:t>
      </w:r>
      <w:r>
        <w:rPr>
          <w:rFonts w:hint="eastAsia" w:ascii="Times New Roman" w:hAnsi="Times New Roman" w:cs="Times New Roman"/>
          <w:i w:val="0"/>
          <w:sz w:val="24"/>
          <w:szCs w:val="24"/>
          <w:vertAlign w:val="subscript"/>
          <w:lang w:val="en-US" w:eastAsia="zh-CN"/>
        </w:rPr>
        <w:t>j</w:t>
      </w:r>
      <w:r>
        <w:rPr>
          <w:rFonts w:hint="default" w:ascii="Times New Roman" w:hAnsi="Times New Roman" w:cs="Times New Roman"/>
          <w:i w:val="0"/>
          <w:sz w:val="24"/>
          <w:szCs w:val="24"/>
          <w:lang w:val="en-US" w:eastAsia="zh-CN"/>
        </w:rPr>
        <w:t>＞7.0</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式中：S</w:t>
      </w:r>
      <w:r>
        <w:rPr>
          <w:rFonts w:hint="eastAsia" w:ascii="Times New Roman" w:hAnsi="Times New Roman"/>
          <w:sz w:val="24"/>
          <w:szCs w:val="24"/>
          <w:vertAlign w:val="subscript"/>
          <w:lang w:val="en-US" w:eastAsia="zh-CN"/>
        </w:rPr>
        <w:t>pHj</w:t>
      </w:r>
      <w:r>
        <w:rPr>
          <w:rFonts w:hint="eastAsia" w:ascii="Times New Roman" w:hAnsi="Times New Roman"/>
          <w:sz w:val="24"/>
          <w:szCs w:val="24"/>
          <w:lang w:val="en-US" w:eastAsia="zh-CN"/>
        </w:rPr>
        <w:t>—pH单因子指数；</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200" w:firstLine="720" w:firstLineChars="3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pH</w:t>
      </w:r>
      <w:r>
        <w:rPr>
          <w:rFonts w:hint="eastAsia" w:ascii="Times New Roman" w:hAnsi="Times New Roman"/>
          <w:sz w:val="24"/>
          <w:szCs w:val="24"/>
          <w:vertAlign w:val="subscript"/>
          <w:lang w:val="en-US" w:eastAsia="zh-CN"/>
        </w:rPr>
        <w:t>j</w:t>
      </w:r>
      <w:r>
        <w:rPr>
          <w:rFonts w:hint="eastAsia" w:ascii="Times New Roman" w:hAnsi="Times New Roman"/>
          <w:sz w:val="24"/>
          <w:szCs w:val="24"/>
          <w:lang w:val="en-US" w:eastAsia="zh-CN"/>
        </w:rPr>
        <w:t>—j断面pH值；</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200" w:firstLine="720" w:firstLineChars="3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pH</w:t>
      </w:r>
      <w:r>
        <w:rPr>
          <w:rFonts w:hint="eastAsia" w:ascii="Times New Roman" w:hAnsi="Times New Roman"/>
          <w:sz w:val="24"/>
          <w:szCs w:val="24"/>
          <w:vertAlign w:val="subscript"/>
          <w:lang w:val="en-US" w:eastAsia="zh-CN"/>
        </w:rPr>
        <w:t>sd</w:t>
      </w:r>
      <w:r>
        <w:rPr>
          <w:rFonts w:hint="eastAsia" w:ascii="Times New Roman" w:hAnsi="Times New Roman"/>
          <w:sz w:val="24"/>
          <w:szCs w:val="24"/>
          <w:lang w:val="en-US" w:eastAsia="zh-CN"/>
        </w:rPr>
        <w:t>—地面水水质标准中规定的pH值下限；</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200" w:firstLine="720" w:firstLineChars="3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pH</w:t>
      </w:r>
      <w:r>
        <w:rPr>
          <w:rFonts w:hint="eastAsia" w:ascii="Times New Roman" w:hAnsi="Times New Roman"/>
          <w:sz w:val="24"/>
          <w:szCs w:val="24"/>
          <w:vertAlign w:val="subscript"/>
          <w:lang w:val="en-US" w:eastAsia="zh-CN"/>
        </w:rPr>
        <w:t>su</w:t>
      </w:r>
      <w:r>
        <w:rPr>
          <w:rFonts w:hint="default" w:ascii="Times New Roman" w:hAnsi="Times New Roman" w:cs="Times New Roman"/>
          <w:sz w:val="24"/>
          <w:szCs w:val="24"/>
          <w:lang w:val="en-US" w:eastAsia="zh-CN"/>
        </w:rPr>
        <w:t>—</w:t>
      </w:r>
      <w:r>
        <w:rPr>
          <w:rFonts w:hint="eastAsia" w:ascii="Times New Roman" w:hAnsi="Times New Roman"/>
          <w:sz w:val="24"/>
          <w:szCs w:val="24"/>
          <w:lang w:val="en-US" w:eastAsia="zh-CN"/>
        </w:rPr>
        <w:t>地面水水质标准中规定的pH值上限。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地表水环境质量现状评价结果见下表。</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sz w:val="24"/>
          <w:szCs w:val="24"/>
          <w:lang w:val="en-US" w:eastAsia="zh-CN"/>
        </w:rPr>
      </w:pPr>
      <w:r>
        <w:rPr>
          <w:rFonts w:hint="eastAsia" w:ascii="宋体" w:hAnsi="宋体" w:eastAsia="宋体" w:cs="宋体"/>
          <w:b/>
          <w:bCs/>
          <w:color w:val="000000"/>
          <w:sz w:val="24"/>
        </w:rPr>
        <w:t>表</w:t>
      </w:r>
      <w:r>
        <w:rPr>
          <w:rFonts w:hint="eastAsia" w:ascii="Times New Roman" w:hAnsi="Times New Roman" w:cs="Times New Roman"/>
          <w:b/>
          <w:bCs/>
          <w:color w:val="000000"/>
          <w:sz w:val="24"/>
          <w:lang w:val="en-US" w:eastAsia="zh-CN"/>
        </w:rPr>
        <w:t>5.5</w:t>
      </w:r>
      <w:r>
        <w:rPr>
          <w:rFonts w:hint="default" w:ascii="Times New Roman" w:hAnsi="Times New Roman" w:cs="Times New Roman"/>
          <w:b/>
          <w:bCs/>
          <w:color w:val="000000"/>
          <w:sz w:val="24"/>
          <w:lang w:val="en-US" w:eastAsia="zh-CN"/>
        </w:rPr>
        <w:t>-</w:t>
      </w:r>
      <w:r>
        <w:rPr>
          <w:rFonts w:hint="eastAsia" w:ascii="Times New Roman" w:hAnsi="Times New Roman" w:cs="Times New Roman"/>
          <w:b/>
          <w:bCs/>
          <w:color w:val="000000"/>
          <w:sz w:val="24"/>
          <w:lang w:val="en-US" w:eastAsia="zh-CN"/>
        </w:rPr>
        <w:t>4</w:t>
      </w:r>
      <w:r>
        <w:rPr>
          <w:rFonts w:hint="default" w:ascii="Times New Roman" w:hAnsi="Times New Roman" w:eastAsia="宋体" w:cs="Times New Roman"/>
          <w:b/>
          <w:bCs/>
          <w:color w:val="000000"/>
          <w:sz w:val="24"/>
        </w:rPr>
        <w:t xml:space="preserve"> </w:t>
      </w:r>
      <w:r>
        <w:rPr>
          <w:rFonts w:hint="eastAsia" w:ascii="宋体" w:hAnsi="宋体" w:eastAsia="宋体" w:cs="宋体"/>
          <w:b/>
          <w:bCs/>
          <w:color w:val="000000"/>
          <w:sz w:val="24"/>
        </w:rPr>
        <w:t xml:space="preserve"> 地表水环境质量现状评价结果一览表</w:t>
      </w:r>
    </w:p>
    <w:tbl>
      <w:tblPr>
        <w:tblStyle w:val="19"/>
        <w:tblW w:w="8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31"/>
        <w:gridCol w:w="1187"/>
        <w:gridCol w:w="1187"/>
        <w:gridCol w:w="1188"/>
        <w:gridCol w:w="1189"/>
        <w:gridCol w:w="1189"/>
        <w:gridCol w:w="1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jc w:val="center"/>
        </w:trPr>
        <w:tc>
          <w:tcPr>
            <w:tcW w:w="1531"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检测项目</w:t>
            </w:r>
          </w:p>
        </w:tc>
        <w:tc>
          <w:tcPr>
            <w:tcW w:w="7129" w:type="dxa"/>
            <w:gridSpan w:val="6"/>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153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374"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c>
          <w:tcPr>
            <w:tcW w:w="2377"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c>
          <w:tcPr>
            <w:tcW w:w="2378"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2020.05.09</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2020.05.10</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2020.09.23</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2020.09.24</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2020.05.09</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2020.05.10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ascii="Times New Roman" w:hAnsi="Times New Roman" w:eastAsia="宋体"/>
                <w:kern w:val="0"/>
                <w:sz w:val="21"/>
                <w:szCs w:val="21"/>
              </w:rPr>
              <w:t>pH值</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0.55</w:t>
            </w:r>
          </w:p>
        </w:tc>
        <w:tc>
          <w:tcPr>
            <w:tcW w:w="11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0.615</w:t>
            </w:r>
          </w:p>
        </w:tc>
        <w:tc>
          <w:tcPr>
            <w:tcW w:w="11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0.205</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0.055</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0.48</w:t>
            </w:r>
          </w:p>
        </w:tc>
        <w:tc>
          <w:tcPr>
            <w:tcW w:w="118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COD</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0.70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0.78</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0.85</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1.05</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0.73</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BOD</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0.58</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0.65</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0.96</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1.05</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0.59</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eastAsia="宋体"/>
                <w:kern w:val="0"/>
                <w:sz w:val="21"/>
                <w:szCs w:val="21"/>
                <w:lang w:val="en-US" w:eastAsia="zh-CN"/>
              </w:rPr>
            </w:pPr>
            <w:r>
              <w:rPr>
                <w:rFonts w:hint="eastAsia" w:ascii="Times New Roman" w:hAnsi="Times New Roman"/>
                <w:kern w:val="0"/>
                <w:sz w:val="21"/>
                <w:szCs w:val="21"/>
                <w:lang w:val="en-US" w:eastAsia="zh-CN"/>
              </w:rPr>
              <w:t>SS</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0.06</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0.09</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0.06</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全盐量</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2.03</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2.04</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2.45</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2.43</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1.42</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氨氮</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1.16</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1.18</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1.23</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1.22</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0.93</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总氮</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4.76</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5.45</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4.74</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4.71</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4.40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4.94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总磷</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0.93</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0.55</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0.63</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氟化物</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1.15</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0.89</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0.91</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0.92</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0.77</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氯化物</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1.50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1.55</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1.07</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硫酸盐</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3.14</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3.44</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1.85</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挥发酚</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0.04</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vertAlign w:val="baseline"/>
                <w:lang w:val="en-US" w:eastAsia="zh-CN"/>
              </w:rPr>
            </w:pPr>
            <w:r>
              <w:rPr>
                <w:rFonts w:hint="default" w:ascii="Times New Roman" w:hAnsi="Times New Roman" w:eastAsia="宋体" w:cs="Times New Roman"/>
                <w:b w:val="0"/>
                <w:bCs w:val="0"/>
                <w:i w:val="0"/>
                <w:iCs w:val="0"/>
                <w:color w:val="000000"/>
                <w:kern w:val="0"/>
                <w:sz w:val="21"/>
                <w:szCs w:val="21"/>
                <w:u w:val="none"/>
                <w:lang w:val="en-US" w:eastAsia="zh-CN" w:bidi="ar"/>
              </w:rPr>
              <w:t>5.00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vertAlign w:val="baseline"/>
                <w:lang w:val="en-US" w:eastAsia="zh-CN"/>
              </w:rPr>
            </w:pPr>
            <w:r>
              <w:rPr>
                <w:rFonts w:hint="default" w:ascii="Times New Roman" w:hAnsi="Times New Roman" w:eastAsia="宋体" w:cs="Times New Roman"/>
                <w:b w:val="0"/>
                <w:bCs w:val="0"/>
                <w:i w:val="0"/>
                <w:iCs w:val="0"/>
                <w:color w:val="000000"/>
                <w:kern w:val="0"/>
                <w:sz w:val="21"/>
                <w:szCs w:val="21"/>
                <w:u w:val="none"/>
                <w:lang w:val="en-US" w:eastAsia="zh-CN" w:bidi="ar"/>
              </w:rPr>
              <w:t>5.00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氰化物</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镍</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0.46</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0.57</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0.40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汞</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砷</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铅</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镉</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六价铬</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铜</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锌</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石油类</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硫化物</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阴离子表面</w:t>
            </w:r>
          </w:p>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活性剂</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531" w:type="dxa"/>
            <w:vAlign w:val="center"/>
          </w:tcPr>
          <w:p>
            <w:pPr>
              <w:widowControl/>
              <w:spacing w:line="240" w:lineRule="atLeast"/>
              <w:jc w:val="center"/>
              <w:textAlignment w:val="top"/>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类大肠菌群</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0.40</w:t>
            </w:r>
          </w:p>
        </w:tc>
        <w:tc>
          <w:tcPr>
            <w:tcW w:w="1187"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0.60</w:t>
            </w:r>
          </w:p>
        </w:tc>
        <w:tc>
          <w:tcPr>
            <w:tcW w:w="1188"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0.23</w:t>
            </w:r>
          </w:p>
        </w:tc>
        <w:tc>
          <w:tcPr>
            <w:tcW w:w="1189" w:type="dxa"/>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8660" w:type="dxa"/>
            <w:gridSpan w:val="7"/>
            <w:vAlign w:val="center"/>
          </w:tcPr>
          <w:p>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注：未检出因子按检出限一半计。</w:t>
            </w:r>
          </w:p>
        </w:tc>
      </w:tr>
    </w:tbl>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由上表可知，氨氮、总氮、全盐量、氟化物、氯化物、硫酸盐超标不能满足《地表水环境质量标准》（GB3838-2002） 中的V类标准要求。主要原因是附近村庄生活垃圾随意堆放、生活污水随意排放及化肥农药的过量使用。</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eastAsia" w:ascii="Times New Roman" w:hAnsi="Times New Roman"/>
          <w:b/>
          <w:bCs/>
          <w:sz w:val="24"/>
          <w:szCs w:val="24"/>
          <w:lang w:val="en-US" w:eastAsia="zh-CN"/>
        </w:rPr>
        <w:t>区域地表水环境治理规划</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根据《2018年全县污染防治攻坚行动实施方案》，桓台县主要从以下方面进行地表水治理。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1、加强工业点源污染深度治理和环境管理。按照断面全面达标要求，对工业企业实施全盐量、总氮和氟化物等指标开展深度治理，重点对公司全盐量深度治理、山东东岳化工有限公司氟化物和汞指标深度治理。加强全县涉水企业环境管理，厂区内设置雨污管网和污水处理工艺图，明确各项标识。积极推进十大重点行业清 洁化改造及中水回用，实现污染减排。建设各类工业集聚区和化工园区独立污水集中处理设施，开工建设汇丰化工园区、马桥镇化工园区、淄博东岳经济开发区污水处理厂工作。建立排入市政管网企业排水信息台账，组织纳管企业申办排入排水管网许可证，并与污水处理厂签订污水处理协议，纳管企业污水经预处理达标后方可排放。严格企业污染物排放标准，有行业标准限值的执行行业污染物排放标准，没有行业标准限值的执行《污水排入城镇下水道水质标准》，委托园区污水处理厂处理污水的企业可执行协议标准，并按“一企一管”独立建设排水管道。</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2、开展全县黑臭水体和黑臭坑塘整治专项行动。全面摸排辖区主要河流及支流、农村小河流和各类坑塘、蓄水池，制定黑臭水体和黑臭坑塘整治方案，全面消除辖区内黑臭水体和坑塘，确保各类地表水水质达标。3月底完成调查工作，5月底制定整改方案，10月份完成整改。</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default" w:ascii="Times New Roman" w:hAnsi="Times New Roman" w:cs="Times New Roman"/>
          <w:sz w:val="24"/>
          <w:szCs w:val="24"/>
          <w:lang w:val="en-US" w:eastAsia="zh-CN"/>
        </w:rPr>
        <w:t>3、</w:t>
      </w:r>
      <w:r>
        <w:rPr>
          <w:rFonts w:hint="eastAsia"/>
          <w:sz w:val="24"/>
          <w:szCs w:val="24"/>
          <w:lang w:val="en-US" w:eastAsia="zh-CN"/>
        </w:rPr>
        <w:t>开展集中式饮用水水源地整治专项行动。开展集中式饮用水水源地安全保障达标建设和规范化建设工作，水源地水量水质达标，完成保护区建设、监控能力建设和风险防控与应急能力等建设任务。完成水源保护区划定，严格依法清理整治饮用水水源保护区内违法违规项目。开展重污染化工集聚区污染防控和水环境监测井建设工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default" w:ascii="Times New Roman" w:hAnsi="Times New Roman" w:cs="Times New Roman"/>
          <w:sz w:val="24"/>
          <w:szCs w:val="24"/>
          <w:lang w:val="en-US" w:eastAsia="zh-CN"/>
        </w:rPr>
        <w:t>4、</w:t>
      </w:r>
      <w:r>
        <w:rPr>
          <w:rFonts w:hint="eastAsia"/>
          <w:sz w:val="24"/>
          <w:szCs w:val="24"/>
          <w:lang w:val="en-US" w:eastAsia="zh-CN"/>
        </w:rPr>
        <w:t>完善污水处理基础设施建设。加强城镇污水处理厂建设和运行管理，对环科污水处理厂实施达标工程。加快推进全县雨污分流改造，完善配套污水管网，封堵沿河入河排污口。提升城镇污水处理厂运行管理水平，污水处理厂要安装污泥浓度、溶解氧、氧化还原点位等各类工艺参数仪表并与中控系统联网，每天开展人工监测比对校正，建立污水、污泥处理处置管理台账。</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ascii="Times New Roman" w:hAnsi="Times New Roman" w:cs="Times New Roman"/>
          <w:sz w:val="24"/>
          <w:szCs w:val="24"/>
          <w:lang w:val="en-US" w:eastAsia="zh-CN"/>
        </w:rPr>
        <w:t>5、</w:t>
      </w:r>
      <w:r>
        <w:rPr>
          <w:rFonts w:hint="default"/>
          <w:sz w:val="24"/>
          <w:szCs w:val="24"/>
          <w:lang w:val="en-US" w:eastAsia="zh-CN"/>
        </w:rPr>
        <w:t>全力打造“三横五纵两湖六湿地”生态水系，实施乌河桓台城区段生态修复工程。完成乌河入湖口人工湿地工程、乌河河道走廊人工湿地城区段建设。打造城镇污水处理厂</w:t>
      </w:r>
      <w:r>
        <w:rPr>
          <w:rFonts w:hint="default" w:ascii="Times New Roman" w:hAnsi="Times New Roman" w:cs="Times New Roman"/>
          <w:sz w:val="24"/>
          <w:szCs w:val="24"/>
          <w:lang w:val="en-US" w:eastAsia="zh-CN"/>
        </w:rPr>
        <w:t>+</w:t>
      </w:r>
      <w:r>
        <w:rPr>
          <w:rFonts w:hint="default"/>
          <w:sz w:val="24"/>
          <w:szCs w:val="24"/>
          <w:lang w:val="en-US" w:eastAsia="zh-CN"/>
        </w:rPr>
        <w:t>人工湿地水质处理综合体，加强已建成人工湿地的运行管理，完成出水口水质自动监控设施安装。实施主要支流及农村小河流环境综合治理和生态修复工程，改善沿河生态环境。</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ascii="Times New Roman" w:hAnsi="Times New Roman" w:cs="Times New Roman"/>
          <w:sz w:val="24"/>
          <w:szCs w:val="24"/>
          <w:lang w:val="en-US" w:eastAsia="zh-CN"/>
        </w:rPr>
        <w:t>6、</w:t>
      </w:r>
      <w:r>
        <w:rPr>
          <w:rFonts w:hint="default"/>
          <w:sz w:val="24"/>
          <w:szCs w:val="24"/>
          <w:lang w:val="en-US" w:eastAsia="zh-CN"/>
        </w:rPr>
        <w:t>加强水环境质量和重点污染源排放环境监督管理。对河流出境断面主要指标每日监测一次，每月开展一次</w:t>
      </w:r>
      <w:r>
        <w:rPr>
          <w:rFonts w:hint="default" w:ascii="Times New Roman" w:hAnsi="Times New Roman" w:cs="Times New Roman"/>
          <w:sz w:val="24"/>
          <w:szCs w:val="24"/>
          <w:lang w:val="en-US" w:eastAsia="zh-CN"/>
        </w:rPr>
        <w:t>21</w:t>
      </w:r>
      <w:r>
        <w:rPr>
          <w:rFonts w:hint="default"/>
          <w:sz w:val="24"/>
          <w:szCs w:val="24"/>
          <w:lang w:val="en-US" w:eastAsia="zh-CN"/>
        </w:rPr>
        <w:t>项指标分析，严格落实超标即应急工作程序和快速溯源法，及时开展加密监测。提高重点直排企业和各类污水集中处理设施污染物排放限值，入河水质各类指标应至少达到地表水环境质量</w:t>
      </w:r>
      <w:r>
        <w:rPr>
          <w:rFonts w:hint="default" w:ascii="Times New Roman" w:hAnsi="Times New Roman" w:cs="Times New Roman"/>
          <w:sz w:val="24"/>
          <w:szCs w:val="24"/>
          <w:lang w:val="en-US" w:eastAsia="zh-CN"/>
        </w:rPr>
        <w:t>Ⅴ</w:t>
      </w:r>
      <w:r>
        <w:rPr>
          <w:rFonts w:hint="default"/>
          <w:sz w:val="24"/>
          <w:szCs w:val="24"/>
          <w:lang w:val="en-US" w:eastAsia="zh-CN"/>
        </w:rPr>
        <w:t>类水标准。通过加强污水处理设施运行管理、限产限排和末端污染治理等措施确保排水稳定达标。组织纳管企业领取排入排水管网许可证，建立纳管企业排放台账，杜绝城镇污水处理厂受高浓进水冲击。对排水企业和河流水质超标问题得不到解决的辖区党委、政府负责人和河长按照相关办法予以问责。</w:t>
      </w: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12" w:name="_Toc27800"/>
      <w:bookmarkStart w:id="13" w:name="_Toc24803"/>
      <w:r>
        <w:rPr>
          <w:rFonts w:hint="eastAsia" w:ascii="Times New Roman" w:hAnsi="Times New Roman" w:eastAsia="宋体" w:cs="Times New Roman"/>
          <w:lang w:val="en-US" w:eastAsia="zh-CN"/>
        </w:rPr>
        <w:t>5</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6</w:t>
      </w:r>
      <w:r>
        <w:rPr>
          <w:rFonts w:hint="eastAsia" w:ascii="宋体" w:hAnsi="宋体" w:eastAsia="宋体" w:cs="宋体"/>
          <w:lang w:val="en-US" w:eastAsia="zh-CN"/>
        </w:rPr>
        <w:t>地下水环境质量现状调查与评价</w:t>
      </w:r>
      <w:bookmarkEnd w:id="12"/>
      <w:bookmarkEnd w:id="13"/>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bCs/>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b/>
          <w:bCs/>
          <w:sz w:val="24"/>
          <w:szCs w:val="24"/>
          <w:lang w:val="en-US" w:eastAsia="zh-CN"/>
        </w:rPr>
        <w:t>地下水环境质量现状监测</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cs="Times New Roman"/>
          <w:b w:val="0"/>
          <w:bCs w:val="0"/>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b/>
          <w:bCs/>
          <w:sz w:val="24"/>
          <w:szCs w:val="24"/>
          <w:lang w:val="en-US" w:eastAsia="zh-CN"/>
        </w:rPr>
        <w:t>监测布点</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根据评价区域内地下水流向为由南向北，结合厂址附近的敏感点，拟在厂址 周围共设4个地下水水质监测点和7个地下水水位监测点，具体监测点位布设详见表5.6-1和图5.6-1。</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hint="eastAsia"/>
          <w:lang w:val="en-US" w:eastAsia="zh-CN"/>
        </w:rPr>
      </w:pPr>
      <w:r>
        <w:rPr>
          <w:rFonts w:hint="eastAsia"/>
          <w:b/>
          <w:bCs/>
          <w:lang w:val="en-US" w:eastAsia="zh-CN"/>
        </w:rPr>
        <w:t>表</w:t>
      </w:r>
      <w:r>
        <w:rPr>
          <w:rFonts w:hint="default" w:ascii="Times New Roman" w:hAnsi="Times New Roman" w:cs="Times New Roman"/>
          <w:b/>
          <w:bCs/>
          <w:lang w:val="en-US" w:eastAsia="zh-CN"/>
        </w:rPr>
        <w:t>5.6-1</w:t>
      </w:r>
      <w:r>
        <w:rPr>
          <w:rFonts w:hint="eastAsia"/>
          <w:b/>
          <w:bCs/>
          <w:lang w:val="en-US" w:eastAsia="zh-CN"/>
        </w:rPr>
        <w:t xml:space="preserve"> 地下水现状监测布点一览表</w:t>
      </w:r>
    </w:p>
    <w:tbl>
      <w:tblPr>
        <w:tblStyle w:val="18"/>
        <w:tblW w:w="83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17"/>
        <w:gridCol w:w="2692"/>
        <w:gridCol w:w="1695"/>
        <w:gridCol w:w="1440"/>
        <w:gridCol w:w="1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jc w:val="center"/>
        </w:trPr>
        <w:tc>
          <w:tcPr>
            <w:tcW w:w="617" w:type="dxa"/>
            <w:noWrap w:val="0"/>
            <w:vAlign w:val="center"/>
          </w:tcPr>
          <w:p>
            <w:pPr>
              <w:keepNext w:val="0"/>
              <w:keepLines w:val="0"/>
              <w:pageBreakBefore w:val="0"/>
              <w:kinsoku/>
              <w:wordWrap/>
              <w:topLinePunct w:val="0"/>
              <w:autoSpaceDE/>
              <w:autoSpaceDN/>
              <w:bidi w:val="0"/>
              <w:snapToGrid w:val="0"/>
              <w:spacing w:line="240" w:lineRule="auto"/>
              <w:jc w:val="center"/>
              <w:rPr>
                <w:rFonts w:hint="eastAsia" w:ascii="Times New Roman" w:hAnsi="Times New Roman" w:eastAsia="宋体"/>
                <w:color w:val="000000"/>
              </w:rPr>
            </w:pPr>
            <w:r>
              <w:rPr>
                <w:rFonts w:hint="eastAsia" w:ascii="Times New Roman" w:hAnsi="Times New Roman" w:eastAsia="宋体"/>
                <w:color w:val="000000"/>
              </w:rPr>
              <w:t>编号</w:t>
            </w:r>
          </w:p>
        </w:tc>
        <w:tc>
          <w:tcPr>
            <w:tcW w:w="2692" w:type="dxa"/>
            <w:noWrap w:val="0"/>
            <w:vAlign w:val="center"/>
          </w:tcPr>
          <w:p>
            <w:pPr>
              <w:keepNext w:val="0"/>
              <w:keepLines w:val="0"/>
              <w:pageBreakBefore w:val="0"/>
              <w:kinsoku/>
              <w:wordWrap/>
              <w:topLinePunct w:val="0"/>
              <w:autoSpaceDE/>
              <w:autoSpaceDN/>
              <w:bidi w:val="0"/>
              <w:snapToGrid w:val="0"/>
              <w:spacing w:line="240" w:lineRule="auto"/>
              <w:jc w:val="center"/>
              <w:rPr>
                <w:rFonts w:hint="eastAsia" w:ascii="Times New Roman" w:hAnsi="Times New Roman" w:eastAsia="宋体"/>
                <w:color w:val="000000"/>
              </w:rPr>
            </w:pPr>
            <w:r>
              <w:rPr>
                <w:rFonts w:hint="eastAsia" w:ascii="Times New Roman" w:hAnsi="Times New Roman" w:eastAsia="宋体"/>
                <w:color w:val="000000"/>
              </w:rPr>
              <w:t>测点名称</w:t>
            </w:r>
          </w:p>
        </w:tc>
        <w:tc>
          <w:tcPr>
            <w:tcW w:w="1695" w:type="dxa"/>
            <w:noWrap w:val="0"/>
            <w:vAlign w:val="center"/>
          </w:tcPr>
          <w:p>
            <w:pPr>
              <w:keepNext w:val="0"/>
              <w:keepLines w:val="0"/>
              <w:pageBreakBefore w:val="0"/>
              <w:kinsoku/>
              <w:wordWrap/>
              <w:topLinePunct w:val="0"/>
              <w:autoSpaceDE/>
              <w:autoSpaceDN/>
              <w:bidi w:val="0"/>
              <w:snapToGrid w:val="0"/>
              <w:spacing w:line="240" w:lineRule="auto"/>
              <w:jc w:val="center"/>
              <w:rPr>
                <w:rFonts w:hint="eastAsia" w:ascii="Times New Roman" w:hAnsi="Times New Roman" w:eastAsia="宋体"/>
                <w:color w:val="000000"/>
              </w:rPr>
            </w:pPr>
            <w:r>
              <w:rPr>
                <w:rFonts w:hint="eastAsia" w:ascii="Times New Roman" w:hAnsi="Times New Roman" w:eastAsia="宋体"/>
                <w:color w:val="000000"/>
              </w:rPr>
              <w:t>相对厂址方位</w:t>
            </w:r>
          </w:p>
        </w:tc>
        <w:tc>
          <w:tcPr>
            <w:tcW w:w="1440" w:type="dxa"/>
            <w:noWrap w:val="0"/>
            <w:vAlign w:val="center"/>
          </w:tcPr>
          <w:p>
            <w:pPr>
              <w:keepNext w:val="0"/>
              <w:keepLines w:val="0"/>
              <w:pageBreakBefore w:val="0"/>
              <w:kinsoku/>
              <w:wordWrap/>
              <w:topLinePunct w:val="0"/>
              <w:autoSpaceDE/>
              <w:autoSpaceDN/>
              <w:bidi w:val="0"/>
              <w:snapToGrid w:val="0"/>
              <w:spacing w:line="240" w:lineRule="auto"/>
              <w:jc w:val="center"/>
              <w:rPr>
                <w:rFonts w:hint="eastAsia" w:ascii="Times New Roman" w:hAnsi="Times New Roman" w:eastAsia="宋体"/>
                <w:color w:val="000000"/>
              </w:rPr>
            </w:pPr>
            <w:r>
              <w:rPr>
                <w:rFonts w:hint="eastAsia" w:ascii="Times New Roman" w:hAnsi="Times New Roman" w:eastAsia="宋体"/>
                <w:color w:val="000000"/>
              </w:rPr>
              <w:t>距厂址距离(m)</w:t>
            </w:r>
          </w:p>
        </w:tc>
        <w:tc>
          <w:tcPr>
            <w:tcW w:w="1922" w:type="dxa"/>
            <w:noWrap w:val="0"/>
            <w:vAlign w:val="center"/>
          </w:tcPr>
          <w:p>
            <w:pPr>
              <w:keepNext w:val="0"/>
              <w:keepLines w:val="0"/>
              <w:pageBreakBefore w:val="0"/>
              <w:kinsoku/>
              <w:wordWrap/>
              <w:topLinePunct w:val="0"/>
              <w:autoSpaceDE/>
              <w:autoSpaceDN/>
              <w:bidi w:val="0"/>
              <w:snapToGrid w:val="0"/>
              <w:spacing w:line="240" w:lineRule="auto"/>
              <w:jc w:val="center"/>
              <w:rPr>
                <w:rFonts w:hint="eastAsia" w:ascii="Times New Roman" w:hAnsi="Times New Roman" w:eastAsia="宋体"/>
                <w:color w:val="000000"/>
              </w:rPr>
            </w:pPr>
            <w:r>
              <w:rPr>
                <w:rFonts w:hint="eastAsia" w:ascii="Times New Roman" w:hAnsi="Times New Roman" w:eastAsia="宋体"/>
                <w:color w:val="000000"/>
                <w:highlight w:val="none"/>
              </w:rPr>
              <w:t>布点意义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617" w:type="dxa"/>
            <w:noWrap w:val="0"/>
            <w:vAlign w:val="center"/>
          </w:tcPr>
          <w:p>
            <w:pPr>
              <w:pStyle w:val="22"/>
              <w:keepNext w:val="0"/>
              <w:keepLines w:val="0"/>
              <w:pageBreakBefore w:val="0"/>
              <w:kinsoku/>
              <w:wordWrap/>
              <w:topLinePunct w:val="0"/>
              <w:autoSpaceDE/>
              <w:autoSpaceDN/>
              <w:bidi w:val="0"/>
              <w:snapToGrid w:val="0"/>
              <w:spacing w:line="240" w:lineRule="auto"/>
              <w:rPr>
                <w:rFonts w:hint="eastAsia" w:ascii="Times New Roman" w:hAnsi="Times New Roman" w:eastAsia="宋体" w:cs="Arial Unicode MS"/>
                <w:highlight w:val="none"/>
              </w:rPr>
            </w:pPr>
            <w:r>
              <w:rPr>
                <w:rFonts w:hint="eastAsia" w:ascii="Times New Roman" w:hAnsi="Times New Roman" w:eastAsia="宋体" w:cs="Arial Unicode MS"/>
                <w:highlight w:val="none"/>
                <w:lang w:val="en-US" w:eastAsia="zh-CN"/>
              </w:rPr>
              <w:t>1</w:t>
            </w:r>
            <w:r>
              <w:rPr>
                <w:rFonts w:hint="eastAsia" w:ascii="Times New Roman" w:hAnsi="Times New Roman" w:eastAsia="宋体" w:cs="Arial Unicode MS"/>
                <w:highlight w:val="none"/>
                <w:lang w:eastAsia="zh-CN"/>
              </w:rPr>
              <w:t>#</w:t>
            </w:r>
          </w:p>
        </w:tc>
        <w:tc>
          <w:tcPr>
            <w:tcW w:w="2692" w:type="dxa"/>
            <w:noWrap w:val="0"/>
            <w:vAlign w:val="center"/>
          </w:tcPr>
          <w:p>
            <w:pPr>
              <w:pStyle w:val="22"/>
              <w:keepNext w:val="0"/>
              <w:keepLines w:val="0"/>
              <w:pageBreakBefore w:val="0"/>
              <w:kinsoku/>
              <w:wordWrap/>
              <w:topLinePunct w:val="0"/>
              <w:autoSpaceDE/>
              <w:autoSpaceDN/>
              <w:bidi w:val="0"/>
              <w:snapToGrid w:val="0"/>
              <w:spacing w:line="240" w:lineRule="auto"/>
              <w:rPr>
                <w:rFonts w:hint="default" w:ascii="Times New Roman" w:hAnsi="Times New Roman" w:eastAsia="宋体"/>
                <w:lang w:val="en-US" w:eastAsia="zh-CN"/>
              </w:rPr>
            </w:pPr>
            <w:r>
              <w:rPr>
                <w:rFonts w:hint="eastAsia" w:ascii="Times New Roman" w:hAnsi="Times New Roman" w:eastAsia="宋体"/>
                <w:lang w:val="en-US" w:eastAsia="zh-CN"/>
              </w:rPr>
              <w:t>厂址</w:t>
            </w:r>
          </w:p>
        </w:tc>
        <w:tc>
          <w:tcPr>
            <w:tcW w:w="1695"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w:t>
            </w:r>
          </w:p>
        </w:tc>
        <w:tc>
          <w:tcPr>
            <w:tcW w:w="1440"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w:t>
            </w:r>
          </w:p>
        </w:tc>
        <w:tc>
          <w:tcPr>
            <w:tcW w:w="1922" w:type="dxa"/>
            <w:noWrap w:val="0"/>
            <w:vAlign w:val="center"/>
          </w:tcPr>
          <w:p>
            <w:pPr>
              <w:pStyle w:val="22"/>
              <w:keepNext w:val="0"/>
              <w:keepLines w:val="0"/>
              <w:pageBreakBefore w:val="0"/>
              <w:kinsoku/>
              <w:wordWrap/>
              <w:topLinePunct w:val="0"/>
              <w:autoSpaceDE/>
              <w:autoSpaceDN/>
              <w:bidi w:val="0"/>
              <w:snapToGrid w:val="0"/>
              <w:spacing w:line="240" w:lineRule="auto"/>
              <w:rPr>
                <w:rFonts w:hint="eastAsia" w:ascii="Times New Roman" w:hAnsi="Times New Roman" w:eastAsia="宋体" w:cs="Arial Unicode MS"/>
              </w:rPr>
            </w:pPr>
            <w:r>
              <w:rPr>
                <w:rFonts w:hint="eastAsia" w:ascii="Times New Roman" w:hAnsi="Times New Roman" w:eastAsia="宋体" w:cs="Arial Unicode MS"/>
              </w:rPr>
              <w:t>了解厂址</w:t>
            </w:r>
            <w:r>
              <w:rPr>
                <w:rFonts w:hint="eastAsia" w:ascii="Times New Roman" w:hAnsi="Times New Roman" w:eastAsia="宋体" w:cs="Arial Unicode MS"/>
                <w:lang w:eastAsia="zh-CN"/>
              </w:rPr>
              <w:t>处</w:t>
            </w:r>
            <w:r>
              <w:rPr>
                <w:rFonts w:hint="eastAsia" w:ascii="Times New Roman" w:hAnsi="Times New Roman" w:eastAsia="宋体" w:cs="Arial Unicode MS"/>
              </w:rPr>
              <w:t>地下水</w:t>
            </w:r>
            <w:r>
              <w:rPr>
                <w:rFonts w:hint="eastAsia" w:ascii="Times New Roman" w:hAnsi="Times New Roman" w:eastAsia="宋体" w:cs="Arial Unicode MS"/>
                <w:lang w:eastAsia="zh-CN"/>
              </w:rPr>
              <w:t>水质及水位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6" w:hRule="atLeast"/>
          <w:jc w:val="center"/>
        </w:trPr>
        <w:tc>
          <w:tcPr>
            <w:tcW w:w="617" w:type="dxa"/>
            <w:noWrap w:val="0"/>
            <w:vAlign w:val="center"/>
          </w:tcPr>
          <w:p>
            <w:pPr>
              <w:pStyle w:val="22"/>
              <w:keepNext w:val="0"/>
              <w:keepLines w:val="0"/>
              <w:pageBreakBefore w:val="0"/>
              <w:kinsoku/>
              <w:wordWrap/>
              <w:topLinePunct w:val="0"/>
              <w:autoSpaceDE/>
              <w:autoSpaceDN/>
              <w:bidi w:val="0"/>
              <w:snapToGrid w:val="0"/>
              <w:spacing w:line="240" w:lineRule="auto"/>
              <w:rPr>
                <w:rFonts w:hint="eastAsia" w:ascii="Times New Roman" w:hAnsi="Times New Roman" w:eastAsia="宋体" w:cs="Arial Unicode MS"/>
                <w:highlight w:val="none"/>
                <w:lang w:eastAsia="zh-CN"/>
              </w:rPr>
            </w:pPr>
            <w:r>
              <w:rPr>
                <w:rFonts w:hint="eastAsia" w:ascii="Times New Roman" w:hAnsi="Times New Roman" w:eastAsia="宋体" w:cs="Arial Unicode MS"/>
                <w:highlight w:val="none"/>
                <w:lang w:val="en-US" w:eastAsia="zh-CN"/>
              </w:rPr>
              <w:t>2</w:t>
            </w:r>
            <w:r>
              <w:rPr>
                <w:rFonts w:hint="eastAsia" w:ascii="Times New Roman" w:hAnsi="Times New Roman" w:eastAsia="宋体" w:cs="Arial Unicode MS"/>
                <w:highlight w:val="none"/>
                <w:lang w:eastAsia="zh-CN"/>
              </w:rPr>
              <w:t>#</w:t>
            </w:r>
          </w:p>
        </w:tc>
        <w:tc>
          <w:tcPr>
            <w:tcW w:w="2692" w:type="dxa"/>
            <w:noWrap w:val="0"/>
            <w:vAlign w:val="center"/>
          </w:tcPr>
          <w:p>
            <w:pPr>
              <w:pStyle w:val="14"/>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lang w:val="en-US" w:eastAsia="zh-CN"/>
              </w:rPr>
            </w:pPr>
            <w:r>
              <w:rPr>
                <w:rFonts w:hint="eastAsia" w:ascii="Times New Roman" w:hAnsi="Times New Roman" w:eastAsia="宋体"/>
                <w:lang w:val="en-US" w:eastAsia="zh-CN"/>
              </w:rPr>
              <w:t>海利化工己内酰胺装置厂区西侧</w:t>
            </w:r>
          </w:p>
        </w:tc>
        <w:tc>
          <w:tcPr>
            <w:tcW w:w="1695"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SW</w:t>
            </w:r>
          </w:p>
        </w:tc>
        <w:tc>
          <w:tcPr>
            <w:tcW w:w="1440"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470</w:t>
            </w:r>
          </w:p>
        </w:tc>
        <w:tc>
          <w:tcPr>
            <w:tcW w:w="1922" w:type="dxa"/>
            <w:noWrap w:val="0"/>
            <w:vAlign w:val="center"/>
          </w:tcPr>
          <w:p>
            <w:pPr>
              <w:pStyle w:val="22"/>
              <w:keepNext w:val="0"/>
              <w:keepLines w:val="0"/>
              <w:pageBreakBefore w:val="0"/>
              <w:kinsoku/>
              <w:wordWrap/>
              <w:topLinePunct w:val="0"/>
              <w:autoSpaceDE/>
              <w:autoSpaceDN/>
              <w:bidi w:val="0"/>
              <w:snapToGrid w:val="0"/>
              <w:spacing w:line="240" w:lineRule="auto"/>
              <w:rPr>
                <w:rFonts w:hint="eastAsia" w:ascii="Times New Roman" w:hAnsi="Times New Roman" w:eastAsia="宋体" w:cs="Arial Unicode MS"/>
              </w:rPr>
            </w:pPr>
            <w:r>
              <w:rPr>
                <w:rFonts w:hint="eastAsia" w:ascii="Times New Roman" w:hAnsi="Times New Roman" w:eastAsia="宋体" w:cs="Arial Unicode MS"/>
              </w:rPr>
              <w:t>了解厂址地下水</w:t>
            </w:r>
            <w:r>
              <w:rPr>
                <w:rFonts w:hint="eastAsia" w:ascii="Times New Roman" w:hAnsi="Times New Roman" w:eastAsia="宋体" w:cs="Arial Unicode MS"/>
                <w:lang w:val="en-US" w:eastAsia="zh-CN"/>
              </w:rPr>
              <w:t>流向上</w:t>
            </w:r>
            <w:r>
              <w:rPr>
                <w:rFonts w:hint="eastAsia" w:ascii="Times New Roman" w:hAnsi="Times New Roman" w:eastAsia="宋体" w:cs="Arial Unicode MS"/>
                <w:lang w:eastAsia="zh-CN"/>
              </w:rPr>
              <w:t>游水质及水位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6" w:hRule="atLeast"/>
          <w:jc w:val="center"/>
        </w:trPr>
        <w:tc>
          <w:tcPr>
            <w:tcW w:w="617" w:type="dxa"/>
            <w:noWrap w:val="0"/>
            <w:vAlign w:val="center"/>
          </w:tcPr>
          <w:p>
            <w:pPr>
              <w:keepNext w:val="0"/>
              <w:keepLines w:val="0"/>
              <w:pageBreakBefore w:val="0"/>
              <w:kinsoku/>
              <w:wordWrap/>
              <w:topLinePunct w:val="0"/>
              <w:autoSpaceDE/>
              <w:autoSpaceDN/>
              <w:bidi w:val="0"/>
              <w:snapToGrid w:val="0"/>
              <w:spacing w:line="240" w:lineRule="auto"/>
              <w:jc w:val="center"/>
              <w:rPr>
                <w:rFonts w:hint="eastAsia" w:ascii="Times New Roman" w:hAnsi="Times New Roman" w:eastAsia="宋体" w:cs="Arial Unicode MS"/>
                <w:highlight w:val="none"/>
                <w:lang w:val="en-US" w:eastAsia="zh-CN"/>
              </w:rPr>
            </w:pPr>
            <w:r>
              <w:rPr>
                <w:rFonts w:hint="eastAsia" w:ascii="Times New Roman" w:hAnsi="Times New Roman" w:eastAsia="宋体" w:cs="Arial Unicode MS"/>
                <w:highlight w:val="none"/>
                <w:lang w:val="en-US" w:eastAsia="zh-CN"/>
              </w:rPr>
              <w:t>3#</w:t>
            </w:r>
          </w:p>
        </w:tc>
        <w:tc>
          <w:tcPr>
            <w:tcW w:w="2692" w:type="dxa"/>
            <w:noWrap w:val="0"/>
            <w:vAlign w:val="center"/>
          </w:tcPr>
          <w:p>
            <w:pPr>
              <w:pStyle w:val="22"/>
              <w:keepNext w:val="0"/>
              <w:keepLines w:val="0"/>
              <w:pageBreakBefore w:val="0"/>
              <w:kinsoku/>
              <w:wordWrap/>
              <w:topLinePunct w:val="0"/>
              <w:autoSpaceDE/>
              <w:autoSpaceDN/>
              <w:bidi w:val="0"/>
              <w:snapToGrid w:val="0"/>
              <w:spacing w:line="240" w:lineRule="auto"/>
              <w:rPr>
                <w:rFonts w:hint="default" w:ascii="Times New Roman" w:hAnsi="Times New Roman" w:eastAsia="宋体"/>
                <w:lang w:val="en-US" w:eastAsia="zh-CN"/>
              </w:rPr>
            </w:pPr>
            <w:r>
              <w:rPr>
                <w:rFonts w:hint="eastAsia" w:ascii="Times New Roman" w:hAnsi="Times New Roman" w:eastAsia="宋体"/>
                <w:lang w:val="en-US" w:eastAsia="zh-CN"/>
              </w:rPr>
              <w:t>海利化工丙烯腈装置厂区西北侧</w:t>
            </w:r>
          </w:p>
        </w:tc>
        <w:tc>
          <w:tcPr>
            <w:tcW w:w="1695"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NE</w:t>
            </w:r>
          </w:p>
        </w:tc>
        <w:tc>
          <w:tcPr>
            <w:tcW w:w="1440"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820</w:t>
            </w:r>
          </w:p>
        </w:tc>
        <w:tc>
          <w:tcPr>
            <w:tcW w:w="1922" w:type="dxa"/>
            <w:noWrap w:val="0"/>
            <w:vAlign w:val="center"/>
          </w:tcPr>
          <w:p>
            <w:pPr>
              <w:pStyle w:val="22"/>
              <w:keepNext w:val="0"/>
              <w:keepLines w:val="0"/>
              <w:pageBreakBefore w:val="0"/>
              <w:kinsoku/>
              <w:wordWrap/>
              <w:topLinePunct w:val="0"/>
              <w:autoSpaceDE/>
              <w:autoSpaceDN/>
              <w:bidi w:val="0"/>
              <w:snapToGrid w:val="0"/>
              <w:spacing w:line="240" w:lineRule="auto"/>
              <w:rPr>
                <w:rFonts w:hint="eastAsia" w:ascii="Times New Roman" w:hAnsi="Times New Roman" w:eastAsia="宋体" w:cs="Arial Unicode MS"/>
              </w:rPr>
            </w:pPr>
            <w:r>
              <w:rPr>
                <w:rFonts w:hint="eastAsia" w:ascii="Times New Roman" w:hAnsi="Times New Roman" w:eastAsia="宋体" w:cs="Arial Unicode MS"/>
              </w:rPr>
              <w:t>了解厂址地下水</w:t>
            </w:r>
            <w:r>
              <w:rPr>
                <w:rFonts w:hint="eastAsia" w:ascii="Times New Roman" w:hAnsi="Times New Roman" w:eastAsia="宋体" w:cs="Arial Unicode MS"/>
                <w:lang w:val="en-US" w:eastAsia="zh-CN"/>
              </w:rPr>
              <w:t>流向下</w:t>
            </w:r>
            <w:r>
              <w:rPr>
                <w:rFonts w:hint="eastAsia" w:ascii="Times New Roman" w:hAnsi="Times New Roman" w:eastAsia="宋体" w:cs="Arial Unicode MS"/>
                <w:lang w:eastAsia="zh-CN"/>
              </w:rPr>
              <w:t>游水质及水位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0" w:hRule="atLeast"/>
          <w:jc w:val="center"/>
        </w:trPr>
        <w:tc>
          <w:tcPr>
            <w:tcW w:w="617" w:type="dxa"/>
            <w:noWrap w:val="0"/>
            <w:vAlign w:val="center"/>
          </w:tcPr>
          <w:p>
            <w:pPr>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cs="Arial Unicode MS"/>
                <w:highlight w:val="none"/>
                <w:lang w:val="en-US" w:eastAsia="zh-CN"/>
              </w:rPr>
            </w:pPr>
            <w:r>
              <w:rPr>
                <w:rFonts w:hint="eastAsia" w:ascii="Times New Roman" w:hAnsi="Times New Roman" w:eastAsia="宋体" w:cs="Arial Unicode MS"/>
                <w:highlight w:val="none"/>
                <w:lang w:val="en-US" w:eastAsia="zh-CN"/>
              </w:rPr>
              <w:t>4#</w:t>
            </w:r>
          </w:p>
        </w:tc>
        <w:tc>
          <w:tcPr>
            <w:tcW w:w="2692" w:type="dxa"/>
            <w:noWrap w:val="0"/>
            <w:vAlign w:val="center"/>
          </w:tcPr>
          <w:p>
            <w:pPr>
              <w:pStyle w:val="14"/>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lang w:val="en-US" w:eastAsia="zh-CN"/>
              </w:rPr>
            </w:pPr>
            <w:r>
              <w:rPr>
                <w:rFonts w:hint="eastAsia" w:ascii="Times New Roman" w:hAnsi="Times New Roman" w:eastAsia="宋体"/>
                <w:lang w:val="en-US" w:eastAsia="zh-CN"/>
              </w:rPr>
              <w:t>重质碳酸钙研磨项目东侧农田</w:t>
            </w:r>
          </w:p>
        </w:tc>
        <w:tc>
          <w:tcPr>
            <w:tcW w:w="1695"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eastAsia"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SE</w:t>
            </w:r>
          </w:p>
        </w:tc>
        <w:tc>
          <w:tcPr>
            <w:tcW w:w="1440"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350</w:t>
            </w:r>
          </w:p>
        </w:tc>
        <w:tc>
          <w:tcPr>
            <w:tcW w:w="1922" w:type="dxa"/>
            <w:noWrap w:val="0"/>
            <w:vAlign w:val="center"/>
          </w:tcPr>
          <w:p>
            <w:pPr>
              <w:pStyle w:val="22"/>
              <w:keepNext w:val="0"/>
              <w:keepLines w:val="0"/>
              <w:pageBreakBefore w:val="0"/>
              <w:kinsoku/>
              <w:wordWrap/>
              <w:topLinePunct w:val="0"/>
              <w:autoSpaceDE/>
              <w:autoSpaceDN/>
              <w:bidi w:val="0"/>
              <w:snapToGrid w:val="0"/>
              <w:spacing w:line="240" w:lineRule="auto"/>
              <w:rPr>
                <w:rFonts w:hint="eastAsia" w:ascii="Times New Roman" w:hAnsi="Times New Roman" w:eastAsia="宋体" w:cs="Arial Unicode MS"/>
              </w:rPr>
            </w:pPr>
            <w:r>
              <w:rPr>
                <w:rFonts w:hint="eastAsia" w:ascii="Times New Roman" w:hAnsi="Times New Roman" w:eastAsia="宋体" w:cs="Arial Unicode MS"/>
              </w:rPr>
              <w:t>了解厂址地下水</w:t>
            </w:r>
            <w:r>
              <w:rPr>
                <w:rFonts w:hint="eastAsia" w:ascii="Times New Roman" w:hAnsi="Times New Roman" w:eastAsia="宋体" w:cs="Arial Unicode MS"/>
                <w:lang w:val="en-US" w:eastAsia="zh-CN"/>
              </w:rPr>
              <w:t>流向两侧</w:t>
            </w:r>
            <w:r>
              <w:rPr>
                <w:rFonts w:hint="eastAsia" w:ascii="Times New Roman" w:hAnsi="Times New Roman" w:eastAsia="宋体" w:cs="Arial Unicode MS"/>
                <w:lang w:eastAsia="zh-CN"/>
              </w:rPr>
              <w:t>水质及水位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6" w:hRule="atLeast"/>
          <w:jc w:val="center"/>
        </w:trPr>
        <w:tc>
          <w:tcPr>
            <w:tcW w:w="617" w:type="dxa"/>
            <w:noWrap w:val="0"/>
            <w:vAlign w:val="center"/>
          </w:tcPr>
          <w:p>
            <w:pPr>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cs="Arial Unicode MS"/>
                <w:highlight w:val="none"/>
                <w:lang w:val="en-US" w:eastAsia="zh-CN"/>
              </w:rPr>
            </w:pPr>
            <w:r>
              <w:rPr>
                <w:rFonts w:hint="eastAsia" w:ascii="Times New Roman" w:hAnsi="Times New Roman" w:eastAsia="宋体" w:cs="Arial Unicode MS"/>
                <w:highlight w:val="none"/>
                <w:lang w:val="en-US" w:eastAsia="zh-CN"/>
              </w:rPr>
              <w:t>5#</w:t>
            </w:r>
          </w:p>
        </w:tc>
        <w:tc>
          <w:tcPr>
            <w:tcW w:w="2692" w:type="dxa"/>
            <w:noWrap w:val="0"/>
            <w:vAlign w:val="center"/>
          </w:tcPr>
          <w:p>
            <w:pPr>
              <w:pStyle w:val="14"/>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lang w:val="en-US" w:eastAsia="zh-CN"/>
              </w:rPr>
            </w:pPr>
            <w:r>
              <w:rPr>
                <w:rFonts w:hint="eastAsia" w:ascii="Times New Roman" w:hAnsi="Times New Roman" w:eastAsia="宋体"/>
                <w:lang w:val="en-US" w:eastAsia="zh-CN"/>
              </w:rPr>
              <w:t>海利化工丙烯腈装置厂区南侧</w:t>
            </w:r>
          </w:p>
        </w:tc>
        <w:tc>
          <w:tcPr>
            <w:tcW w:w="1695"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SE</w:t>
            </w:r>
          </w:p>
        </w:tc>
        <w:tc>
          <w:tcPr>
            <w:tcW w:w="1440"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1180</w:t>
            </w:r>
          </w:p>
        </w:tc>
        <w:tc>
          <w:tcPr>
            <w:tcW w:w="1922" w:type="dxa"/>
            <w:noWrap w:val="0"/>
            <w:vAlign w:val="center"/>
          </w:tcPr>
          <w:p>
            <w:pPr>
              <w:pStyle w:val="22"/>
              <w:keepNext w:val="0"/>
              <w:keepLines w:val="0"/>
              <w:pageBreakBefore w:val="0"/>
              <w:kinsoku/>
              <w:wordWrap/>
              <w:topLinePunct w:val="0"/>
              <w:autoSpaceDE/>
              <w:autoSpaceDN/>
              <w:bidi w:val="0"/>
              <w:snapToGrid w:val="0"/>
              <w:spacing w:line="240" w:lineRule="auto"/>
              <w:rPr>
                <w:rFonts w:hint="eastAsia" w:ascii="Times New Roman" w:hAnsi="Times New Roman" w:eastAsia="宋体" w:cs="Arial Unicode MS"/>
              </w:rPr>
            </w:pPr>
            <w:r>
              <w:rPr>
                <w:rFonts w:hint="eastAsia" w:ascii="Times New Roman" w:hAnsi="Times New Roman" w:eastAsia="宋体" w:cs="Arial Unicode MS"/>
              </w:rPr>
              <w:t>了解厂址地下水</w:t>
            </w:r>
            <w:r>
              <w:rPr>
                <w:rFonts w:hint="eastAsia" w:ascii="Times New Roman" w:hAnsi="Times New Roman" w:eastAsia="宋体" w:cs="Arial Unicode MS"/>
                <w:lang w:val="en-US" w:eastAsia="zh-CN"/>
              </w:rPr>
              <w:t>流向两侧</w:t>
            </w:r>
            <w:r>
              <w:rPr>
                <w:rFonts w:hint="eastAsia" w:ascii="Times New Roman" w:hAnsi="Times New Roman" w:eastAsia="宋体" w:cs="Arial Unicode MS"/>
                <w:lang w:eastAsia="zh-CN"/>
              </w:rPr>
              <w:t>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0" w:hRule="atLeast"/>
          <w:jc w:val="center"/>
        </w:trPr>
        <w:tc>
          <w:tcPr>
            <w:tcW w:w="617" w:type="dxa"/>
            <w:noWrap w:val="0"/>
            <w:vAlign w:val="center"/>
          </w:tcPr>
          <w:p>
            <w:pPr>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cs="Arial Unicode MS"/>
                <w:highlight w:val="none"/>
                <w:lang w:val="en-US" w:eastAsia="zh-CN"/>
              </w:rPr>
            </w:pPr>
            <w:r>
              <w:rPr>
                <w:rFonts w:hint="eastAsia" w:ascii="Times New Roman" w:hAnsi="Times New Roman" w:eastAsia="宋体" w:cs="Arial Unicode MS"/>
                <w:highlight w:val="none"/>
                <w:lang w:val="en-US" w:eastAsia="zh-CN"/>
              </w:rPr>
              <w:t>6#</w:t>
            </w:r>
          </w:p>
        </w:tc>
        <w:tc>
          <w:tcPr>
            <w:tcW w:w="2692" w:type="dxa"/>
            <w:noWrap w:val="0"/>
            <w:vAlign w:val="center"/>
          </w:tcPr>
          <w:p>
            <w:pPr>
              <w:pStyle w:val="14"/>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lang w:val="en-US" w:eastAsia="zh-CN"/>
              </w:rPr>
            </w:pPr>
            <w:r>
              <w:rPr>
                <w:rFonts w:hint="eastAsia" w:ascii="Times New Roman" w:hAnsi="Times New Roman" w:eastAsia="宋体"/>
                <w:lang w:val="en-US" w:eastAsia="zh-CN"/>
              </w:rPr>
              <w:t>天源热电机组南侧</w:t>
            </w:r>
          </w:p>
        </w:tc>
        <w:tc>
          <w:tcPr>
            <w:tcW w:w="1695"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S</w:t>
            </w:r>
          </w:p>
        </w:tc>
        <w:tc>
          <w:tcPr>
            <w:tcW w:w="1440"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800</w:t>
            </w:r>
          </w:p>
        </w:tc>
        <w:tc>
          <w:tcPr>
            <w:tcW w:w="1922" w:type="dxa"/>
            <w:noWrap w:val="0"/>
            <w:vAlign w:val="center"/>
          </w:tcPr>
          <w:p>
            <w:pPr>
              <w:keepNext w:val="0"/>
              <w:keepLines w:val="0"/>
              <w:pageBreakBefore w:val="0"/>
              <w:kinsoku/>
              <w:wordWrap/>
              <w:topLinePunct w:val="0"/>
              <w:autoSpaceDE/>
              <w:autoSpaceDN/>
              <w:bidi w:val="0"/>
              <w:snapToGrid w:val="0"/>
              <w:spacing w:line="240" w:lineRule="auto"/>
              <w:jc w:val="center"/>
              <w:rPr>
                <w:rFonts w:hint="eastAsia" w:ascii="Times New Roman" w:hAnsi="Times New Roman" w:eastAsia="宋体" w:cs="Arial Unicode MS"/>
              </w:rPr>
            </w:pPr>
            <w:r>
              <w:rPr>
                <w:rFonts w:hint="eastAsia" w:ascii="Times New Roman" w:hAnsi="Times New Roman" w:eastAsia="宋体" w:cs="Arial Unicode MS"/>
              </w:rPr>
              <w:t>了解厂址地下水</w:t>
            </w:r>
            <w:r>
              <w:rPr>
                <w:rFonts w:hint="eastAsia" w:ascii="Times New Roman" w:hAnsi="Times New Roman" w:eastAsia="宋体" w:cs="Arial Unicode MS"/>
                <w:lang w:val="en-US" w:eastAsia="zh-CN"/>
              </w:rPr>
              <w:t>流向两侧</w:t>
            </w:r>
            <w:r>
              <w:rPr>
                <w:rFonts w:hint="eastAsia" w:ascii="Times New Roman" w:hAnsi="Times New Roman" w:eastAsia="宋体" w:cs="Arial Unicode MS"/>
                <w:lang w:eastAsia="zh-CN"/>
              </w:rPr>
              <w:t>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9" w:hRule="atLeast"/>
          <w:jc w:val="center"/>
        </w:trPr>
        <w:tc>
          <w:tcPr>
            <w:tcW w:w="617" w:type="dxa"/>
            <w:noWrap w:val="0"/>
            <w:vAlign w:val="center"/>
          </w:tcPr>
          <w:p>
            <w:pPr>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cs="Arial Unicode MS"/>
                <w:highlight w:val="none"/>
                <w:lang w:val="en-US" w:eastAsia="zh-CN"/>
              </w:rPr>
            </w:pPr>
            <w:r>
              <w:rPr>
                <w:rFonts w:hint="eastAsia" w:ascii="Times New Roman" w:hAnsi="Times New Roman" w:eastAsia="宋体" w:cs="Arial Unicode MS"/>
                <w:highlight w:val="none"/>
                <w:lang w:val="en-US" w:eastAsia="zh-CN"/>
              </w:rPr>
              <w:t>7#</w:t>
            </w:r>
          </w:p>
        </w:tc>
        <w:tc>
          <w:tcPr>
            <w:tcW w:w="2692" w:type="dxa"/>
            <w:noWrap w:val="0"/>
            <w:vAlign w:val="center"/>
          </w:tcPr>
          <w:p>
            <w:pPr>
              <w:pStyle w:val="14"/>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lang w:val="en-US" w:eastAsia="zh-CN"/>
              </w:rPr>
            </w:pPr>
            <w:r>
              <w:rPr>
                <w:rFonts w:hint="eastAsia" w:ascii="Times New Roman" w:hAnsi="Times New Roman" w:eastAsia="宋体"/>
                <w:lang w:val="en-US" w:eastAsia="zh-CN"/>
              </w:rPr>
              <w:t>国金化工环氧氯丙烷装置区西北侧</w:t>
            </w:r>
          </w:p>
        </w:tc>
        <w:tc>
          <w:tcPr>
            <w:tcW w:w="1695"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W</w:t>
            </w:r>
          </w:p>
        </w:tc>
        <w:tc>
          <w:tcPr>
            <w:tcW w:w="1440" w:type="dxa"/>
            <w:noWrap w:val="0"/>
            <w:vAlign w:val="center"/>
          </w:tcPr>
          <w:p>
            <w:pPr>
              <w:keepNext w:val="0"/>
              <w:keepLines w:val="0"/>
              <w:pageBreakBefore w:val="0"/>
              <w:widowControl/>
              <w:kinsoku/>
              <w:wordWrap/>
              <w:topLinePunct w:val="0"/>
              <w:autoSpaceDE/>
              <w:autoSpaceDN/>
              <w:bidi w:val="0"/>
              <w:snapToGrid w:val="0"/>
              <w:spacing w:line="240" w:lineRule="auto"/>
              <w:jc w:val="center"/>
              <w:rPr>
                <w:rFonts w:hint="default" w:ascii="Times New Roman" w:hAnsi="Times New Roman" w:eastAsia="宋体" w:cs="宋体"/>
                <w:color w:val="000000"/>
                <w:kern w:val="0"/>
                <w:szCs w:val="21"/>
                <w:lang w:val="en-US" w:eastAsia="zh-CN"/>
              </w:rPr>
            </w:pPr>
            <w:r>
              <w:rPr>
                <w:rFonts w:hint="eastAsia" w:ascii="Times New Roman" w:hAnsi="Times New Roman" w:eastAsia="宋体" w:cs="宋体"/>
                <w:color w:val="000000"/>
                <w:kern w:val="0"/>
                <w:szCs w:val="21"/>
                <w:lang w:val="en-US" w:eastAsia="zh-CN"/>
              </w:rPr>
              <w:t>600</w:t>
            </w:r>
          </w:p>
        </w:tc>
        <w:tc>
          <w:tcPr>
            <w:tcW w:w="1922" w:type="dxa"/>
            <w:noWrap w:val="0"/>
            <w:vAlign w:val="center"/>
          </w:tcPr>
          <w:p>
            <w:pPr>
              <w:keepNext w:val="0"/>
              <w:keepLines w:val="0"/>
              <w:pageBreakBefore w:val="0"/>
              <w:kinsoku/>
              <w:wordWrap/>
              <w:topLinePunct w:val="0"/>
              <w:autoSpaceDE/>
              <w:autoSpaceDN/>
              <w:bidi w:val="0"/>
              <w:snapToGrid w:val="0"/>
              <w:spacing w:line="240" w:lineRule="auto"/>
              <w:jc w:val="center"/>
              <w:rPr>
                <w:rFonts w:hint="eastAsia" w:ascii="Times New Roman" w:hAnsi="Times New Roman" w:eastAsia="宋体" w:cs="Arial Unicode MS"/>
              </w:rPr>
            </w:pPr>
            <w:r>
              <w:rPr>
                <w:rFonts w:hint="eastAsia" w:ascii="Times New Roman" w:hAnsi="Times New Roman" w:eastAsia="宋体" w:cs="Arial Unicode MS"/>
              </w:rPr>
              <w:t>了解厂址地下水</w:t>
            </w:r>
            <w:r>
              <w:rPr>
                <w:rFonts w:hint="eastAsia" w:ascii="Times New Roman" w:hAnsi="Times New Roman" w:eastAsia="宋体" w:cs="Arial Unicode MS"/>
                <w:lang w:val="en-US" w:eastAsia="zh-CN"/>
              </w:rPr>
              <w:t>流向两侧</w:t>
            </w:r>
            <w:r>
              <w:rPr>
                <w:rFonts w:hint="eastAsia" w:ascii="Times New Roman" w:hAnsi="Times New Roman" w:eastAsia="宋体" w:cs="Arial Unicode MS"/>
                <w:lang w:eastAsia="zh-CN"/>
              </w:rPr>
              <w:t>水位</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jc w:val="both"/>
        <w:textAlignment w:val="auto"/>
        <w:rPr>
          <w:rFonts w:hint="eastAsia"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ascii="Times New Roman" w:hAnsi="Times New Roman"/>
          <w:b/>
          <w:bCs/>
          <w:sz w:val="24"/>
          <w:szCs w:val="24"/>
          <w:lang w:val="en-US" w:eastAsia="zh-CN"/>
        </w:rPr>
        <w:t>监测项目</w:t>
      </w:r>
    </w:p>
    <w:p>
      <w:pPr>
        <w:pStyle w:val="5"/>
        <w:keepNext w:val="0"/>
        <w:keepLines w:val="0"/>
        <w:pageBreakBefore w:val="0"/>
        <w:widowControl w:val="0"/>
        <w:kinsoku/>
        <w:wordWrap/>
        <w:overflowPunct/>
        <w:topLinePunct w:val="0"/>
        <w:bidi w:val="0"/>
        <w:snapToGrid w:val="0"/>
        <w:spacing w:line="360" w:lineRule="auto"/>
        <w:ind w:firstLine="480" w:firstLineChars="200"/>
        <w:jc w:val="both"/>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工程产生废水水质特点，地下水水质现状监测因子包括：pH、总硬度、溶解性总固体、硫酸盐、氯化物、砷、汞、六价铬、铅、镉、铁、锰、挥发酚、耗氧量、氨氮、硫化物、总大肠菌群、菌落总数、亚硝酸盐、硝酸盐、氰化物、氟化物、K</w:t>
      </w:r>
      <w:r>
        <w:rPr>
          <w:rFonts w:hint="default" w:ascii="Times New Roman" w:hAnsi="Times New Roman"/>
          <w:sz w:val="24"/>
          <w:szCs w:val="24"/>
          <w:vertAlign w:val="superscript"/>
          <w:lang w:val="en-US" w:eastAsia="zh-CN"/>
        </w:rPr>
        <w:t>+</w:t>
      </w:r>
      <w:r>
        <w:rPr>
          <w:rFonts w:hint="default" w:ascii="Times New Roman" w:hAnsi="Times New Roman"/>
          <w:sz w:val="24"/>
          <w:szCs w:val="24"/>
          <w:lang w:val="en-US" w:eastAsia="zh-CN"/>
        </w:rPr>
        <w:t>、Na</w:t>
      </w:r>
      <w:r>
        <w:rPr>
          <w:rFonts w:hint="default" w:ascii="Times New Roman" w:hAnsi="Times New Roman"/>
          <w:sz w:val="24"/>
          <w:szCs w:val="24"/>
          <w:vertAlign w:val="superscript"/>
          <w:lang w:val="en-US" w:eastAsia="zh-CN"/>
        </w:rPr>
        <w:t>+</w:t>
      </w:r>
      <w:r>
        <w:rPr>
          <w:rFonts w:hint="default" w:ascii="Times New Roman" w:hAnsi="Times New Roman"/>
          <w:sz w:val="24"/>
          <w:szCs w:val="24"/>
          <w:lang w:val="en-US" w:eastAsia="zh-CN"/>
        </w:rPr>
        <w:t>、Ca</w:t>
      </w:r>
      <w:r>
        <w:rPr>
          <w:rFonts w:hint="default" w:ascii="Times New Roman" w:hAnsi="Times New Roman"/>
          <w:sz w:val="24"/>
          <w:szCs w:val="24"/>
          <w:vertAlign w:val="superscript"/>
          <w:lang w:val="en-US" w:eastAsia="zh-CN"/>
        </w:rPr>
        <w:t>2+</w:t>
      </w:r>
      <w:r>
        <w:rPr>
          <w:rFonts w:hint="default" w:ascii="Times New Roman" w:hAnsi="Times New Roman"/>
          <w:sz w:val="24"/>
          <w:szCs w:val="24"/>
          <w:lang w:val="en-US" w:eastAsia="zh-CN"/>
        </w:rPr>
        <w:t>、Mg</w:t>
      </w:r>
      <w:r>
        <w:rPr>
          <w:rFonts w:hint="default" w:ascii="Times New Roman" w:hAnsi="Times New Roman"/>
          <w:sz w:val="24"/>
          <w:szCs w:val="24"/>
          <w:vertAlign w:val="superscript"/>
          <w:lang w:val="en-US" w:eastAsia="zh-CN"/>
        </w:rPr>
        <w:t>2+</w:t>
      </w:r>
      <w:r>
        <w:rPr>
          <w:rFonts w:hint="default" w:ascii="Times New Roman" w:hAnsi="Times New Roman"/>
          <w:sz w:val="24"/>
          <w:szCs w:val="24"/>
          <w:lang w:val="en-US" w:eastAsia="zh-CN"/>
        </w:rPr>
        <w:t>、CO</w:t>
      </w:r>
      <w:r>
        <w:rPr>
          <w:rFonts w:hint="default" w:ascii="Times New Roman" w:hAnsi="Times New Roman"/>
          <w:sz w:val="24"/>
          <w:szCs w:val="24"/>
          <w:vertAlign w:val="subscript"/>
          <w:lang w:val="en-US" w:eastAsia="zh-CN"/>
        </w:rPr>
        <w:t>3</w:t>
      </w:r>
      <w:r>
        <w:rPr>
          <w:rFonts w:hint="default" w:ascii="Times New Roman" w:hAnsi="Times New Roman"/>
          <w:sz w:val="24"/>
          <w:szCs w:val="24"/>
          <w:vertAlign w:val="superscript"/>
          <w:lang w:val="en-US" w:eastAsia="zh-CN"/>
        </w:rPr>
        <w:t>2-</w:t>
      </w:r>
      <w:r>
        <w:rPr>
          <w:rFonts w:hint="default" w:ascii="Times New Roman" w:hAnsi="Times New Roman"/>
          <w:sz w:val="24"/>
          <w:szCs w:val="24"/>
          <w:lang w:val="en-US" w:eastAsia="zh-CN"/>
        </w:rPr>
        <w:t>、HCO</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的浓度，同时测量井深、水温、地下水埋深和水位等水文参数。</w:t>
      </w:r>
    </w:p>
    <w:p>
      <w:pPr>
        <w:keepNext w:val="0"/>
        <w:keepLines w:val="0"/>
        <w:pageBreakBefore w:val="0"/>
        <w:widowControl w:val="0"/>
        <w:kinsoku/>
        <w:wordWrap/>
        <w:overflowPunct/>
        <w:topLinePunct w:val="0"/>
        <w:autoSpaceDE/>
        <w:autoSpaceDN/>
        <w:bidi w:val="0"/>
        <w:adjustRightInd/>
        <w:snapToGrid w:val="0"/>
        <w:spacing w:line="360" w:lineRule="auto"/>
        <w:jc w:val="both"/>
        <w:textAlignment w:val="auto"/>
        <w:rPr>
          <w:rFonts w:hint="default"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eastAsia" w:ascii="Times New Roman" w:hAnsi="Times New Roman"/>
          <w:b/>
          <w:bCs/>
          <w:sz w:val="24"/>
          <w:szCs w:val="24"/>
          <w:lang w:val="en-US" w:eastAsia="zh-CN"/>
        </w:rPr>
        <w:t>监测单位、时间和频率</w:t>
      </w:r>
    </w:p>
    <w:p>
      <w:pPr>
        <w:pStyle w:val="6"/>
        <w:keepNext w:val="0"/>
        <w:keepLines w:val="0"/>
        <w:pageBreakBefore w:val="0"/>
        <w:widowControl w:val="0"/>
        <w:kinsoku/>
        <w:wordWrap/>
        <w:overflowPunct/>
        <w:topLinePunct w:val="0"/>
        <w:bidi w:val="0"/>
        <w:snapToGrid w:val="0"/>
        <w:spacing w:line="360" w:lineRule="auto"/>
        <w:jc w:val="both"/>
        <w:textAlignment w:val="auto"/>
        <w:rPr>
          <w:rFonts w:hint="default"/>
          <w:sz w:val="24"/>
          <w:szCs w:val="24"/>
          <w:lang w:val="en-US" w:eastAsia="zh-CN"/>
        </w:rPr>
      </w:pPr>
      <w:r>
        <w:rPr>
          <w:rFonts w:hint="eastAsia"/>
          <w:sz w:val="24"/>
          <w:szCs w:val="24"/>
          <w:lang w:val="en-US" w:eastAsia="zh-CN"/>
        </w:rPr>
        <w:t>监测单位：水发（山东）检验检测研究院有限公司；</w:t>
      </w:r>
    </w:p>
    <w:p>
      <w:pPr>
        <w:pStyle w:val="6"/>
        <w:keepNext w:val="0"/>
        <w:keepLines w:val="0"/>
        <w:pageBreakBefore w:val="0"/>
        <w:widowControl w:val="0"/>
        <w:kinsoku/>
        <w:wordWrap/>
        <w:overflowPunct/>
        <w:topLinePunct w:val="0"/>
        <w:bidi w:val="0"/>
        <w:snapToGrid w:val="0"/>
        <w:spacing w:line="360" w:lineRule="auto"/>
        <w:jc w:val="both"/>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监测时间：</w:t>
      </w:r>
      <w:r>
        <w:rPr>
          <w:rFonts w:hint="eastAsia" w:ascii="Times New Roman" w:hAnsi="Times New Roman"/>
          <w:sz w:val="24"/>
          <w:szCs w:val="24"/>
          <w:highlight w:val="none"/>
          <w:lang w:val="en-US" w:eastAsia="zh-CN"/>
        </w:rPr>
        <w:t>2021年7月20日</w:t>
      </w:r>
      <w:r>
        <w:rPr>
          <w:rFonts w:hint="eastAsia" w:ascii="Times New Roman" w:hAnsi="Times New Roman"/>
          <w:sz w:val="24"/>
          <w:szCs w:val="24"/>
          <w:lang w:val="en-US" w:eastAsia="zh-CN"/>
        </w:rPr>
        <w:t>；</w:t>
      </w:r>
    </w:p>
    <w:p>
      <w:pPr>
        <w:keepNext w:val="0"/>
        <w:keepLines w:val="0"/>
        <w:pageBreakBefore w:val="0"/>
        <w:widowControl w:val="0"/>
        <w:kinsoku/>
        <w:wordWrap/>
        <w:overflowPunct/>
        <w:topLinePunct w:val="0"/>
        <w:bidi w:val="0"/>
        <w:snapToGrid w:val="0"/>
        <w:spacing w:line="360" w:lineRule="auto"/>
        <w:jc w:val="both"/>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 xml:space="preserve">     监测频率：取水样一次。</w:t>
      </w:r>
    </w:p>
    <w:p>
      <w:pPr>
        <w:keepNext w:val="0"/>
        <w:keepLines w:val="0"/>
        <w:pageBreakBefore w:val="0"/>
        <w:widowControl w:val="0"/>
        <w:kinsoku/>
        <w:wordWrap/>
        <w:overflowPunct/>
        <w:topLinePunct w:val="0"/>
        <w:autoSpaceDE/>
        <w:autoSpaceDN/>
        <w:bidi w:val="0"/>
        <w:adjustRightInd/>
        <w:snapToGrid w:val="0"/>
        <w:spacing w:line="360" w:lineRule="auto"/>
        <w:jc w:val="both"/>
        <w:textAlignment w:val="auto"/>
        <w:rPr>
          <w:rFonts w:hint="default"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eastAsia" w:ascii="Times New Roman" w:hAnsi="Times New Roman"/>
          <w:b/>
          <w:bCs/>
          <w:sz w:val="24"/>
          <w:szCs w:val="24"/>
          <w:lang w:val="en-US" w:eastAsia="zh-CN"/>
        </w:rPr>
        <w:t>监测分析方法</w:t>
      </w:r>
    </w:p>
    <w:p>
      <w:pPr>
        <w:pStyle w:val="2"/>
        <w:keepNext w:val="0"/>
        <w:keepLines w:val="0"/>
        <w:pageBreakBefore w:val="0"/>
        <w:widowControl w:val="0"/>
        <w:kinsoku/>
        <w:wordWrap/>
        <w:overflowPunct/>
        <w:topLinePunct w:val="0"/>
        <w:bidi w:val="0"/>
        <w:snapToGrid w:val="0"/>
        <w:spacing w:line="360" w:lineRule="auto"/>
        <w:ind w:left="0" w:leftChars="0" w:firstLine="480" w:firstLineChars="200"/>
        <w:jc w:val="both"/>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监测分析方法及检出限具体见表</w:t>
      </w:r>
      <w:r>
        <w:rPr>
          <w:rFonts w:hint="eastAsia" w:ascii="Times New Roman" w:hAnsi="Times New Roman"/>
          <w:sz w:val="24"/>
          <w:szCs w:val="24"/>
          <w:lang w:val="en-US" w:eastAsia="zh-CN"/>
        </w:rPr>
        <w:t>5</w:t>
      </w:r>
      <w:r>
        <w:rPr>
          <w:rFonts w:hint="default" w:ascii="Times New Roman" w:hAnsi="Times New Roman"/>
          <w:sz w:val="24"/>
          <w:szCs w:val="24"/>
          <w:lang w:val="en-US" w:eastAsia="zh-CN"/>
        </w:rPr>
        <w:t>.</w:t>
      </w:r>
      <w:r>
        <w:rPr>
          <w:rFonts w:hint="eastAsia" w:ascii="Times New Roman" w:hAnsi="Times New Roman"/>
          <w:sz w:val="24"/>
          <w:szCs w:val="24"/>
          <w:lang w:val="en-US" w:eastAsia="zh-CN"/>
        </w:rPr>
        <w:t>6</w:t>
      </w:r>
      <w:r>
        <w:rPr>
          <w:rFonts w:hint="default" w:ascii="Times New Roman" w:hAnsi="Times New Roman"/>
          <w:sz w:val="24"/>
          <w:szCs w:val="24"/>
          <w:lang w:val="en-US" w:eastAsia="zh-CN"/>
        </w:rPr>
        <w:t>-2。</w:t>
      </w:r>
    </w:p>
    <w:p>
      <w:pPr>
        <w:keepNext w:val="0"/>
        <w:keepLines w:val="0"/>
        <w:pageBreakBefore w:val="0"/>
        <w:widowControl w:val="0"/>
        <w:kinsoku/>
        <w:wordWrap/>
        <w:overflowPunct/>
        <w:topLinePunct w:val="0"/>
        <w:bidi w:val="0"/>
        <w:snapToGrid w:val="0"/>
        <w:spacing w:line="360" w:lineRule="auto"/>
        <w:jc w:val="center"/>
        <w:textAlignment w:val="auto"/>
        <w:rPr>
          <w:rFonts w:hint="default" w:ascii="Times New Roman" w:hAnsi="Times New Roman"/>
          <w:sz w:val="24"/>
          <w:szCs w:val="24"/>
          <w:lang w:val="en-US" w:eastAsia="zh-CN"/>
        </w:rPr>
      </w:pPr>
      <w:r>
        <w:rPr>
          <w:rFonts w:hint="eastAsia" w:ascii="宋体" w:hAnsi="宋体" w:eastAsia="宋体" w:cs="宋体"/>
          <w:b/>
          <w:bCs/>
          <w:color w:val="000000"/>
          <w:sz w:val="24"/>
          <w:highlight w:val="none"/>
        </w:rPr>
        <w:t>表</w:t>
      </w:r>
      <w:r>
        <w:rPr>
          <w:rFonts w:hint="eastAsia" w:ascii="Times New Roman" w:hAnsi="Times New Roman" w:cs="Times New Roman"/>
          <w:b/>
          <w:bCs/>
          <w:color w:val="000000"/>
          <w:sz w:val="24"/>
          <w:highlight w:val="none"/>
          <w:lang w:val="en-US" w:eastAsia="zh-CN"/>
        </w:rPr>
        <w:t>5.6</w:t>
      </w:r>
      <w:r>
        <w:rPr>
          <w:rFonts w:hint="default" w:ascii="Times New Roman" w:hAnsi="Times New Roman" w:cs="Times New Roman"/>
          <w:b/>
          <w:bCs/>
          <w:color w:val="000000"/>
          <w:sz w:val="24"/>
          <w:highlight w:val="none"/>
          <w:lang w:val="en-US" w:eastAsia="zh-CN"/>
        </w:rPr>
        <w:t>-2</w:t>
      </w:r>
      <w:r>
        <w:rPr>
          <w:rFonts w:hint="default" w:ascii="Times New Roman" w:hAnsi="Times New Roman" w:eastAsia="宋体" w:cs="Times New Roman"/>
          <w:b/>
          <w:bCs/>
          <w:color w:val="000000"/>
          <w:sz w:val="24"/>
          <w:highlight w:val="none"/>
        </w:rPr>
        <w:t xml:space="preserve"> </w:t>
      </w:r>
      <w:r>
        <w:rPr>
          <w:rFonts w:hint="eastAsia" w:ascii="宋体" w:hAnsi="宋体" w:eastAsia="宋体" w:cs="宋体"/>
          <w:b/>
          <w:bCs/>
          <w:color w:val="000000"/>
          <w:sz w:val="24"/>
          <w:highlight w:val="none"/>
        </w:rPr>
        <w:t xml:space="preserve"> 地下水监测分析方</w:t>
      </w:r>
      <w:r>
        <w:rPr>
          <w:rFonts w:hint="eastAsia" w:ascii="宋体" w:hAnsi="宋体" w:eastAsia="宋体" w:cs="宋体"/>
          <w:b/>
          <w:bCs/>
          <w:color w:val="000000"/>
          <w:sz w:val="24"/>
        </w:rPr>
        <w:t>法一览表</w:t>
      </w:r>
    </w:p>
    <w:tbl>
      <w:tblPr>
        <w:tblStyle w:val="18"/>
        <w:tblW w:w="83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3"/>
        <w:gridCol w:w="1357"/>
        <w:gridCol w:w="2027"/>
        <w:gridCol w:w="2821"/>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663" w:type="dxa"/>
            <w:noWrap w:val="0"/>
            <w:vAlign w:val="center"/>
          </w:tcPr>
          <w:p>
            <w:pPr>
              <w:jc w:val="center"/>
              <w:rPr>
                <w:rFonts w:hint="default"/>
                <w:sz w:val="21"/>
                <w:szCs w:val="21"/>
                <w:vertAlign w:val="baseline"/>
                <w:lang w:val="en-US" w:eastAsia="zh-CN"/>
              </w:rPr>
            </w:pPr>
            <w:r>
              <w:rPr>
                <w:rFonts w:hint="eastAsia"/>
                <w:sz w:val="21"/>
                <w:szCs w:val="21"/>
                <w:vertAlign w:val="baseline"/>
                <w:lang w:val="en-US" w:eastAsia="zh-CN"/>
              </w:rPr>
              <w:t>序号</w:t>
            </w:r>
          </w:p>
        </w:tc>
        <w:tc>
          <w:tcPr>
            <w:tcW w:w="1357" w:type="dxa"/>
            <w:noWrap w:val="0"/>
            <w:vAlign w:val="center"/>
          </w:tcPr>
          <w:p>
            <w:pPr>
              <w:jc w:val="center"/>
              <w:rPr>
                <w:rFonts w:hint="default"/>
                <w:sz w:val="21"/>
                <w:szCs w:val="21"/>
                <w:vertAlign w:val="baseline"/>
                <w:lang w:val="en-US" w:eastAsia="zh-CN"/>
              </w:rPr>
            </w:pPr>
            <w:r>
              <w:rPr>
                <w:rFonts w:hint="eastAsia"/>
                <w:sz w:val="21"/>
                <w:szCs w:val="21"/>
                <w:vertAlign w:val="baseline"/>
                <w:lang w:val="en-US" w:eastAsia="zh-CN"/>
              </w:rPr>
              <w:t>检验项目</w:t>
            </w:r>
          </w:p>
        </w:tc>
        <w:tc>
          <w:tcPr>
            <w:tcW w:w="2027" w:type="dxa"/>
            <w:noWrap w:val="0"/>
            <w:vAlign w:val="center"/>
          </w:tcPr>
          <w:p>
            <w:pPr>
              <w:jc w:val="center"/>
              <w:rPr>
                <w:rFonts w:hint="default"/>
                <w:sz w:val="21"/>
                <w:szCs w:val="21"/>
                <w:vertAlign w:val="baseline"/>
                <w:lang w:val="en-US" w:eastAsia="zh-CN"/>
              </w:rPr>
            </w:pPr>
            <w:r>
              <w:rPr>
                <w:rFonts w:hint="eastAsia"/>
                <w:sz w:val="21"/>
                <w:szCs w:val="21"/>
                <w:vertAlign w:val="baseline"/>
                <w:lang w:val="en-US" w:eastAsia="zh-CN"/>
              </w:rPr>
              <w:t>检测方法</w:t>
            </w:r>
          </w:p>
        </w:tc>
        <w:tc>
          <w:tcPr>
            <w:tcW w:w="2821" w:type="dxa"/>
            <w:noWrap w:val="0"/>
            <w:vAlign w:val="center"/>
          </w:tcPr>
          <w:p>
            <w:pPr>
              <w:jc w:val="center"/>
              <w:rPr>
                <w:rFonts w:hint="default"/>
                <w:sz w:val="21"/>
                <w:szCs w:val="21"/>
                <w:vertAlign w:val="baseline"/>
                <w:lang w:val="en-US" w:eastAsia="zh-CN"/>
              </w:rPr>
            </w:pPr>
            <w:r>
              <w:rPr>
                <w:rFonts w:hint="eastAsia"/>
                <w:sz w:val="21"/>
                <w:szCs w:val="21"/>
                <w:vertAlign w:val="baseline"/>
                <w:lang w:val="en-US" w:eastAsia="zh-CN"/>
              </w:rPr>
              <w:t>检测依据</w:t>
            </w:r>
          </w:p>
        </w:tc>
        <w:tc>
          <w:tcPr>
            <w:tcW w:w="1504" w:type="dxa"/>
            <w:noWrap w:val="0"/>
            <w:vAlign w:val="center"/>
          </w:tcPr>
          <w:p>
            <w:pPr>
              <w:jc w:val="center"/>
              <w:rPr>
                <w:rFonts w:hint="default"/>
                <w:sz w:val="21"/>
                <w:szCs w:val="21"/>
                <w:vertAlign w:val="baseline"/>
                <w:lang w:val="en-US" w:eastAsia="zh-CN"/>
              </w:rPr>
            </w:pPr>
            <w:r>
              <w:rPr>
                <w:rFonts w:hint="eastAsia"/>
                <w:sz w:val="21"/>
                <w:szCs w:val="21"/>
                <w:vertAlign w:val="baseline"/>
                <w:lang w:val="en-US" w:eastAsia="zh-C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c>
          <w:tcPr>
            <w:tcW w:w="1357" w:type="dxa"/>
            <w:noWrap w:val="0"/>
            <w:vAlign w:val="center"/>
          </w:tcPr>
          <w:p>
            <w:pPr>
              <w:snapToGrid w:val="0"/>
              <w:jc w:val="center"/>
              <w:rPr>
                <w:rFonts w:hint="default"/>
                <w:sz w:val="21"/>
                <w:szCs w:val="21"/>
                <w:highlight w:val="none"/>
                <w:vertAlign w:val="baseline"/>
                <w:lang w:val="en-US" w:eastAsia="zh-CN"/>
              </w:rPr>
            </w:pPr>
            <w:r>
              <w:rPr>
                <w:rFonts w:hint="eastAsia" w:ascii="Times New Roman" w:hAnsi="Times New Roman"/>
                <w:color w:val="000000"/>
                <w:szCs w:val="21"/>
                <w:highlight w:val="none"/>
              </w:rPr>
              <w:t>K</w:t>
            </w:r>
            <w:r>
              <w:rPr>
                <w:rFonts w:hint="eastAsia" w:ascii="Times New Roman" w:hAnsi="Times New Roman"/>
                <w:color w:val="000000"/>
                <w:szCs w:val="21"/>
                <w:highlight w:val="none"/>
                <w:vertAlign w:val="superscript"/>
              </w:rPr>
              <w:t>+</w:t>
            </w:r>
          </w:p>
        </w:tc>
        <w:tc>
          <w:tcPr>
            <w:tcW w:w="2027"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kern w:val="0"/>
                <w:szCs w:val="21"/>
              </w:rPr>
              <w:t>离子色谱法</w:t>
            </w:r>
          </w:p>
        </w:tc>
        <w:tc>
          <w:tcPr>
            <w:tcW w:w="2821"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kern w:val="0"/>
                <w:szCs w:val="21"/>
              </w:rPr>
              <w:t xml:space="preserve">HJ </w:t>
            </w:r>
            <w:r>
              <w:rPr>
                <w:rFonts w:hint="eastAsia" w:ascii="Times New Roman" w:hAnsi="Times New Roman"/>
                <w:kern w:val="0"/>
                <w:szCs w:val="21"/>
              </w:rPr>
              <w:t>812</w:t>
            </w:r>
            <w:r>
              <w:rPr>
                <w:rFonts w:ascii="Times New Roman" w:hAnsi="Times New Roman"/>
                <w:kern w:val="0"/>
                <w:szCs w:val="21"/>
              </w:rPr>
              <w:t>-2016</w:t>
            </w:r>
          </w:p>
        </w:tc>
        <w:tc>
          <w:tcPr>
            <w:tcW w:w="1504"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kern w:val="0"/>
                <w:szCs w:val="21"/>
              </w:rPr>
              <w:t>0.02</w:t>
            </w:r>
            <w:r>
              <w:rPr>
                <w:rFonts w:ascii="Times New Roman" w:hAnsi="Times New Roman"/>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w:t>
            </w:r>
          </w:p>
        </w:tc>
        <w:tc>
          <w:tcPr>
            <w:tcW w:w="1357" w:type="dxa"/>
            <w:noWrap w:val="0"/>
            <w:vAlign w:val="center"/>
          </w:tcPr>
          <w:p>
            <w:pPr>
              <w:snapToGrid w:val="0"/>
              <w:jc w:val="center"/>
              <w:rPr>
                <w:rFonts w:hint="default"/>
                <w:sz w:val="21"/>
                <w:szCs w:val="21"/>
                <w:highlight w:val="none"/>
                <w:vertAlign w:val="baseline"/>
                <w:lang w:val="en-US" w:eastAsia="zh-CN"/>
              </w:rPr>
            </w:pPr>
            <w:r>
              <w:rPr>
                <w:rFonts w:hint="eastAsia" w:ascii="Times New Roman" w:hAnsi="Times New Roman"/>
                <w:color w:val="000000"/>
                <w:szCs w:val="21"/>
                <w:highlight w:val="none"/>
              </w:rPr>
              <w:t>Na</w:t>
            </w:r>
            <w:r>
              <w:rPr>
                <w:rFonts w:hint="eastAsia" w:ascii="Times New Roman" w:hAnsi="Times New Roman"/>
                <w:color w:val="000000"/>
                <w:szCs w:val="21"/>
                <w:highlight w:val="none"/>
                <w:vertAlign w:val="superscript"/>
              </w:rPr>
              <w:t>+</w:t>
            </w:r>
          </w:p>
        </w:tc>
        <w:tc>
          <w:tcPr>
            <w:tcW w:w="2027"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kern w:val="0"/>
                <w:szCs w:val="21"/>
              </w:rPr>
              <w:t>离子色谱法</w:t>
            </w:r>
          </w:p>
        </w:tc>
        <w:tc>
          <w:tcPr>
            <w:tcW w:w="2821"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kern w:val="0"/>
                <w:szCs w:val="21"/>
              </w:rPr>
              <w:t xml:space="preserve">HJ </w:t>
            </w:r>
            <w:r>
              <w:rPr>
                <w:rFonts w:hint="eastAsia" w:ascii="Times New Roman" w:hAnsi="Times New Roman"/>
                <w:kern w:val="0"/>
                <w:szCs w:val="21"/>
              </w:rPr>
              <w:t>812</w:t>
            </w:r>
            <w:r>
              <w:rPr>
                <w:rFonts w:ascii="Times New Roman" w:hAnsi="Times New Roman"/>
                <w:kern w:val="0"/>
                <w:szCs w:val="21"/>
              </w:rPr>
              <w:t>-2016</w:t>
            </w:r>
          </w:p>
        </w:tc>
        <w:tc>
          <w:tcPr>
            <w:tcW w:w="1504"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kern w:val="0"/>
                <w:szCs w:val="21"/>
              </w:rPr>
              <w:t>0.02</w:t>
            </w:r>
            <w:r>
              <w:rPr>
                <w:rFonts w:ascii="Times New Roman" w:hAnsi="Times New Roman"/>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w:t>
            </w:r>
          </w:p>
        </w:tc>
        <w:tc>
          <w:tcPr>
            <w:tcW w:w="1357" w:type="dxa"/>
            <w:noWrap w:val="0"/>
            <w:vAlign w:val="center"/>
          </w:tcPr>
          <w:p>
            <w:pPr>
              <w:snapToGrid w:val="0"/>
              <w:jc w:val="center"/>
              <w:rPr>
                <w:rFonts w:hint="default"/>
                <w:sz w:val="21"/>
                <w:szCs w:val="21"/>
                <w:highlight w:val="none"/>
                <w:vertAlign w:val="baseline"/>
                <w:lang w:val="en-US" w:eastAsia="zh-CN"/>
              </w:rPr>
            </w:pPr>
            <w:r>
              <w:rPr>
                <w:rFonts w:hint="eastAsia" w:ascii="Times New Roman" w:hAnsi="Times New Roman"/>
                <w:color w:val="000000"/>
                <w:szCs w:val="21"/>
                <w:highlight w:val="none"/>
              </w:rPr>
              <w:t>Ca</w:t>
            </w:r>
            <w:r>
              <w:rPr>
                <w:rFonts w:hint="eastAsia" w:ascii="Times New Roman" w:hAnsi="Times New Roman"/>
                <w:color w:val="000000"/>
                <w:szCs w:val="21"/>
                <w:highlight w:val="none"/>
                <w:vertAlign w:val="superscript"/>
              </w:rPr>
              <w:t>2+</w:t>
            </w:r>
          </w:p>
        </w:tc>
        <w:tc>
          <w:tcPr>
            <w:tcW w:w="2027"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kern w:val="0"/>
                <w:szCs w:val="21"/>
              </w:rPr>
              <w:t>离子色谱法</w:t>
            </w:r>
          </w:p>
        </w:tc>
        <w:tc>
          <w:tcPr>
            <w:tcW w:w="2821"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kern w:val="0"/>
                <w:szCs w:val="21"/>
              </w:rPr>
              <w:t xml:space="preserve">HJ </w:t>
            </w:r>
            <w:r>
              <w:rPr>
                <w:rFonts w:hint="eastAsia" w:ascii="Times New Roman" w:hAnsi="Times New Roman"/>
                <w:kern w:val="0"/>
                <w:szCs w:val="21"/>
              </w:rPr>
              <w:t>812</w:t>
            </w:r>
            <w:r>
              <w:rPr>
                <w:rFonts w:ascii="Times New Roman" w:hAnsi="Times New Roman"/>
                <w:kern w:val="0"/>
                <w:szCs w:val="21"/>
              </w:rPr>
              <w:t>-2016</w:t>
            </w:r>
          </w:p>
        </w:tc>
        <w:tc>
          <w:tcPr>
            <w:tcW w:w="1504" w:type="dxa"/>
            <w:noWrap w:val="0"/>
            <w:vAlign w:val="center"/>
          </w:tcPr>
          <w:p>
            <w:pPr>
              <w:widowControl/>
              <w:adjustRightInd w:val="0"/>
              <w:snapToGrid w:val="0"/>
              <w:jc w:val="center"/>
              <w:rPr>
                <w:rFonts w:hint="default"/>
                <w:sz w:val="21"/>
                <w:szCs w:val="21"/>
                <w:vertAlign w:val="baseline"/>
                <w:lang w:val="en-US" w:eastAsia="zh-CN"/>
              </w:rPr>
            </w:pPr>
            <w:r>
              <w:rPr>
                <w:rFonts w:hint="eastAsia" w:ascii="Times New Roman" w:hAnsi="Times New Roman"/>
                <w:kern w:val="0"/>
                <w:szCs w:val="21"/>
              </w:rPr>
              <w:t>0.03</w:t>
            </w:r>
            <w:r>
              <w:rPr>
                <w:rFonts w:ascii="Times New Roman" w:hAnsi="Times New Roman"/>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w:t>
            </w:r>
          </w:p>
        </w:tc>
        <w:tc>
          <w:tcPr>
            <w:tcW w:w="1357" w:type="dxa"/>
            <w:noWrap w:val="0"/>
            <w:vAlign w:val="center"/>
          </w:tcPr>
          <w:p>
            <w:pPr>
              <w:snapToGrid w:val="0"/>
              <w:jc w:val="center"/>
              <w:rPr>
                <w:rFonts w:hint="default"/>
                <w:sz w:val="21"/>
                <w:szCs w:val="21"/>
                <w:highlight w:val="none"/>
                <w:vertAlign w:val="baseline"/>
                <w:lang w:val="en-US" w:eastAsia="zh-CN"/>
              </w:rPr>
            </w:pPr>
            <w:r>
              <w:rPr>
                <w:rFonts w:hint="eastAsia" w:ascii="Times New Roman" w:hAnsi="Times New Roman"/>
                <w:color w:val="000000"/>
                <w:szCs w:val="21"/>
                <w:highlight w:val="none"/>
              </w:rPr>
              <w:t>Mg</w:t>
            </w:r>
            <w:r>
              <w:rPr>
                <w:rFonts w:hint="eastAsia" w:ascii="Times New Roman" w:hAnsi="Times New Roman"/>
                <w:color w:val="000000"/>
                <w:szCs w:val="21"/>
                <w:highlight w:val="none"/>
                <w:vertAlign w:val="superscript"/>
              </w:rPr>
              <w:t>2+</w:t>
            </w:r>
          </w:p>
        </w:tc>
        <w:tc>
          <w:tcPr>
            <w:tcW w:w="2027"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kern w:val="0"/>
                <w:szCs w:val="21"/>
              </w:rPr>
              <w:t>离子色谱法</w:t>
            </w:r>
          </w:p>
        </w:tc>
        <w:tc>
          <w:tcPr>
            <w:tcW w:w="2821"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kern w:val="0"/>
                <w:szCs w:val="21"/>
              </w:rPr>
              <w:t xml:space="preserve">HJ </w:t>
            </w:r>
            <w:r>
              <w:rPr>
                <w:rFonts w:hint="eastAsia" w:ascii="Times New Roman" w:hAnsi="Times New Roman"/>
                <w:kern w:val="0"/>
                <w:szCs w:val="21"/>
              </w:rPr>
              <w:t>812</w:t>
            </w:r>
            <w:r>
              <w:rPr>
                <w:rFonts w:ascii="Times New Roman" w:hAnsi="Times New Roman"/>
                <w:kern w:val="0"/>
                <w:szCs w:val="21"/>
              </w:rPr>
              <w:t>-2016</w:t>
            </w:r>
          </w:p>
        </w:tc>
        <w:tc>
          <w:tcPr>
            <w:tcW w:w="1504"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kern w:val="0"/>
                <w:szCs w:val="21"/>
              </w:rPr>
              <w:t>0.02</w:t>
            </w:r>
            <w:r>
              <w:rPr>
                <w:rFonts w:ascii="Times New Roman" w:hAnsi="Times New Roman"/>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w:t>
            </w:r>
          </w:p>
        </w:tc>
        <w:tc>
          <w:tcPr>
            <w:tcW w:w="1357" w:type="dxa"/>
            <w:noWrap w:val="0"/>
            <w:vAlign w:val="center"/>
          </w:tcPr>
          <w:p>
            <w:pPr>
              <w:snapToGrid w:val="0"/>
              <w:jc w:val="center"/>
              <w:rPr>
                <w:rFonts w:hint="eastAsia" w:ascii="Times New Roman" w:hAnsi="Times New Roman" w:eastAsia="宋体"/>
                <w:color w:val="000000"/>
                <w:szCs w:val="21"/>
                <w:highlight w:val="none"/>
                <w:lang w:val="en-US" w:eastAsia="zh-CN"/>
              </w:rPr>
            </w:pPr>
            <w:r>
              <w:rPr>
                <w:rFonts w:hint="eastAsia" w:ascii="Times New Roman" w:hAnsi="Times New Roman"/>
                <w:color w:val="000000"/>
                <w:szCs w:val="21"/>
                <w:highlight w:val="none"/>
                <w:lang w:val="en-US" w:eastAsia="zh-CN"/>
              </w:rPr>
              <w:t>砷</w:t>
            </w:r>
          </w:p>
        </w:tc>
        <w:tc>
          <w:tcPr>
            <w:tcW w:w="2027" w:type="dxa"/>
            <w:noWrap w:val="0"/>
            <w:vAlign w:val="center"/>
          </w:tcPr>
          <w:p>
            <w:pPr>
              <w:snapToGrid w:val="0"/>
              <w:jc w:val="center"/>
              <w:rPr>
                <w:rFonts w:ascii="Times New Roman" w:hAnsi="Times New Roman"/>
                <w:kern w:val="0"/>
                <w:szCs w:val="21"/>
              </w:rPr>
            </w:pPr>
            <w:r>
              <w:rPr>
                <w:rFonts w:hint="eastAsia" w:ascii="Times New Roman" w:hAnsi="Times New Roman"/>
                <w:kern w:val="0"/>
                <w:szCs w:val="21"/>
              </w:rPr>
              <w:t>GB/T5750.6-2006</w:t>
            </w:r>
          </w:p>
        </w:tc>
        <w:tc>
          <w:tcPr>
            <w:tcW w:w="2821" w:type="dxa"/>
            <w:noWrap w:val="0"/>
            <w:vAlign w:val="center"/>
          </w:tcPr>
          <w:p>
            <w:pPr>
              <w:adjustRightInd w:val="0"/>
              <w:snapToGrid w:val="0"/>
              <w:jc w:val="center"/>
              <w:rPr>
                <w:rFonts w:ascii="Times New Roman" w:hAnsi="Times New Roman"/>
                <w:kern w:val="0"/>
                <w:szCs w:val="21"/>
              </w:rPr>
            </w:pPr>
            <w:r>
              <w:rPr>
                <w:rFonts w:hint="eastAsia" w:ascii="Times New Roman" w:hAnsi="Times New Roman"/>
                <w:kern w:val="0"/>
                <w:szCs w:val="21"/>
              </w:rPr>
              <w:t>原子荧光法</w:t>
            </w:r>
          </w:p>
        </w:tc>
        <w:tc>
          <w:tcPr>
            <w:tcW w:w="1504" w:type="dxa"/>
            <w:noWrap w:val="0"/>
            <w:vAlign w:val="center"/>
          </w:tcPr>
          <w:p>
            <w:pPr>
              <w:snapToGrid w:val="0"/>
              <w:jc w:val="center"/>
              <w:rPr>
                <w:rFonts w:hint="default" w:ascii="Times New Roman" w:hAnsi="Times New Roman" w:eastAsia="宋体"/>
                <w:kern w:val="0"/>
                <w:szCs w:val="21"/>
                <w:lang w:val="en-US" w:eastAsia="zh-CN"/>
              </w:rPr>
            </w:pPr>
            <w:r>
              <w:rPr>
                <w:rFonts w:hint="eastAsia" w:ascii="Times New Roman" w:hAnsi="Times New Roman"/>
                <w:kern w:val="0"/>
                <w:szCs w:val="21"/>
                <w:lang w:val="en-US" w:eastAsia="zh-CN"/>
              </w:rPr>
              <w:t>1.0</w:t>
            </w:r>
            <w:r>
              <w:rPr>
                <w:rFonts w:hint="default" w:ascii="Times New Roman" w:hAnsi="Times New Roman" w:cs="Times New Roman"/>
                <w:kern w:val="0"/>
                <w:szCs w:val="21"/>
                <w:lang w:val="en-US" w:eastAsia="zh-CN"/>
              </w:rPr>
              <w:t>μ</w:t>
            </w:r>
            <w:r>
              <w:rPr>
                <w:rFonts w:hint="eastAsia" w:ascii="Times New Roman" w:hAnsi="Times New Roman"/>
                <w:kern w:val="0"/>
                <w:szCs w:val="21"/>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w:t>
            </w:r>
          </w:p>
        </w:tc>
        <w:tc>
          <w:tcPr>
            <w:tcW w:w="1357" w:type="dxa"/>
            <w:noWrap w:val="0"/>
            <w:vAlign w:val="center"/>
          </w:tcPr>
          <w:p>
            <w:pPr>
              <w:snapToGrid w:val="0"/>
              <w:jc w:val="center"/>
              <w:rPr>
                <w:rFonts w:hint="eastAsia" w:ascii="Times New Roman" w:hAnsi="Times New Roman" w:eastAsia="宋体"/>
                <w:color w:val="000000"/>
                <w:szCs w:val="21"/>
                <w:highlight w:val="none"/>
                <w:lang w:val="en-US" w:eastAsia="zh-CN"/>
              </w:rPr>
            </w:pPr>
            <w:r>
              <w:rPr>
                <w:rFonts w:hint="eastAsia" w:ascii="Times New Roman" w:hAnsi="Times New Roman"/>
                <w:color w:val="000000"/>
                <w:szCs w:val="21"/>
                <w:highlight w:val="none"/>
                <w:lang w:val="en-US" w:eastAsia="zh-CN"/>
              </w:rPr>
              <w:t>汞</w:t>
            </w:r>
          </w:p>
        </w:tc>
        <w:tc>
          <w:tcPr>
            <w:tcW w:w="2027" w:type="dxa"/>
            <w:noWrap w:val="0"/>
            <w:vAlign w:val="center"/>
          </w:tcPr>
          <w:p>
            <w:pPr>
              <w:snapToGrid w:val="0"/>
              <w:jc w:val="center"/>
              <w:rPr>
                <w:rFonts w:ascii="Times New Roman" w:hAnsi="Times New Roman"/>
                <w:kern w:val="0"/>
                <w:szCs w:val="21"/>
              </w:rPr>
            </w:pPr>
            <w:r>
              <w:rPr>
                <w:rFonts w:hint="eastAsia" w:ascii="Times New Roman" w:hAnsi="Times New Roman"/>
                <w:kern w:val="0"/>
                <w:szCs w:val="21"/>
              </w:rPr>
              <w:t>GB/T5750.6-2006</w:t>
            </w:r>
          </w:p>
        </w:tc>
        <w:tc>
          <w:tcPr>
            <w:tcW w:w="2821" w:type="dxa"/>
            <w:noWrap w:val="0"/>
            <w:vAlign w:val="center"/>
          </w:tcPr>
          <w:p>
            <w:pPr>
              <w:adjustRightInd w:val="0"/>
              <w:snapToGrid w:val="0"/>
              <w:jc w:val="center"/>
              <w:rPr>
                <w:rFonts w:ascii="Times New Roman" w:hAnsi="Times New Roman"/>
                <w:kern w:val="0"/>
                <w:szCs w:val="21"/>
              </w:rPr>
            </w:pPr>
            <w:r>
              <w:rPr>
                <w:rFonts w:hint="eastAsia" w:ascii="Times New Roman" w:hAnsi="Times New Roman"/>
                <w:kern w:val="0"/>
                <w:szCs w:val="21"/>
              </w:rPr>
              <w:t>原子荧光法</w:t>
            </w:r>
          </w:p>
        </w:tc>
        <w:tc>
          <w:tcPr>
            <w:tcW w:w="1504" w:type="dxa"/>
            <w:noWrap w:val="0"/>
            <w:vAlign w:val="center"/>
          </w:tcPr>
          <w:p>
            <w:pPr>
              <w:snapToGrid w:val="0"/>
              <w:jc w:val="center"/>
              <w:rPr>
                <w:rFonts w:ascii="Times New Roman" w:hAnsi="Times New Roman"/>
                <w:kern w:val="0"/>
                <w:szCs w:val="21"/>
              </w:rPr>
            </w:pPr>
            <w:r>
              <w:rPr>
                <w:rFonts w:hint="eastAsia" w:ascii="Times New Roman" w:hAnsi="Times New Roman"/>
                <w:kern w:val="0"/>
                <w:szCs w:val="21"/>
                <w:lang w:val="en-US" w:eastAsia="zh-CN"/>
              </w:rPr>
              <w:t>0.01</w:t>
            </w:r>
            <w:r>
              <w:rPr>
                <w:rFonts w:hint="default" w:ascii="Times New Roman" w:hAnsi="Times New Roman" w:cs="Times New Roman"/>
                <w:kern w:val="0"/>
                <w:szCs w:val="21"/>
                <w:lang w:val="en-US" w:eastAsia="zh-CN"/>
              </w:rPr>
              <w:t>μ</w:t>
            </w:r>
            <w:r>
              <w:rPr>
                <w:rFonts w:hint="eastAsia" w:ascii="Times New Roman" w:hAnsi="Times New Roman"/>
                <w:kern w:val="0"/>
                <w:szCs w:val="21"/>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7</w:t>
            </w:r>
          </w:p>
        </w:tc>
        <w:tc>
          <w:tcPr>
            <w:tcW w:w="1357" w:type="dxa"/>
            <w:noWrap w:val="0"/>
            <w:vAlign w:val="center"/>
          </w:tcPr>
          <w:p>
            <w:pPr>
              <w:snapToGrid w:val="0"/>
              <w:jc w:val="center"/>
              <w:rPr>
                <w:rFonts w:hint="eastAsia" w:ascii="Times New Roman" w:hAnsi="Times New Roman" w:eastAsia="宋体"/>
                <w:color w:val="000000"/>
                <w:szCs w:val="21"/>
                <w:highlight w:val="none"/>
                <w:lang w:val="en-US" w:eastAsia="zh-CN"/>
              </w:rPr>
            </w:pPr>
            <w:r>
              <w:rPr>
                <w:rFonts w:hint="eastAsia" w:ascii="Times New Roman" w:hAnsi="Times New Roman"/>
                <w:color w:val="000000"/>
                <w:szCs w:val="21"/>
                <w:highlight w:val="none"/>
                <w:lang w:val="en-US" w:eastAsia="zh-CN"/>
              </w:rPr>
              <w:t>六价铬</w:t>
            </w:r>
          </w:p>
        </w:tc>
        <w:tc>
          <w:tcPr>
            <w:tcW w:w="2027" w:type="dxa"/>
            <w:noWrap w:val="0"/>
            <w:vAlign w:val="center"/>
          </w:tcPr>
          <w:p>
            <w:pPr>
              <w:snapToGrid w:val="0"/>
              <w:jc w:val="center"/>
              <w:rPr>
                <w:rFonts w:ascii="Times New Roman" w:hAnsi="Times New Roman"/>
                <w:kern w:val="0"/>
                <w:szCs w:val="21"/>
              </w:rPr>
            </w:pPr>
            <w:r>
              <w:rPr>
                <w:rFonts w:hint="eastAsia" w:ascii="Times New Roman" w:hAnsi="Times New Roman"/>
                <w:kern w:val="0"/>
                <w:szCs w:val="21"/>
              </w:rPr>
              <w:t>GB/T5750.6-2006</w:t>
            </w:r>
          </w:p>
        </w:tc>
        <w:tc>
          <w:tcPr>
            <w:tcW w:w="2821" w:type="dxa"/>
            <w:noWrap w:val="0"/>
            <w:vAlign w:val="center"/>
          </w:tcPr>
          <w:p>
            <w:pPr>
              <w:adjustRightInd w:val="0"/>
              <w:snapToGrid w:val="0"/>
              <w:jc w:val="center"/>
              <w:rPr>
                <w:rFonts w:ascii="Times New Roman" w:hAnsi="Times New Roman"/>
                <w:kern w:val="0"/>
                <w:szCs w:val="21"/>
              </w:rPr>
            </w:pPr>
            <w:r>
              <w:rPr>
                <w:rFonts w:hint="eastAsia" w:ascii="Times New Roman" w:hAnsi="Times New Roman"/>
                <w:kern w:val="0"/>
                <w:szCs w:val="21"/>
              </w:rPr>
              <w:t>原子荧光法</w:t>
            </w:r>
          </w:p>
        </w:tc>
        <w:tc>
          <w:tcPr>
            <w:tcW w:w="1504" w:type="dxa"/>
            <w:noWrap w:val="0"/>
            <w:vAlign w:val="center"/>
          </w:tcPr>
          <w:p>
            <w:pPr>
              <w:snapToGrid w:val="0"/>
              <w:jc w:val="center"/>
              <w:rPr>
                <w:rFonts w:ascii="Times New Roman" w:hAnsi="Times New Roman"/>
                <w:kern w:val="0"/>
                <w:szCs w:val="21"/>
              </w:rPr>
            </w:pPr>
            <w:r>
              <w:rPr>
                <w:rFonts w:hint="eastAsia" w:ascii="Times New Roman" w:hAnsi="Times New Roman"/>
                <w:kern w:val="0"/>
                <w:szCs w:val="21"/>
                <w:lang w:val="en-US" w:eastAsia="zh-CN"/>
              </w:rPr>
              <w:t>0.004</w:t>
            </w:r>
            <w:r>
              <w:rPr>
                <w:rFonts w:hint="default" w:ascii="Times New Roman" w:hAnsi="Times New Roman" w:cs="Times New Roman"/>
                <w:kern w:val="0"/>
                <w:szCs w:val="21"/>
                <w:lang w:val="en-US" w:eastAsia="zh-CN"/>
              </w:rPr>
              <w:t>μ</w:t>
            </w:r>
            <w:r>
              <w:rPr>
                <w:rFonts w:hint="eastAsia" w:ascii="Times New Roman" w:hAnsi="Times New Roman"/>
                <w:kern w:val="0"/>
                <w:szCs w:val="21"/>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8</w:t>
            </w:r>
          </w:p>
        </w:tc>
        <w:tc>
          <w:tcPr>
            <w:tcW w:w="1357" w:type="dxa"/>
            <w:noWrap w:val="0"/>
            <w:vAlign w:val="center"/>
          </w:tcPr>
          <w:p>
            <w:pPr>
              <w:snapToGrid w:val="0"/>
              <w:jc w:val="center"/>
              <w:rPr>
                <w:rFonts w:hint="eastAsia" w:ascii="Times New Roman" w:hAnsi="Times New Roman" w:eastAsia="宋体"/>
                <w:color w:val="000000"/>
                <w:szCs w:val="21"/>
                <w:highlight w:val="none"/>
                <w:lang w:val="en-US" w:eastAsia="zh-CN"/>
              </w:rPr>
            </w:pPr>
            <w:r>
              <w:rPr>
                <w:rFonts w:hint="eastAsia" w:ascii="Times New Roman" w:hAnsi="Times New Roman"/>
                <w:color w:val="000000"/>
                <w:szCs w:val="21"/>
                <w:highlight w:val="none"/>
                <w:lang w:val="en-US" w:eastAsia="zh-CN"/>
              </w:rPr>
              <w:t>铅</w:t>
            </w:r>
          </w:p>
        </w:tc>
        <w:tc>
          <w:tcPr>
            <w:tcW w:w="2027" w:type="dxa"/>
            <w:noWrap w:val="0"/>
            <w:vAlign w:val="center"/>
          </w:tcPr>
          <w:p>
            <w:pPr>
              <w:snapToGrid w:val="0"/>
              <w:jc w:val="center"/>
              <w:rPr>
                <w:rFonts w:ascii="Times New Roman" w:hAnsi="Times New Roman"/>
                <w:kern w:val="0"/>
                <w:szCs w:val="21"/>
              </w:rPr>
            </w:pPr>
            <w:r>
              <w:rPr>
                <w:rFonts w:hint="eastAsia" w:ascii="Times New Roman" w:hAnsi="Times New Roman"/>
                <w:kern w:val="0"/>
                <w:szCs w:val="21"/>
              </w:rPr>
              <w:t>HJ700-2014</w:t>
            </w:r>
          </w:p>
        </w:tc>
        <w:tc>
          <w:tcPr>
            <w:tcW w:w="2821" w:type="dxa"/>
            <w:noWrap w:val="0"/>
            <w:vAlign w:val="center"/>
          </w:tcPr>
          <w:p>
            <w:pPr>
              <w:adjustRightInd w:val="0"/>
              <w:snapToGrid w:val="0"/>
              <w:jc w:val="center"/>
              <w:rPr>
                <w:rFonts w:ascii="Times New Roman" w:hAnsi="Times New Roman"/>
                <w:kern w:val="0"/>
                <w:szCs w:val="21"/>
              </w:rPr>
            </w:pPr>
            <w:r>
              <w:rPr>
                <w:rFonts w:hint="eastAsia" w:ascii="Times New Roman" w:hAnsi="Times New Roman"/>
                <w:kern w:val="0"/>
                <w:szCs w:val="21"/>
              </w:rPr>
              <w:t>电感耦合等离子体质谱法</w:t>
            </w:r>
          </w:p>
        </w:tc>
        <w:tc>
          <w:tcPr>
            <w:tcW w:w="1504" w:type="dxa"/>
            <w:noWrap w:val="0"/>
            <w:vAlign w:val="center"/>
          </w:tcPr>
          <w:p>
            <w:pPr>
              <w:snapToGrid w:val="0"/>
              <w:jc w:val="center"/>
              <w:rPr>
                <w:rFonts w:ascii="Times New Roman" w:hAnsi="Times New Roman"/>
                <w:kern w:val="0"/>
                <w:szCs w:val="21"/>
              </w:rPr>
            </w:pPr>
            <w:r>
              <w:rPr>
                <w:rFonts w:hint="eastAsia" w:ascii="Times New Roman" w:hAnsi="Times New Roman"/>
                <w:kern w:val="0"/>
                <w:szCs w:val="21"/>
                <w:lang w:val="en-US" w:eastAsia="zh-CN"/>
              </w:rPr>
              <w:t>0.09</w:t>
            </w:r>
            <w:r>
              <w:rPr>
                <w:rFonts w:hint="default" w:ascii="Times New Roman" w:hAnsi="Times New Roman" w:cs="Times New Roman"/>
                <w:kern w:val="0"/>
                <w:szCs w:val="21"/>
                <w:lang w:val="en-US" w:eastAsia="zh-CN"/>
              </w:rPr>
              <w:t>μ</w:t>
            </w:r>
            <w:r>
              <w:rPr>
                <w:rFonts w:hint="eastAsia" w:ascii="Times New Roman" w:hAnsi="Times New Roman"/>
                <w:kern w:val="0"/>
                <w:szCs w:val="21"/>
                <w:lang w:val="en-US" w:eastAsia="zh-CN"/>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9</w:t>
            </w:r>
          </w:p>
        </w:tc>
        <w:tc>
          <w:tcPr>
            <w:tcW w:w="1357" w:type="dxa"/>
            <w:noWrap w:val="0"/>
            <w:vAlign w:val="center"/>
          </w:tcPr>
          <w:p>
            <w:pPr>
              <w:snapToGrid w:val="0"/>
              <w:jc w:val="center"/>
              <w:rPr>
                <w:rFonts w:hint="eastAsia" w:ascii="Times New Roman" w:hAnsi="Times New Roman" w:eastAsia="宋体"/>
                <w:color w:val="000000"/>
                <w:szCs w:val="21"/>
                <w:highlight w:val="none"/>
                <w:lang w:val="en-US" w:eastAsia="zh-CN"/>
              </w:rPr>
            </w:pPr>
            <w:r>
              <w:rPr>
                <w:rFonts w:hint="eastAsia" w:ascii="Times New Roman" w:hAnsi="Times New Roman"/>
                <w:color w:val="000000"/>
                <w:szCs w:val="21"/>
                <w:highlight w:val="none"/>
                <w:lang w:val="en-US" w:eastAsia="zh-CN"/>
              </w:rPr>
              <w:t>镉</w:t>
            </w:r>
          </w:p>
        </w:tc>
        <w:tc>
          <w:tcPr>
            <w:tcW w:w="2027" w:type="dxa"/>
            <w:noWrap w:val="0"/>
            <w:vAlign w:val="center"/>
          </w:tcPr>
          <w:p>
            <w:pPr>
              <w:snapToGrid w:val="0"/>
              <w:jc w:val="center"/>
              <w:rPr>
                <w:rFonts w:ascii="Times New Roman" w:hAnsi="Times New Roman"/>
                <w:kern w:val="0"/>
                <w:szCs w:val="21"/>
              </w:rPr>
            </w:pPr>
            <w:r>
              <w:rPr>
                <w:rFonts w:hint="eastAsia" w:ascii="Times New Roman" w:hAnsi="Times New Roman"/>
                <w:kern w:val="0"/>
                <w:szCs w:val="21"/>
              </w:rPr>
              <w:t>HJ700-2014</w:t>
            </w:r>
          </w:p>
        </w:tc>
        <w:tc>
          <w:tcPr>
            <w:tcW w:w="2821" w:type="dxa"/>
            <w:noWrap w:val="0"/>
            <w:vAlign w:val="center"/>
          </w:tcPr>
          <w:p>
            <w:pPr>
              <w:adjustRightInd w:val="0"/>
              <w:snapToGrid w:val="0"/>
              <w:jc w:val="center"/>
              <w:rPr>
                <w:rFonts w:ascii="Times New Roman" w:hAnsi="Times New Roman"/>
                <w:kern w:val="0"/>
                <w:szCs w:val="21"/>
              </w:rPr>
            </w:pPr>
            <w:r>
              <w:rPr>
                <w:rFonts w:hint="eastAsia" w:ascii="Times New Roman" w:hAnsi="Times New Roman"/>
                <w:kern w:val="0"/>
                <w:szCs w:val="21"/>
              </w:rPr>
              <w:t>电感耦合等离子体质谱法</w:t>
            </w:r>
          </w:p>
        </w:tc>
        <w:tc>
          <w:tcPr>
            <w:tcW w:w="1504" w:type="dxa"/>
            <w:noWrap w:val="0"/>
            <w:vAlign w:val="center"/>
          </w:tcPr>
          <w:p>
            <w:pPr>
              <w:snapToGrid w:val="0"/>
              <w:jc w:val="center"/>
              <w:rPr>
                <w:rFonts w:ascii="Times New Roman" w:hAnsi="Times New Roman"/>
                <w:kern w:val="0"/>
                <w:szCs w:val="21"/>
              </w:rPr>
            </w:pPr>
            <w:r>
              <w:rPr>
                <w:rFonts w:hint="eastAsia" w:ascii="Times New Roman" w:hAnsi="Times New Roman"/>
                <w:kern w:val="0"/>
                <w:szCs w:val="21"/>
                <w:lang w:val="en-US" w:eastAsia="zh-CN"/>
              </w:rPr>
              <w:t>0.00005mg/L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10</w:t>
            </w:r>
          </w:p>
        </w:tc>
        <w:tc>
          <w:tcPr>
            <w:tcW w:w="1357" w:type="dxa"/>
            <w:noWrap w:val="0"/>
            <w:vAlign w:val="center"/>
          </w:tcPr>
          <w:p>
            <w:pPr>
              <w:snapToGrid w:val="0"/>
              <w:jc w:val="center"/>
              <w:rPr>
                <w:rFonts w:hint="eastAsia" w:ascii="Times New Roman" w:hAnsi="Times New Roman" w:eastAsia="宋体"/>
                <w:color w:val="000000"/>
                <w:szCs w:val="21"/>
                <w:highlight w:val="none"/>
                <w:lang w:val="en-US" w:eastAsia="zh-CN"/>
              </w:rPr>
            </w:pPr>
            <w:r>
              <w:rPr>
                <w:rFonts w:hint="eastAsia" w:ascii="Times New Roman" w:hAnsi="Times New Roman"/>
                <w:color w:val="000000"/>
                <w:szCs w:val="21"/>
                <w:highlight w:val="none"/>
                <w:lang w:val="en-US" w:eastAsia="zh-CN"/>
              </w:rPr>
              <w:t>铁</w:t>
            </w:r>
          </w:p>
        </w:tc>
        <w:tc>
          <w:tcPr>
            <w:tcW w:w="2027" w:type="dxa"/>
            <w:noWrap w:val="0"/>
            <w:vAlign w:val="center"/>
          </w:tcPr>
          <w:p>
            <w:pPr>
              <w:jc w:val="center"/>
              <w:rPr>
                <w:rFonts w:ascii="Times New Roman" w:hAnsi="Times New Roman"/>
                <w:kern w:val="0"/>
                <w:szCs w:val="21"/>
              </w:rPr>
            </w:pPr>
            <w:r>
              <w:rPr>
                <w:rFonts w:hint="default" w:ascii="Times New Roman" w:hAnsi="Times New Roman" w:cs="Times New Roman"/>
                <w:color w:val="auto"/>
                <w:szCs w:val="21"/>
              </w:rPr>
              <w:t xml:space="preserve">GB/T5750.6-2006 </w:t>
            </w:r>
            <w:r>
              <w:rPr>
                <w:rFonts w:hint="default" w:ascii="Times New Roman" w:hAnsi="Times New Roman" w:cs="Times New Roman"/>
                <w:color w:val="auto"/>
                <w:sz w:val="21"/>
                <w:szCs w:val="21"/>
                <w:highlight w:val="none"/>
                <w:lang w:val="en-US" w:eastAsia="zh-CN"/>
              </w:rPr>
              <w:t>/2.3</w:t>
            </w:r>
          </w:p>
        </w:tc>
        <w:tc>
          <w:tcPr>
            <w:tcW w:w="2821" w:type="dxa"/>
            <w:noWrap w:val="0"/>
            <w:vAlign w:val="center"/>
          </w:tcPr>
          <w:p>
            <w:pPr>
              <w:jc w:val="center"/>
              <w:rPr>
                <w:rFonts w:ascii="Times New Roman" w:hAnsi="Times New Roman"/>
                <w:kern w:val="0"/>
                <w:szCs w:val="21"/>
              </w:rPr>
            </w:pPr>
            <w:r>
              <w:rPr>
                <w:rFonts w:hint="default" w:ascii="Times New Roman" w:hAnsi="Times New Roman" w:cs="Times New Roman"/>
                <w:color w:val="auto"/>
                <w:sz w:val="21"/>
                <w:szCs w:val="21"/>
              </w:rPr>
              <w:t>电感耦合等离子体发射光谱法</w:t>
            </w:r>
          </w:p>
        </w:tc>
        <w:tc>
          <w:tcPr>
            <w:tcW w:w="1504" w:type="dxa"/>
            <w:noWrap w:val="0"/>
            <w:vAlign w:val="center"/>
          </w:tcPr>
          <w:p>
            <w:pPr>
              <w:jc w:val="center"/>
              <w:rPr>
                <w:rFonts w:ascii="Times New Roman" w:hAnsi="Times New Roman"/>
                <w:kern w:val="0"/>
                <w:szCs w:val="21"/>
              </w:rPr>
            </w:pPr>
            <w:r>
              <w:rPr>
                <w:rFonts w:hint="default" w:ascii="Times New Roman" w:hAnsi="Times New Roman" w:eastAsia="宋体" w:cs="Times New Roman"/>
                <w:color w:val="auto"/>
                <w:sz w:val="21"/>
                <w:szCs w:val="21"/>
              </w:rPr>
              <w:t>6.0</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10</w:t>
            </w:r>
            <w:r>
              <w:rPr>
                <w:rFonts w:hint="default" w:ascii="Times New Roman" w:hAnsi="Times New Roman" w:eastAsia="宋体" w:cs="Times New Roman"/>
                <w:color w:val="auto"/>
                <w:sz w:val="21"/>
                <w:szCs w:val="21"/>
                <w:vertAlign w:val="superscript"/>
              </w:rPr>
              <w:t>-4</w:t>
            </w:r>
            <w:r>
              <w:rPr>
                <w:rFonts w:hint="default" w:ascii="Times New Roman" w:hAnsi="Times New Roman" w:eastAsia="宋体" w:cs="Times New Roman"/>
                <w:color w:val="auto"/>
                <w:sz w:val="21"/>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11</w:t>
            </w:r>
          </w:p>
        </w:tc>
        <w:tc>
          <w:tcPr>
            <w:tcW w:w="1357" w:type="dxa"/>
            <w:noWrap w:val="0"/>
            <w:vAlign w:val="center"/>
          </w:tcPr>
          <w:p>
            <w:pPr>
              <w:snapToGrid w:val="0"/>
              <w:jc w:val="center"/>
              <w:rPr>
                <w:rFonts w:hint="eastAsia" w:ascii="Times New Roman" w:hAnsi="Times New Roman" w:eastAsia="宋体"/>
                <w:color w:val="000000"/>
                <w:szCs w:val="21"/>
                <w:highlight w:val="none"/>
                <w:lang w:val="en-US" w:eastAsia="zh-CN"/>
              </w:rPr>
            </w:pPr>
            <w:r>
              <w:rPr>
                <w:rFonts w:hint="eastAsia" w:ascii="Times New Roman" w:hAnsi="Times New Roman"/>
                <w:color w:val="000000"/>
                <w:szCs w:val="21"/>
                <w:highlight w:val="none"/>
                <w:lang w:val="en-US" w:eastAsia="zh-CN"/>
              </w:rPr>
              <w:t>锰</w:t>
            </w:r>
          </w:p>
        </w:tc>
        <w:tc>
          <w:tcPr>
            <w:tcW w:w="2027" w:type="dxa"/>
            <w:noWrap w:val="0"/>
            <w:vAlign w:val="center"/>
          </w:tcPr>
          <w:p>
            <w:pPr>
              <w:jc w:val="center"/>
              <w:rPr>
                <w:rFonts w:ascii="Times New Roman" w:hAnsi="Times New Roman"/>
                <w:kern w:val="0"/>
                <w:szCs w:val="21"/>
              </w:rPr>
            </w:pPr>
            <w:r>
              <w:rPr>
                <w:rFonts w:hint="default" w:ascii="Times New Roman" w:hAnsi="Times New Roman" w:cs="Times New Roman"/>
                <w:color w:val="auto"/>
                <w:szCs w:val="21"/>
              </w:rPr>
              <w:t>GB/T 5750.6-2006</w:t>
            </w:r>
            <w:r>
              <w:rPr>
                <w:rFonts w:hint="default" w:ascii="Times New Roman" w:hAnsi="Times New Roman" w:cs="Times New Roman"/>
                <w:color w:val="auto"/>
                <w:sz w:val="21"/>
                <w:szCs w:val="21"/>
                <w:highlight w:val="none"/>
                <w:lang w:val="en-US" w:eastAsia="zh-CN"/>
              </w:rPr>
              <w:t>/3.5</w:t>
            </w:r>
          </w:p>
        </w:tc>
        <w:tc>
          <w:tcPr>
            <w:tcW w:w="2821" w:type="dxa"/>
            <w:noWrap w:val="0"/>
            <w:vAlign w:val="center"/>
          </w:tcPr>
          <w:p>
            <w:pPr>
              <w:jc w:val="center"/>
              <w:rPr>
                <w:rFonts w:ascii="Times New Roman" w:hAnsi="Times New Roman"/>
                <w:kern w:val="0"/>
                <w:szCs w:val="21"/>
              </w:rPr>
            </w:pPr>
            <w:r>
              <w:rPr>
                <w:rFonts w:hint="default" w:ascii="Times New Roman" w:hAnsi="Times New Roman" w:cs="Times New Roman"/>
                <w:color w:val="auto"/>
                <w:sz w:val="21"/>
                <w:szCs w:val="21"/>
              </w:rPr>
              <w:t>电感耦合等离子体发射光谱法</w:t>
            </w:r>
          </w:p>
        </w:tc>
        <w:tc>
          <w:tcPr>
            <w:tcW w:w="1504" w:type="dxa"/>
            <w:noWrap w:val="0"/>
            <w:vAlign w:val="center"/>
          </w:tcPr>
          <w:p>
            <w:pPr>
              <w:jc w:val="center"/>
              <w:rPr>
                <w:rFonts w:ascii="Times New Roman" w:hAnsi="Times New Roman"/>
                <w:kern w:val="0"/>
                <w:szCs w:val="21"/>
              </w:rPr>
            </w:pPr>
            <w:r>
              <w:rPr>
                <w:rFonts w:hint="default" w:ascii="Times New Roman" w:hAnsi="Times New Roman" w:eastAsia="宋体" w:cs="Times New Roman"/>
                <w:color w:val="auto"/>
                <w:sz w:val="21"/>
                <w:szCs w:val="21"/>
              </w:rPr>
              <w:t>3.0</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10</w:t>
            </w:r>
            <w:r>
              <w:rPr>
                <w:rFonts w:hint="default" w:ascii="Times New Roman" w:hAnsi="Times New Roman" w:eastAsia="宋体" w:cs="Times New Roman"/>
                <w:color w:val="auto"/>
                <w:sz w:val="21"/>
                <w:szCs w:val="21"/>
                <w:vertAlign w:val="superscript"/>
              </w:rPr>
              <w:t>-4</w:t>
            </w:r>
            <w:r>
              <w:rPr>
                <w:rFonts w:hint="default" w:ascii="Times New Roman" w:hAnsi="Times New Roman" w:eastAsia="宋体" w:cs="Times New Roman"/>
                <w:color w:val="auto"/>
                <w:sz w:val="21"/>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12</w:t>
            </w:r>
          </w:p>
        </w:tc>
        <w:tc>
          <w:tcPr>
            <w:tcW w:w="1357" w:type="dxa"/>
            <w:noWrap w:val="0"/>
            <w:vAlign w:val="center"/>
          </w:tcPr>
          <w:p>
            <w:pPr>
              <w:snapToGrid w:val="0"/>
              <w:jc w:val="center"/>
              <w:rPr>
                <w:rFonts w:hint="default"/>
                <w:sz w:val="21"/>
                <w:szCs w:val="21"/>
                <w:highlight w:val="none"/>
                <w:vertAlign w:val="baseline"/>
                <w:lang w:val="en-US" w:eastAsia="zh-CN"/>
              </w:rPr>
            </w:pPr>
            <w:r>
              <w:rPr>
                <w:rFonts w:ascii="Times New Roman" w:hAnsi="Times New Roman"/>
                <w:color w:val="000000"/>
                <w:szCs w:val="21"/>
                <w:highlight w:val="none"/>
              </w:rPr>
              <w:t>pH</w:t>
            </w:r>
          </w:p>
        </w:tc>
        <w:tc>
          <w:tcPr>
            <w:tcW w:w="2027" w:type="dxa"/>
            <w:noWrap w:val="0"/>
            <w:vAlign w:val="center"/>
          </w:tcPr>
          <w:p>
            <w:pPr>
              <w:jc w:val="center"/>
              <w:rPr>
                <w:rFonts w:hint="default"/>
                <w:sz w:val="21"/>
                <w:szCs w:val="21"/>
                <w:vertAlign w:val="baseline"/>
                <w:lang w:val="en-US" w:eastAsia="zh-CN"/>
              </w:rPr>
            </w:pPr>
            <w:r>
              <w:rPr>
                <w:rFonts w:ascii="Times New Roman" w:hAnsi="Times New Roman"/>
                <w:color w:val="000000"/>
                <w:szCs w:val="21"/>
              </w:rPr>
              <w:t>玻璃电极法</w:t>
            </w:r>
          </w:p>
        </w:tc>
        <w:tc>
          <w:tcPr>
            <w:tcW w:w="2821" w:type="dxa"/>
            <w:noWrap w:val="0"/>
            <w:vAlign w:val="center"/>
          </w:tcPr>
          <w:p>
            <w:pPr>
              <w:jc w:val="center"/>
              <w:rPr>
                <w:rFonts w:hint="default"/>
                <w:sz w:val="21"/>
                <w:szCs w:val="21"/>
                <w:vertAlign w:val="baseline"/>
                <w:lang w:val="en-US" w:eastAsia="zh-CN"/>
              </w:rPr>
            </w:pPr>
            <w:r>
              <w:rPr>
                <w:rFonts w:ascii="Times New Roman" w:hAnsi="Times New Roman"/>
                <w:kern w:val="0"/>
                <w:szCs w:val="21"/>
              </w:rPr>
              <w:t>GB/T 5750.4-2006</w:t>
            </w:r>
          </w:p>
        </w:tc>
        <w:tc>
          <w:tcPr>
            <w:tcW w:w="1504" w:type="dxa"/>
            <w:noWrap w:val="0"/>
            <w:vAlign w:val="center"/>
          </w:tcPr>
          <w:p>
            <w:pPr>
              <w:snapToGrid w:val="0"/>
              <w:jc w:val="center"/>
              <w:rPr>
                <w:rFonts w:hint="default"/>
                <w:sz w:val="21"/>
                <w:szCs w:val="21"/>
                <w:vertAlign w:val="baseline"/>
                <w:lang w:val="en-US" w:eastAsia="zh-CN"/>
              </w:rPr>
            </w:pPr>
            <w:r>
              <w:rPr>
                <w:rFonts w:ascii="Times New Roman" w:hAnsi="Times New Roman"/>
                <w:szCs w:val="21"/>
              </w:rPr>
              <w:t>0.01（</w:t>
            </w:r>
            <w:r>
              <w:rPr>
                <w:rFonts w:ascii="Times New Roman" w:hAnsi="Times New Roman"/>
                <w:color w:val="000000"/>
                <w:szCs w:val="21"/>
              </w:rPr>
              <w:t>pH值</w:t>
            </w:r>
            <w:r>
              <w:rPr>
                <w:rFonts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13</w:t>
            </w:r>
          </w:p>
        </w:tc>
        <w:tc>
          <w:tcPr>
            <w:tcW w:w="1357" w:type="dxa"/>
            <w:noWrap w:val="0"/>
            <w:vAlign w:val="center"/>
          </w:tcPr>
          <w:p>
            <w:pPr>
              <w:snapToGrid w:val="0"/>
              <w:jc w:val="center"/>
              <w:rPr>
                <w:rFonts w:hint="default"/>
                <w:sz w:val="21"/>
                <w:szCs w:val="21"/>
                <w:highlight w:val="none"/>
                <w:vertAlign w:val="baseline"/>
                <w:lang w:val="en-US" w:eastAsia="zh-CN"/>
              </w:rPr>
            </w:pPr>
            <w:r>
              <w:rPr>
                <w:rFonts w:ascii="Times New Roman" w:hAnsi="Times New Roman"/>
                <w:color w:val="000000"/>
                <w:szCs w:val="21"/>
                <w:highlight w:val="none"/>
              </w:rPr>
              <w:t>总硬度</w:t>
            </w:r>
          </w:p>
        </w:tc>
        <w:tc>
          <w:tcPr>
            <w:tcW w:w="2027" w:type="dxa"/>
            <w:noWrap w:val="0"/>
            <w:vAlign w:val="center"/>
          </w:tcPr>
          <w:p>
            <w:pPr>
              <w:jc w:val="center"/>
              <w:rPr>
                <w:rFonts w:hint="default"/>
                <w:sz w:val="21"/>
                <w:szCs w:val="21"/>
                <w:vertAlign w:val="baseline"/>
                <w:lang w:val="en-US" w:eastAsia="zh-CN"/>
              </w:rPr>
            </w:pPr>
            <w:r>
              <w:rPr>
                <w:rFonts w:ascii="Times New Roman" w:hAnsi="Times New Roman"/>
                <w:kern w:val="0"/>
                <w:szCs w:val="21"/>
              </w:rPr>
              <w:t>滴定法</w:t>
            </w:r>
          </w:p>
        </w:tc>
        <w:tc>
          <w:tcPr>
            <w:tcW w:w="2821" w:type="dxa"/>
            <w:noWrap w:val="0"/>
            <w:vAlign w:val="center"/>
          </w:tcPr>
          <w:p>
            <w:pPr>
              <w:widowControl/>
              <w:jc w:val="center"/>
              <w:textAlignment w:val="center"/>
              <w:rPr>
                <w:rFonts w:hint="default"/>
                <w:sz w:val="21"/>
                <w:szCs w:val="21"/>
                <w:vertAlign w:val="baseline"/>
                <w:lang w:val="en-US" w:eastAsia="zh-CN"/>
              </w:rPr>
            </w:pPr>
            <w:r>
              <w:rPr>
                <w:rFonts w:ascii="Times New Roman" w:hAnsi="Times New Roman"/>
                <w:kern w:val="0"/>
                <w:szCs w:val="21"/>
              </w:rPr>
              <w:t>GB/T 5750.4-2006</w:t>
            </w:r>
          </w:p>
        </w:tc>
        <w:tc>
          <w:tcPr>
            <w:tcW w:w="1504" w:type="dxa"/>
            <w:noWrap w:val="0"/>
            <w:vAlign w:val="center"/>
          </w:tcPr>
          <w:p>
            <w:pPr>
              <w:snapToGrid w:val="0"/>
              <w:jc w:val="center"/>
              <w:rPr>
                <w:rFonts w:hint="default"/>
                <w:sz w:val="21"/>
                <w:szCs w:val="21"/>
                <w:vertAlign w:val="baseline"/>
                <w:lang w:val="en-US" w:eastAsia="zh-CN"/>
              </w:rPr>
            </w:pPr>
            <w:r>
              <w:rPr>
                <w:rFonts w:ascii="Times New Roman" w:hAnsi="Times New Roman"/>
                <w:kern w:val="0"/>
                <w:szCs w:val="21"/>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14</w:t>
            </w:r>
          </w:p>
        </w:tc>
        <w:tc>
          <w:tcPr>
            <w:tcW w:w="1357" w:type="dxa"/>
            <w:noWrap w:val="0"/>
            <w:vAlign w:val="center"/>
          </w:tcPr>
          <w:p>
            <w:pPr>
              <w:snapToGrid w:val="0"/>
              <w:jc w:val="center"/>
              <w:rPr>
                <w:rFonts w:hint="default"/>
                <w:sz w:val="21"/>
                <w:szCs w:val="21"/>
                <w:highlight w:val="none"/>
                <w:vertAlign w:val="baseline"/>
                <w:lang w:val="en-US" w:eastAsia="zh-CN"/>
              </w:rPr>
            </w:pPr>
            <w:r>
              <w:rPr>
                <w:rFonts w:ascii="Times New Roman" w:hAnsi="Times New Roman"/>
                <w:color w:val="000000"/>
                <w:szCs w:val="21"/>
                <w:highlight w:val="none"/>
              </w:rPr>
              <w:t>溶解性总固体</w:t>
            </w:r>
          </w:p>
        </w:tc>
        <w:tc>
          <w:tcPr>
            <w:tcW w:w="2027" w:type="dxa"/>
            <w:noWrap w:val="0"/>
            <w:vAlign w:val="center"/>
          </w:tcPr>
          <w:p>
            <w:pPr>
              <w:jc w:val="center"/>
              <w:rPr>
                <w:rFonts w:hint="default"/>
                <w:sz w:val="21"/>
                <w:szCs w:val="21"/>
                <w:vertAlign w:val="baseline"/>
                <w:lang w:val="en-US" w:eastAsia="zh-CN"/>
              </w:rPr>
            </w:pPr>
            <w:r>
              <w:rPr>
                <w:rFonts w:ascii="Times New Roman" w:hAnsi="Times New Roman"/>
                <w:kern w:val="0"/>
                <w:szCs w:val="21"/>
              </w:rPr>
              <w:t>称量法</w:t>
            </w:r>
          </w:p>
        </w:tc>
        <w:tc>
          <w:tcPr>
            <w:tcW w:w="2821" w:type="dxa"/>
            <w:noWrap w:val="0"/>
            <w:vAlign w:val="center"/>
          </w:tcPr>
          <w:p>
            <w:pPr>
              <w:jc w:val="center"/>
              <w:rPr>
                <w:rFonts w:hint="default"/>
                <w:sz w:val="21"/>
                <w:szCs w:val="21"/>
                <w:vertAlign w:val="baseline"/>
                <w:lang w:val="en-US" w:eastAsia="zh-CN"/>
              </w:rPr>
            </w:pPr>
            <w:r>
              <w:rPr>
                <w:rFonts w:ascii="Times New Roman" w:hAnsi="Times New Roman"/>
                <w:kern w:val="0"/>
                <w:szCs w:val="21"/>
              </w:rPr>
              <w:t>GB/T 5750.4-2006</w:t>
            </w:r>
          </w:p>
        </w:tc>
        <w:tc>
          <w:tcPr>
            <w:tcW w:w="1504"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357" w:type="dxa"/>
            <w:noWrap w:val="0"/>
            <w:vAlign w:val="center"/>
          </w:tcPr>
          <w:p>
            <w:pPr>
              <w:snapToGrid w:val="0"/>
              <w:jc w:val="center"/>
              <w:rPr>
                <w:rFonts w:hint="default"/>
                <w:sz w:val="21"/>
                <w:szCs w:val="21"/>
                <w:highlight w:val="none"/>
                <w:vertAlign w:val="baseline"/>
                <w:lang w:val="en-US" w:eastAsia="zh-CN"/>
              </w:rPr>
            </w:pPr>
            <w:r>
              <w:rPr>
                <w:rFonts w:ascii="Times New Roman" w:hAnsi="Times New Roman"/>
                <w:color w:val="000000"/>
                <w:szCs w:val="21"/>
                <w:highlight w:val="none"/>
              </w:rPr>
              <w:t>氯化物</w:t>
            </w:r>
          </w:p>
        </w:tc>
        <w:tc>
          <w:tcPr>
            <w:tcW w:w="2027" w:type="dxa"/>
            <w:noWrap w:val="0"/>
            <w:vAlign w:val="center"/>
          </w:tcPr>
          <w:p>
            <w:pPr>
              <w:jc w:val="center"/>
              <w:rPr>
                <w:rFonts w:hint="default"/>
                <w:sz w:val="21"/>
                <w:szCs w:val="21"/>
                <w:vertAlign w:val="baseline"/>
                <w:lang w:val="en-US" w:eastAsia="zh-CN"/>
              </w:rPr>
            </w:pPr>
            <w:r>
              <w:rPr>
                <w:rFonts w:ascii="Times New Roman" w:hAnsi="Times New Roman"/>
                <w:color w:val="000000"/>
                <w:szCs w:val="21"/>
              </w:rPr>
              <w:t>硝酸银容量法</w:t>
            </w:r>
          </w:p>
        </w:tc>
        <w:tc>
          <w:tcPr>
            <w:tcW w:w="2821" w:type="dxa"/>
            <w:noWrap w:val="0"/>
            <w:vAlign w:val="center"/>
          </w:tcPr>
          <w:p>
            <w:pPr>
              <w:snapToGrid w:val="0"/>
              <w:jc w:val="center"/>
              <w:rPr>
                <w:rFonts w:hint="default"/>
                <w:sz w:val="21"/>
                <w:szCs w:val="21"/>
                <w:vertAlign w:val="baseline"/>
                <w:lang w:val="en-US" w:eastAsia="zh-CN"/>
              </w:rPr>
            </w:pPr>
            <w:r>
              <w:rPr>
                <w:rFonts w:ascii="Times New Roman" w:hAnsi="Times New Roman"/>
                <w:kern w:val="0"/>
                <w:szCs w:val="21"/>
              </w:rPr>
              <w:t>GB/ T 5750.5-2006</w:t>
            </w:r>
          </w:p>
        </w:tc>
        <w:tc>
          <w:tcPr>
            <w:tcW w:w="1504" w:type="dxa"/>
            <w:noWrap w:val="0"/>
            <w:vAlign w:val="center"/>
          </w:tcPr>
          <w:p>
            <w:pPr>
              <w:widowControl/>
              <w:jc w:val="center"/>
              <w:textAlignment w:val="center"/>
              <w:rPr>
                <w:rFonts w:hint="default"/>
                <w:sz w:val="21"/>
                <w:szCs w:val="21"/>
                <w:vertAlign w:val="baseline"/>
                <w:lang w:val="en-US" w:eastAsia="zh-CN"/>
              </w:rPr>
            </w:pPr>
            <w:r>
              <w:rPr>
                <w:rFonts w:ascii="Times New Roman" w:hAnsi="Times New Roman"/>
                <w:kern w:val="0"/>
                <w:szCs w:val="21"/>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16</w:t>
            </w:r>
          </w:p>
        </w:tc>
        <w:tc>
          <w:tcPr>
            <w:tcW w:w="1357" w:type="dxa"/>
            <w:noWrap w:val="0"/>
            <w:vAlign w:val="center"/>
          </w:tcPr>
          <w:p>
            <w:pPr>
              <w:snapToGrid w:val="0"/>
              <w:jc w:val="center"/>
              <w:rPr>
                <w:rFonts w:hint="eastAsia" w:ascii="Times New Roman" w:hAnsi="Times New Roman" w:eastAsia="宋体"/>
                <w:color w:val="000000"/>
                <w:szCs w:val="21"/>
                <w:highlight w:val="none"/>
                <w:lang w:val="en-US" w:eastAsia="zh-CN"/>
              </w:rPr>
            </w:pPr>
            <w:r>
              <w:rPr>
                <w:rFonts w:hint="eastAsia" w:ascii="Times New Roman" w:hAnsi="Times New Roman"/>
                <w:color w:val="000000"/>
                <w:szCs w:val="21"/>
                <w:highlight w:val="none"/>
                <w:lang w:val="en-US" w:eastAsia="zh-CN"/>
              </w:rPr>
              <w:t>氰化物</w:t>
            </w:r>
          </w:p>
        </w:tc>
        <w:tc>
          <w:tcPr>
            <w:tcW w:w="2027" w:type="dxa"/>
            <w:noWrap w:val="0"/>
            <w:vAlign w:val="center"/>
          </w:tcPr>
          <w:p>
            <w:pPr>
              <w:jc w:val="center"/>
              <w:rPr>
                <w:rFonts w:ascii="Times New Roman" w:hAnsi="Times New Roman"/>
                <w:color w:val="000000"/>
                <w:szCs w:val="21"/>
              </w:rPr>
            </w:pPr>
            <w:r>
              <w:rPr>
                <w:rFonts w:hint="default" w:ascii="Times New Roman" w:hAnsi="Times New Roman" w:cs="Times New Roman"/>
                <w:color w:val="auto"/>
                <w:sz w:val="21"/>
                <w:szCs w:val="21"/>
              </w:rPr>
              <w:t>分光光度法</w:t>
            </w:r>
          </w:p>
        </w:tc>
        <w:tc>
          <w:tcPr>
            <w:tcW w:w="2821" w:type="dxa"/>
            <w:noWrap w:val="0"/>
            <w:vAlign w:val="center"/>
          </w:tcPr>
          <w:p>
            <w:pPr>
              <w:jc w:val="center"/>
              <w:rPr>
                <w:rFonts w:ascii="Times New Roman" w:hAnsi="Times New Roman"/>
                <w:kern w:val="0"/>
                <w:szCs w:val="21"/>
              </w:rPr>
            </w:pPr>
            <w:r>
              <w:rPr>
                <w:rFonts w:hint="default" w:ascii="Times New Roman" w:hAnsi="Times New Roman" w:eastAsia="宋体" w:cs="Times New Roman"/>
                <w:color w:val="auto"/>
                <w:sz w:val="21"/>
                <w:szCs w:val="21"/>
                <w:highlight w:val="none"/>
              </w:rPr>
              <w:t>GB/T 5750.5-2006</w:t>
            </w:r>
            <w:r>
              <w:rPr>
                <w:rFonts w:hint="default" w:ascii="Times New Roman" w:hAnsi="Times New Roman" w:cs="Times New Roman"/>
                <w:color w:val="auto"/>
                <w:sz w:val="21"/>
                <w:szCs w:val="21"/>
                <w:highlight w:val="none"/>
                <w:lang w:val="en-US" w:eastAsia="zh-CN"/>
              </w:rPr>
              <w:t>/4.1</w:t>
            </w:r>
          </w:p>
        </w:tc>
        <w:tc>
          <w:tcPr>
            <w:tcW w:w="1504" w:type="dxa"/>
            <w:noWrap w:val="0"/>
            <w:vAlign w:val="center"/>
          </w:tcPr>
          <w:p>
            <w:pPr>
              <w:jc w:val="center"/>
              <w:rPr>
                <w:rFonts w:ascii="Times New Roman" w:hAnsi="Times New Roman"/>
                <w:kern w:val="0"/>
                <w:szCs w:val="21"/>
              </w:rPr>
            </w:pPr>
            <w:r>
              <w:rPr>
                <w:rFonts w:hint="default" w:ascii="Times New Roman" w:hAnsi="Times New Roman" w:eastAsia="宋体" w:cs="Times New Roman"/>
                <w:color w:val="auto"/>
                <w:sz w:val="21"/>
                <w:szCs w:val="21"/>
              </w:rPr>
              <w:t>6.7</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10</w:t>
            </w:r>
            <w:r>
              <w:rPr>
                <w:rFonts w:hint="default" w:ascii="Times New Roman" w:hAnsi="Times New Roman" w:eastAsia="宋体" w:cs="Times New Roman"/>
                <w:color w:val="auto"/>
                <w:sz w:val="21"/>
                <w:szCs w:val="21"/>
                <w:vertAlign w:val="superscript"/>
              </w:rPr>
              <w:t>-4</w:t>
            </w:r>
            <w:r>
              <w:rPr>
                <w:rFonts w:hint="default" w:ascii="Times New Roman" w:hAnsi="Times New Roman" w:eastAsia="宋体" w:cs="Times New Roman"/>
                <w:color w:val="auto"/>
                <w:sz w:val="21"/>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17</w:t>
            </w:r>
          </w:p>
        </w:tc>
        <w:tc>
          <w:tcPr>
            <w:tcW w:w="1357" w:type="dxa"/>
            <w:noWrap w:val="0"/>
            <w:vAlign w:val="center"/>
          </w:tcPr>
          <w:p>
            <w:pPr>
              <w:snapToGrid w:val="0"/>
              <w:jc w:val="center"/>
              <w:rPr>
                <w:rFonts w:hint="eastAsia" w:ascii="Times New Roman" w:hAnsi="Times New Roman" w:eastAsia="宋体"/>
                <w:color w:val="000000"/>
                <w:szCs w:val="21"/>
                <w:highlight w:val="none"/>
                <w:lang w:val="en-US" w:eastAsia="zh-CN"/>
              </w:rPr>
            </w:pPr>
            <w:r>
              <w:rPr>
                <w:rFonts w:hint="eastAsia" w:ascii="Times New Roman" w:hAnsi="Times New Roman"/>
                <w:color w:val="000000"/>
                <w:szCs w:val="21"/>
                <w:highlight w:val="none"/>
                <w:lang w:val="en-US" w:eastAsia="zh-CN"/>
              </w:rPr>
              <w:t>氟化物</w:t>
            </w:r>
          </w:p>
        </w:tc>
        <w:tc>
          <w:tcPr>
            <w:tcW w:w="2027" w:type="dxa"/>
            <w:noWrap w:val="0"/>
            <w:vAlign w:val="center"/>
          </w:tcPr>
          <w:p>
            <w:pPr>
              <w:jc w:val="center"/>
              <w:rPr>
                <w:rFonts w:ascii="Times New Roman" w:hAnsi="Times New Roman"/>
                <w:color w:val="000000"/>
                <w:szCs w:val="21"/>
              </w:rPr>
            </w:pPr>
            <w:r>
              <w:rPr>
                <w:rFonts w:hint="default" w:ascii="Times New Roman" w:hAnsi="Times New Roman" w:cs="Times New Roman"/>
                <w:color w:val="auto"/>
                <w:sz w:val="21"/>
                <w:szCs w:val="21"/>
              </w:rPr>
              <w:t>离子色谱法</w:t>
            </w:r>
          </w:p>
        </w:tc>
        <w:tc>
          <w:tcPr>
            <w:tcW w:w="2821" w:type="dxa"/>
            <w:noWrap w:val="0"/>
            <w:vAlign w:val="center"/>
          </w:tcPr>
          <w:p>
            <w:pPr>
              <w:jc w:val="center"/>
              <w:rPr>
                <w:rFonts w:ascii="Times New Roman" w:hAnsi="Times New Roman"/>
                <w:kern w:val="0"/>
                <w:szCs w:val="21"/>
              </w:rPr>
            </w:pPr>
            <w:r>
              <w:rPr>
                <w:rFonts w:hint="default" w:ascii="Times New Roman" w:hAnsi="Times New Roman" w:eastAsia="宋体" w:cs="Times New Roman"/>
                <w:color w:val="auto"/>
                <w:sz w:val="21"/>
                <w:szCs w:val="21"/>
                <w:highlight w:val="none"/>
              </w:rPr>
              <w:t>GB/T 5750.5-2006</w:t>
            </w:r>
            <w:r>
              <w:rPr>
                <w:rFonts w:hint="default" w:ascii="Times New Roman" w:hAnsi="Times New Roman" w:cs="Times New Roman"/>
                <w:color w:val="auto"/>
                <w:sz w:val="21"/>
                <w:szCs w:val="21"/>
                <w:highlight w:val="none"/>
                <w:lang w:val="en-US" w:eastAsia="zh-CN"/>
              </w:rPr>
              <w:t>/3.2</w:t>
            </w:r>
          </w:p>
        </w:tc>
        <w:tc>
          <w:tcPr>
            <w:tcW w:w="1504" w:type="dxa"/>
            <w:noWrap w:val="0"/>
            <w:vAlign w:val="center"/>
          </w:tcPr>
          <w:p>
            <w:pPr>
              <w:jc w:val="center"/>
              <w:rPr>
                <w:rFonts w:ascii="Times New Roman" w:hAnsi="Times New Roman"/>
                <w:kern w:val="0"/>
                <w:szCs w:val="21"/>
              </w:rPr>
            </w:pPr>
            <w:r>
              <w:rPr>
                <w:rFonts w:hint="default" w:ascii="Times New Roman" w:hAnsi="Times New Roman" w:eastAsia="宋体" w:cs="Times New Roman"/>
                <w:color w:val="auto"/>
                <w:sz w:val="21"/>
                <w:szCs w:val="21"/>
              </w:rPr>
              <w:t>0.03</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18</w:t>
            </w:r>
          </w:p>
        </w:tc>
        <w:tc>
          <w:tcPr>
            <w:tcW w:w="1357" w:type="dxa"/>
            <w:noWrap w:val="0"/>
            <w:vAlign w:val="center"/>
          </w:tcPr>
          <w:p>
            <w:pPr>
              <w:snapToGrid w:val="0"/>
              <w:jc w:val="center"/>
              <w:rPr>
                <w:rFonts w:hint="default"/>
                <w:sz w:val="21"/>
                <w:szCs w:val="21"/>
                <w:highlight w:val="none"/>
                <w:vertAlign w:val="baseline"/>
                <w:lang w:val="en-US" w:eastAsia="zh-CN"/>
              </w:rPr>
            </w:pPr>
            <w:r>
              <w:rPr>
                <w:rFonts w:ascii="Times New Roman" w:hAnsi="Times New Roman"/>
                <w:color w:val="000000"/>
                <w:szCs w:val="21"/>
                <w:highlight w:val="none"/>
              </w:rPr>
              <w:t>挥发性酚类</w:t>
            </w:r>
          </w:p>
        </w:tc>
        <w:tc>
          <w:tcPr>
            <w:tcW w:w="2027" w:type="dxa"/>
            <w:noWrap w:val="0"/>
            <w:vAlign w:val="center"/>
          </w:tcPr>
          <w:p>
            <w:pPr>
              <w:jc w:val="center"/>
              <w:rPr>
                <w:rFonts w:hint="default"/>
                <w:sz w:val="21"/>
                <w:szCs w:val="21"/>
                <w:vertAlign w:val="baseline"/>
                <w:lang w:val="en-US" w:eastAsia="zh-CN"/>
              </w:rPr>
            </w:pPr>
            <w:r>
              <w:rPr>
                <w:rFonts w:ascii="Times New Roman" w:hAnsi="Times New Roman"/>
                <w:szCs w:val="21"/>
              </w:rPr>
              <w:t>分光光度法</w:t>
            </w:r>
          </w:p>
        </w:tc>
        <w:tc>
          <w:tcPr>
            <w:tcW w:w="2821" w:type="dxa"/>
            <w:noWrap w:val="0"/>
            <w:vAlign w:val="center"/>
          </w:tcPr>
          <w:p>
            <w:pPr>
              <w:jc w:val="center"/>
              <w:rPr>
                <w:rFonts w:hint="default"/>
                <w:sz w:val="21"/>
                <w:szCs w:val="21"/>
                <w:vertAlign w:val="baseline"/>
                <w:lang w:val="en-US" w:eastAsia="zh-CN"/>
              </w:rPr>
            </w:pPr>
            <w:r>
              <w:rPr>
                <w:rFonts w:ascii="Times New Roman" w:hAnsi="Times New Roman"/>
                <w:kern w:val="0"/>
                <w:szCs w:val="21"/>
              </w:rPr>
              <w:t>GB/T 5750.4-2006</w:t>
            </w:r>
          </w:p>
        </w:tc>
        <w:tc>
          <w:tcPr>
            <w:tcW w:w="1504" w:type="dxa"/>
            <w:noWrap w:val="0"/>
            <w:vAlign w:val="center"/>
          </w:tcPr>
          <w:p>
            <w:pPr>
              <w:snapToGrid w:val="0"/>
              <w:jc w:val="center"/>
              <w:rPr>
                <w:rFonts w:hint="default"/>
                <w:sz w:val="21"/>
                <w:szCs w:val="21"/>
                <w:vertAlign w:val="baseline"/>
                <w:lang w:val="en-US" w:eastAsia="zh-CN"/>
              </w:rPr>
            </w:pPr>
            <w:r>
              <w:rPr>
                <w:rFonts w:hint="eastAsia" w:ascii="Times New Roman" w:hAnsi="Times New Roman"/>
                <w:kern w:val="0"/>
                <w:szCs w:val="21"/>
                <w:lang w:val="en-US" w:eastAsia="zh-CN"/>
              </w:rPr>
              <w:t>0.002</w:t>
            </w:r>
            <w:r>
              <w:rPr>
                <w:rFonts w:ascii="Times New Roman" w:hAnsi="Times New Roman"/>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1</w:t>
            </w:r>
            <w:r>
              <w:rPr>
                <w:rFonts w:hint="default" w:ascii="Times New Roman" w:hAnsi="Times New Roman" w:cs="Times New Roman"/>
                <w:sz w:val="21"/>
                <w:szCs w:val="21"/>
                <w:vertAlign w:val="baseline"/>
                <w:lang w:val="en-US" w:eastAsia="zh-CN"/>
              </w:rPr>
              <w:t>9</w:t>
            </w:r>
          </w:p>
        </w:tc>
        <w:tc>
          <w:tcPr>
            <w:tcW w:w="1357" w:type="dxa"/>
            <w:noWrap w:val="0"/>
            <w:vAlign w:val="center"/>
          </w:tcPr>
          <w:p>
            <w:pPr>
              <w:snapToGrid w:val="0"/>
              <w:jc w:val="center"/>
              <w:rPr>
                <w:rFonts w:hint="default"/>
                <w:sz w:val="21"/>
                <w:szCs w:val="21"/>
                <w:highlight w:val="none"/>
                <w:vertAlign w:val="baseline"/>
                <w:lang w:val="en-US" w:eastAsia="zh-CN"/>
              </w:rPr>
            </w:pPr>
            <w:r>
              <w:rPr>
                <w:rFonts w:ascii="Times New Roman" w:hAnsi="Times New Roman"/>
                <w:color w:val="000000"/>
                <w:szCs w:val="21"/>
                <w:highlight w:val="none"/>
              </w:rPr>
              <w:t>耗氧量</w:t>
            </w:r>
          </w:p>
        </w:tc>
        <w:tc>
          <w:tcPr>
            <w:tcW w:w="2027" w:type="dxa"/>
            <w:noWrap w:val="0"/>
            <w:vAlign w:val="center"/>
          </w:tcPr>
          <w:p>
            <w:pPr>
              <w:jc w:val="center"/>
              <w:rPr>
                <w:rFonts w:hint="default"/>
                <w:sz w:val="21"/>
                <w:szCs w:val="21"/>
                <w:vertAlign w:val="baseline"/>
                <w:lang w:val="en-US" w:eastAsia="zh-CN"/>
              </w:rPr>
            </w:pPr>
            <w:r>
              <w:rPr>
                <w:rFonts w:ascii="Times New Roman" w:hAnsi="Times New Roman"/>
                <w:color w:val="000000"/>
                <w:szCs w:val="21"/>
              </w:rPr>
              <w:t>滴定法</w:t>
            </w:r>
          </w:p>
        </w:tc>
        <w:tc>
          <w:tcPr>
            <w:tcW w:w="2821" w:type="dxa"/>
            <w:noWrap w:val="0"/>
            <w:vAlign w:val="center"/>
          </w:tcPr>
          <w:p>
            <w:pPr>
              <w:jc w:val="center"/>
              <w:rPr>
                <w:rFonts w:hint="default"/>
                <w:sz w:val="21"/>
                <w:szCs w:val="21"/>
                <w:vertAlign w:val="baseline"/>
                <w:lang w:val="en-US" w:eastAsia="zh-CN"/>
              </w:rPr>
            </w:pPr>
            <w:r>
              <w:rPr>
                <w:rFonts w:ascii="Times New Roman" w:hAnsi="Times New Roman"/>
                <w:kern w:val="0"/>
                <w:szCs w:val="21"/>
              </w:rPr>
              <w:t>GB/T 5750.7-2006</w:t>
            </w:r>
          </w:p>
        </w:tc>
        <w:tc>
          <w:tcPr>
            <w:tcW w:w="1504" w:type="dxa"/>
            <w:noWrap w:val="0"/>
            <w:vAlign w:val="center"/>
          </w:tcPr>
          <w:p>
            <w:pPr>
              <w:snapToGrid w:val="0"/>
              <w:jc w:val="center"/>
              <w:rPr>
                <w:rFonts w:hint="default"/>
                <w:sz w:val="21"/>
                <w:szCs w:val="21"/>
                <w:vertAlign w:val="baseline"/>
                <w:lang w:val="en-US" w:eastAsia="zh-CN"/>
              </w:rPr>
            </w:pPr>
            <w:r>
              <w:rPr>
                <w:rFonts w:hint="eastAsia" w:ascii="Times New Roman" w:hAnsi="Times New Roman"/>
                <w:kern w:val="0"/>
                <w:szCs w:val="21"/>
                <w:lang w:val="en-US" w:eastAsia="zh-CN"/>
              </w:rPr>
              <w:t>0.05</w:t>
            </w:r>
            <w:r>
              <w:rPr>
                <w:rFonts w:ascii="Times New Roman" w:hAnsi="Times New Roman"/>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20</w:t>
            </w:r>
          </w:p>
        </w:tc>
        <w:tc>
          <w:tcPr>
            <w:tcW w:w="1357" w:type="dxa"/>
            <w:noWrap w:val="0"/>
            <w:vAlign w:val="center"/>
          </w:tcPr>
          <w:p>
            <w:pPr>
              <w:snapToGrid w:val="0"/>
              <w:jc w:val="center"/>
              <w:rPr>
                <w:rFonts w:hint="default"/>
                <w:sz w:val="21"/>
                <w:szCs w:val="21"/>
                <w:highlight w:val="none"/>
                <w:vertAlign w:val="baseline"/>
                <w:lang w:val="en-US" w:eastAsia="zh-CN"/>
              </w:rPr>
            </w:pPr>
            <w:r>
              <w:rPr>
                <w:rFonts w:ascii="Times New Roman" w:hAnsi="Times New Roman"/>
                <w:color w:val="000000"/>
                <w:szCs w:val="21"/>
                <w:highlight w:val="none"/>
              </w:rPr>
              <w:t>氨氮</w:t>
            </w:r>
          </w:p>
        </w:tc>
        <w:tc>
          <w:tcPr>
            <w:tcW w:w="2027" w:type="dxa"/>
            <w:noWrap w:val="0"/>
            <w:vAlign w:val="center"/>
          </w:tcPr>
          <w:p>
            <w:pPr>
              <w:jc w:val="center"/>
              <w:rPr>
                <w:rFonts w:hint="default"/>
                <w:sz w:val="21"/>
                <w:szCs w:val="21"/>
                <w:vertAlign w:val="baseline"/>
                <w:lang w:val="en-US" w:eastAsia="zh-CN"/>
              </w:rPr>
            </w:pPr>
            <w:r>
              <w:rPr>
                <w:rFonts w:ascii="Times New Roman" w:hAnsi="Times New Roman"/>
                <w:szCs w:val="21"/>
              </w:rPr>
              <w:t>分光光度法</w:t>
            </w:r>
          </w:p>
        </w:tc>
        <w:tc>
          <w:tcPr>
            <w:tcW w:w="2821" w:type="dxa"/>
            <w:noWrap w:val="0"/>
            <w:vAlign w:val="center"/>
          </w:tcPr>
          <w:p>
            <w:pPr>
              <w:jc w:val="center"/>
              <w:rPr>
                <w:rFonts w:hint="default"/>
                <w:sz w:val="21"/>
                <w:szCs w:val="21"/>
                <w:vertAlign w:val="baseline"/>
                <w:lang w:val="en-US" w:eastAsia="zh-CN"/>
              </w:rPr>
            </w:pPr>
            <w:r>
              <w:rPr>
                <w:rFonts w:ascii="Times New Roman" w:hAnsi="Times New Roman"/>
                <w:kern w:val="0"/>
                <w:szCs w:val="21"/>
              </w:rPr>
              <w:t>GB/T 5750.5-2006</w:t>
            </w:r>
          </w:p>
        </w:tc>
        <w:tc>
          <w:tcPr>
            <w:tcW w:w="1504" w:type="dxa"/>
            <w:noWrap w:val="0"/>
            <w:vAlign w:val="center"/>
          </w:tcPr>
          <w:p>
            <w:pPr>
              <w:widowControl/>
              <w:adjustRightInd w:val="0"/>
              <w:snapToGrid w:val="0"/>
              <w:jc w:val="center"/>
              <w:rPr>
                <w:rFonts w:hint="default"/>
                <w:sz w:val="21"/>
                <w:szCs w:val="21"/>
                <w:vertAlign w:val="baseline"/>
                <w:lang w:val="en-US" w:eastAsia="zh-CN"/>
              </w:rPr>
            </w:pPr>
            <w:r>
              <w:rPr>
                <w:rFonts w:hint="eastAsia" w:ascii="Times New Roman" w:hAnsi="Times New Roman"/>
                <w:kern w:val="0"/>
                <w:szCs w:val="21"/>
                <w:lang w:val="en-US" w:eastAsia="zh-CN"/>
              </w:rPr>
              <w:t>0.02</w:t>
            </w:r>
            <w:r>
              <w:rPr>
                <w:rFonts w:ascii="Times New Roman" w:hAnsi="Times New Roman"/>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21</w:t>
            </w:r>
          </w:p>
        </w:tc>
        <w:tc>
          <w:tcPr>
            <w:tcW w:w="1357" w:type="dxa"/>
            <w:noWrap w:val="0"/>
            <w:vAlign w:val="center"/>
          </w:tcPr>
          <w:p>
            <w:pPr>
              <w:snapToGrid w:val="0"/>
              <w:jc w:val="center"/>
              <w:rPr>
                <w:rFonts w:hint="default"/>
                <w:sz w:val="21"/>
                <w:szCs w:val="21"/>
                <w:highlight w:val="none"/>
                <w:vertAlign w:val="baseline"/>
                <w:lang w:val="en-US" w:eastAsia="zh-CN"/>
              </w:rPr>
            </w:pPr>
            <w:r>
              <w:rPr>
                <w:rFonts w:ascii="Times New Roman" w:hAnsi="Times New Roman"/>
                <w:color w:val="000000"/>
                <w:szCs w:val="21"/>
                <w:highlight w:val="none"/>
              </w:rPr>
              <w:t>硫酸盐</w:t>
            </w:r>
          </w:p>
        </w:tc>
        <w:tc>
          <w:tcPr>
            <w:tcW w:w="2027" w:type="dxa"/>
            <w:noWrap w:val="0"/>
            <w:vAlign w:val="center"/>
          </w:tcPr>
          <w:p>
            <w:pPr>
              <w:jc w:val="center"/>
              <w:rPr>
                <w:rFonts w:hint="default"/>
                <w:sz w:val="21"/>
                <w:szCs w:val="21"/>
                <w:vertAlign w:val="baseline"/>
                <w:lang w:val="en-US" w:eastAsia="zh-CN"/>
              </w:rPr>
            </w:pPr>
            <w:r>
              <w:rPr>
                <w:rFonts w:ascii="Times New Roman" w:hAnsi="Times New Roman"/>
                <w:szCs w:val="21"/>
              </w:rPr>
              <w:t>分光光度法</w:t>
            </w:r>
          </w:p>
        </w:tc>
        <w:tc>
          <w:tcPr>
            <w:tcW w:w="2821" w:type="dxa"/>
            <w:noWrap w:val="0"/>
            <w:vAlign w:val="center"/>
          </w:tcPr>
          <w:p>
            <w:pPr>
              <w:jc w:val="center"/>
              <w:rPr>
                <w:rFonts w:hint="default"/>
                <w:sz w:val="21"/>
                <w:szCs w:val="21"/>
                <w:vertAlign w:val="baseline"/>
                <w:lang w:val="en-US" w:eastAsia="zh-CN"/>
              </w:rPr>
            </w:pPr>
            <w:r>
              <w:rPr>
                <w:rFonts w:ascii="Times New Roman" w:hAnsi="Times New Roman"/>
                <w:kern w:val="0"/>
                <w:szCs w:val="21"/>
              </w:rPr>
              <w:t>GB/T 5750.5-2006</w:t>
            </w:r>
          </w:p>
        </w:tc>
        <w:tc>
          <w:tcPr>
            <w:tcW w:w="1504" w:type="dxa"/>
            <w:noWrap w:val="0"/>
            <w:vAlign w:val="center"/>
          </w:tcPr>
          <w:p>
            <w:pPr>
              <w:widowControl/>
              <w:adjustRightInd w:val="0"/>
              <w:snapToGrid w:val="0"/>
              <w:jc w:val="center"/>
              <w:rPr>
                <w:rFonts w:hint="default"/>
                <w:sz w:val="21"/>
                <w:szCs w:val="21"/>
                <w:vertAlign w:val="baseline"/>
                <w:lang w:val="en-US" w:eastAsia="zh-CN"/>
              </w:rPr>
            </w:pPr>
            <w:r>
              <w:rPr>
                <w:rFonts w:hint="eastAsia" w:ascii="Times New Roman" w:hAnsi="Times New Roman"/>
                <w:kern w:val="0"/>
                <w:szCs w:val="21"/>
                <w:lang w:val="en-US" w:eastAsia="zh-CN"/>
              </w:rPr>
              <w:t>5</w:t>
            </w:r>
            <w:r>
              <w:rPr>
                <w:rFonts w:ascii="Times New Roman" w:hAnsi="Times New Roman"/>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22</w:t>
            </w:r>
          </w:p>
        </w:tc>
        <w:tc>
          <w:tcPr>
            <w:tcW w:w="1357" w:type="dxa"/>
            <w:noWrap w:val="0"/>
            <w:vAlign w:val="center"/>
          </w:tcPr>
          <w:p>
            <w:pPr>
              <w:snapToGrid w:val="0"/>
              <w:jc w:val="center"/>
              <w:rPr>
                <w:rFonts w:hint="default"/>
                <w:sz w:val="21"/>
                <w:szCs w:val="21"/>
                <w:highlight w:val="none"/>
                <w:vertAlign w:val="baseline"/>
                <w:lang w:val="en-US" w:eastAsia="zh-CN"/>
              </w:rPr>
            </w:pPr>
            <w:r>
              <w:rPr>
                <w:rFonts w:ascii="Times New Roman" w:hAnsi="Times New Roman"/>
                <w:color w:val="000000"/>
                <w:szCs w:val="21"/>
                <w:highlight w:val="none"/>
              </w:rPr>
              <w:t>硫化物</w:t>
            </w:r>
          </w:p>
        </w:tc>
        <w:tc>
          <w:tcPr>
            <w:tcW w:w="2027" w:type="dxa"/>
            <w:noWrap w:val="0"/>
            <w:vAlign w:val="center"/>
          </w:tcPr>
          <w:p>
            <w:pPr>
              <w:jc w:val="center"/>
              <w:rPr>
                <w:rFonts w:hint="default"/>
                <w:sz w:val="21"/>
                <w:szCs w:val="21"/>
                <w:vertAlign w:val="baseline"/>
                <w:lang w:val="en-US" w:eastAsia="zh-CN"/>
              </w:rPr>
            </w:pPr>
            <w:r>
              <w:rPr>
                <w:rFonts w:ascii="Times New Roman" w:hAnsi="Times New Roman"/>
                <w:szCs w:val="21"/>
              </w:rPr>
              <w:t>分光光度法</w:t>
            </w:r>
          </w:p>
        </w:tc>
        <w:tc>
          <w:tcPr>
            <w:tcW w:w="2821" w:type="dxa"/>
            <w:noWrap w:val="0"/>
            <w:vAlign w:val="center"/>
          </w:tcPr>
          <w:p>
            <w:pPr>
              <w:jc w:val="center"/>
              <w:rPr>
                <w:rFonts w:hint="default"/>
                <w:sz w:val="21"/>
                <w:szCs w:val="21"/>
                <w:vertAlign w:val="baseline"/>
                <w:lang w:val="en-US" w:eastAsia="zh-CN"/>
              </w:rPr>
            </w:pPr>
            <w:r>
              <w:rPr>
                <w:rFonts w:ascii="Times New Roman" w:hAnsi="Times New Roman"/>
                <w:kern w:val="0"/>
                <w:szCs w:val="21"/>
              </w:rPr>
              <w:t>GB/ T 5750.5-2006</w:t>
            </w:r>
          </w:p>
        </w:tc>
        <w:tc>
          <w:tcPr>
            <w:tcW w:w="1504" w:type="dxa"/>
            <w:noWrap w:val="0"/>
            <w:vAlign w:val="center"/>
          </w:tcPr>
          <w:p>
            <w:pPr>
              <w:snapToGrid w:val="0"/>
              <w:jc w:val="center"/>
              <w:rPr>
                <w:rFonts w:hint="default"/>
                <w:sz w:val="21"/>
                <w:szCs w:val="21"/>
                <w:vertAlign w:val="baseline"/>
                <w:lang w:val="en-US" w:eastAsia="zh-CN"/>
              </w:rPr>
            </w:pPr>
            <w:r>
              <w:rPr>
                <w:rFonts w:ascii="Times New Roman" w:hAnsi="Times New Roman"/>
                <w:szCs w:val="21"/>
              </w:rPr>
              <w:t>0.02</w:t>
            </w:r>
            <w:r>
              <w:rPr>
                <w:rFonts w:ascii="Times New Roman" w:hAnsi="Times New Roman"/>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23</w:t>
            </w:r>
          </w:p>
        </w:tc>
        <w:tc>
          <w:tcPr>
            <w:tcW w:w="1357" w:type="dxa"/>
            <w:noWrap w:val="0"/>
            <w:vAlign w:val="center"/>
          </w:tcPr>
          <w:p>
            <w:pPr>
              <w:snapToGrid w:val="0"/>
              <w:jc w:val="center"/>
              <w:rPr>
                <w:rFonts w:hint="default"/>
                <w:sz w:val="21"/>
                <w:szCs w:val="21"/>
                <w:highlight w:val="none"/>
                <w:vertAlign w:val="baseline"/>
                <w:lang w:val="en-US" w:eastAsia="zh-CN"/>
              </w:rPr>
            </w:pPr>
            <w:r>
              <w:rPr>
                <w:rFonts w:ascii="Times New Roman" w:hAnsi="Times New Roman"/>
                <w:szCs w:val="21"/>
                <w:highlight w:val="none"/>
              </w:rPr>
              <w:t>总大肠菌群</w:t>
            </w:r>
          </w:p>
        </w:tc>
        <w:tc>
          <w:tcPr>
            <w:tcW w:w="2027" w:type="dxa"/>
            <w:noWrap w:val="0"/>
            <w:vAlign w:val="center"/>
          </w:tcPr>
          <w:p>
            <w:pPr>
              <w:jc w:val="center"/>
              <w:rPr>
                <w:rFonts w:hint="default"/>
                <w:sz w:val="21"/>
                <w:szCs w:val="21"/>
                <w:vertAlign w:val="baseline"/>
                <w:lang w:val="en-US" w:eastAsia="zh-CN"/>
              </w:rPr>
            </w:pPr>
            <w:r>
              <w:rPr>
                <w:rFonts w:ascii="Times New Roman" w:hAnsi="Times New Roman"/>
                <w:szCs w:val="21"/>
              </w:rPr>
              <w:t>多管发酵法</w:t>
            </w:r>
          </w:p>
        </w:tc>
        <w:tc>
          <w:tcPr>
            <w:tcW w:w="2821" w:type="dxa"/>
            <w:noWrap w:val="0"/>
            <w:vAlign w:val="center"/>
          </w:tcPr>
          <w:p>
            <w:pPr>
              <w:jc w:val="center"/>
              <w:rPr>
                <w:rFonts w:hint="default"/>
                <w:sz w:val="21"/>
                <w:szCs w:val="21"/>
                <w:vertAlign w:val="baseline"/>
                <w:lang w:val="en-US" w:eastAsia="zh-CN"/>
              </w:rPr>
            </w:pPr>
            <w:r>
              <w:rPr>
                <w:rFonts w:ascii="Times New Roman" w:hAnsi="Times New Roman"/>
                <w:szCs w:val="21"/>
              </w:rPr>
              <w:t>GB/T 5750.12-2006</w:t>
            </w:r>
          </w:p>
        </w:tc>
        <w:tc>
          <w:tcPr>
            <w:tcW w:w="1504" w:type="dxa"/>
            <w:noWrap w:val="0"/>
            <w:vAlign w:val="center"/>
          </w:tcPr>
          <w:p>
            <w:pPr>
              <w:snapToGrid w:val="0"/>
              <w:jc w:val="center"/>
              <w:rPr>
                <w:rFonts w:hint="default"/>
                <w:sz w:val="21"/>
                <w:szCs w:val="21"/>
                <w:vertAlign w:val="baseline"/>
                <w:lang w:val="en-US" w:eastAsia="zh-CN"/>
              </w:rPr>
            </w:pPr>
            <w:r>
              <w:rPr>
                <w:rFonts w:ascii="Times New Roman" w:hAnsi="Times New Roman"/>
                <w:szCs w:val="21"/>
              </w:rPr>
              <w:t>2 MPN/100mL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24</w:t>
            </w:r>
          </w:p>
        </w:tc>
        <w:tc>
          <w:tcPr>
            <w:tcW w:w="1357" w:type="dxa"/>
            <w:noWrap w:val="0"/>
            <w:vAlign w:val="center"/>
          </w:tcPr>
          <w:p>
            <w:pPr>
              <w:snapToGrid w:val="0"/>
              <w:jc w:val="center"/>
              <w:rPr>
                <w:rFonts w:hint="eastAsia" w:ascii="Times New Roman" w:hAnsi="Times New Roman" w:eastAsia="宋体"/>
                <w:szCs w:val="21"/>
                <w:highlight w:val="none"/>
                <w:lang w:val="en-US" w:eastAsia="zh-CN"/>
              </w:rPr>
            </w:pPr>
            <w:r>
              <w:rPr>
                <w:rFonts w:hint="eastAsia" w:ascii="Times New Roman" w:hAnsi="Times New Roman"/>
                <w:szCs w:val="21"/>
                <w:highlight w:val="none"/>
                <w:lang w:val="en-US" w:eastAsia="zh-CN"/>
              </w:rPr>
              <w:t>菌落总数</w:t>
            </w:r>
          </w:p>
        </w:tc>
        <w:tc>
          <w:tcPr>
            <w:tcW w:w="2027" w:type="dxa"/>
            <w:noWrap w:val="0"/>
            <w:vAlign w:val="center"/>
          </w:tcPr>
          <w:p>
            <w:pPr>
              <w:jc w:val="center"/>
              <w:rPr>
                <w:rFonts w:ascii="Times New Roman" w:hAnsi="Times New Roman"/>
                <w:szCs w:val="21"/>
              </w:rPr>
            </w:pPr>
            <w:r>
              <w:rPr>
                <w:rFonts w:hint="default" w:ascii="Times New Roman" w:hAnsi="Times New Roman" w:cs="Times New Roman"/>
                <w:sz w:val="21"/>
                <w:szCs w:val="21"/>
              </w:rPr>
              <w:t>平皿计数法</w:t>
            </w:r>
          </w:p>
        </w:tc>
        <w:tc>
          <w:tcPr>
            <w:tcW w:w="2821" w:type="dxa"/>
            <w:noWrap w:val="0"/>
            <w:vAlign w:val="center"/>
          </w:tcPr>
          <w:p>
            <w:pPr>
              <w:jc w:val="center"/>
              <w:rPr>
                <w:rFonts w:ascii="Times New Roman" w:hAnsi="Times New Roman"/>
                <w:szCs w:val="21"/>
              </w:rPr>
            </w:pPr>
            <w:r>
              <w:rPr>
                <w:rFonts w:hint="default" w:ascii="Times New Roman" w:hAnsi="Times New Roman" w:eastAsia="宋体" w:cs="Times New Roman"/>
                <w:color w:val="auto"/>
                <w:sz w:val="21"/>
                <w:szCs w:val="21"/>
                <w:highlight w:val="none"/>
              </w:rPr>
              <w:t>GB/T 5750.12-2006</w:t>
            </w:r>
            <w:r>
              <w:rPr>
                <w:rFonts w:hint="default" w:ascii="Times New Roman" w:hAnsi="Times New Roman" w:cs="Times New Roman"/>
                <w:color w:val="auto"/>
                <w:sz w:val="21"/>
                <w:szCs w:val="21"/>
                <w:highlight w:val="none"/>
                <w:lang w:val="en-US" w:eastAsia="zh-CN"/>
              </w:rPr>
              <w:t>/1.1</w:t>
            </w:r>
          </w:p>
        </w:tc>
        <w:tc>
          <w:tcPr>
            <w:tcW w:w="1504" w:type="dxa"/>
            <w:noWrap w:val="0"/>
            <w:vAlign w:val="center"/>
          </w:tcPr>
          <w:p>
            <w:pPr>
              <w:jc w:val="center"/>
              <w:rPr>
                <w:rFonts w:ascii="Times New Roman" w:hAnsi="Times New Roman"/>
                <w:szCs w:val="21"/>
              </w:rPr>
            </w:pPr>
            <w:r>
              <w:rPr>
                <w:rFonts w:hint="default" w:ascii="Times New Roman" w:hAnsi="Times New Roman" w:eastAsia="宋体" w:cs="Times New Roman"/>
                <w:color w:val="000000"/>
                <w:sz w:val="21"/>
                <w:szCs w:val="21"/>
              </w:rPr>
              <w:t>0CFU/mL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25</w:t>
            </w:r>
          </w:p>
        </w:tc>
        <w:tc>
          <w:tcPr>
            <w:tcW w:w="1357" w:type="dxa"/>
            <w:noWrap w:val="0"/>
            <w:vAlign w:val="center"/>
          </w:tcPr>
          <w:p>
            <w:pPr>
              <w:snapToGrid w:val="0"/>
              <w:jc w:val="center"/>
              <w:rPr>
                <w:rFonts w:hint="default"/>
                <w:sz w:val="21"/>
                <w:szCs w:val="21"/>
                <w:highlight w:val="none"/>
                <w:vertAlign w:val="baseline"/>
                <w:lang w:val="en-US" w:eastAsia="zh-CN"/>
              </w:rPr>
            </w:pPr>
            <w:r>
              <w:rPr>
                <w:rFonts w:ascii="Times New Roman" w:hAnsi="Times New Roman"/>
                <w:color w:val="000000"/>
                <w:szCs w:val="21"/>
                <w:highlight w:val="none"/>
              </w:rPr>
              <w:t>硝酸盐氮</w:t>
            </w:r>
          </w:p>
        </w:tc>
        <w:tc>
          <w:tcPr>
            <w:tcW w:w="2027"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color w:val="000000"/>
                <w:szCs w:val="21"/>
              </w:rPr>
              <w:t>分光光度法</w:t>
            </w:r>
          </w:p>
        </w:tc>
        <w:tc>
          <w:tcPr>
            <w:tcW w:w="2821"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kern w:val="0"/>
                <w:szCs w:val="21"/>
              </w:rPr>
              <w:t>GB/ T 5750.5-2006</w:t>
            </w:r>
          </w:p>
        </w:tc>
        <w:tc>
          <w:tcPr>
            <w:tcW w:w="1504" w:type="dxa"/>
            <w:noWrap w:val="0"/>
            <w:vAlign w:val="center"/>
          </w:tcPr>
          <w:p>
            <w:pPr>
              <w:widowControl/>
              <w:adjustRightInd w:val="0"/>
              <w:snapToGrid w:val="0"/>
              <w:jc w:val="center"/>
              <w:rPr>
                <w:rFonts w:hint="default"/>
                <w:sz w:val="21"/>
                <w:szCs w:val="21"/>
                <w:vertAlign w:val="baseline"/>
                <w:lang w:val="en-US" w:eastAsia="zh-CN"/>
              </w:rPr>
            </w:pPr>
            <w:r>
              <w:rPr>
                <w:rFonts w:ascii="Times New Roman" w:hAnsi="Times New Roman"/>
                <w:szCs w:val="21"/>
              </w:rPr>
              <w:t>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26</w:t>
            </w:r>
          </w:p>
        </w:tc>
        <w:tc>
          <w:tcPr>
            <w:tcW w:w="1357" w:type="dxa"/>
            <w:noWrap w:val="0"/>
            <w:vAlign w:val="center"/>
          </w:tcPr>
          <w:p>
            <w:pPr>
              <w:snapToGrid w:val="0"/>
              <w:jc w:val="center"/>
              <w:rPr>
                <w:rFonts w:hint="default"/>
                <w:sz w:val="21"/>
                <w:szCs w:val="21"/>
                <w:highlight w:val="none"/>
                <w:vertAlign w:val="baseline"/>
                <w:lang w:val="en-US" w:eastAsia="zh-CN"/>
              </w:rPr>
            </w:pPr>
            <w:r>
              <w:rPr>
                <w:rFonts w:ascii="Times New Roman" w:hAnsi="Times New Roman"/>
                <w:color w:val="000000"/>
                <w:szCs w:val="21"/>
                <w:highlight w:val="none"/>
              </w:rPr>
              <w:t>亚硝酸盐氮</w:t>
            </w:r>
          </w:p>
        </w:tc>
        <w:tc>
          <w:tcPr>
            <w:tcW w:w="2027" w:type="dxa"/>
            <w:noWrap w:val="0"/>
            <w:vAlign w:val="center"/>
          </w:tcPr>
          <w:p>
            <w:pPr>
              <w:widowControl/>
              <w:jc w:val="center"/>
              <w:textAlignment w:val="center"/>
              <w:rPr>
                <w:rFonts w:hint="default"/>
                <w:sz w:val="21"/>
                <w:szCs w:val="21"/>
                <w:vertAlign w:val="baseline"/>
                <w:lang w:val="en-US" w:eastAsia="zh-CN"/>
              </w:rPr>
            </w:pPr>
            <w:r>
              <w:rPr>
                <w:rFonts w:ascii="Times New Roman" w:hAnsi="Times New Roman"/>
                <w:color w:val="000000"/>
                <w:szCs w:val="21"/>
              </w:rPr>
              <w:t>分光光度法</w:t>
            </w:r>
          </w:p>
        </w:tc>
        <w:tc>
          <w:tcPr>
            <w:tcW w:w="2821" w:type="dxa"/>
            <w:noWrap w:val="0"/>
            <w:vAlign w:val="center"/>
          </w:tcPr>
          <w:p>
            <w:pPr>
              <w:widowControl/>
              <w:jc w:val="center"/>
              <w:textAlignment w:val="center"/>
              <w:rPr>
                <w:rFonts w:hint="default"/>
                <w:sz w:val="21"/>
                <w:szCs w:val="21"/>
                <w:vertAlign w:val="baseline"/>
                <w:lang w:val="en-US" w:eastAsia="zh-CN"/>
              </w:rPr>
            </w:pPr>
            <w:r>
              <w:rPr>
                <w:rFonts w:ascii="Times New Roman" w:hAnsi="Times New Roman"/>
                <w:kern w:val="0"/>
                <w:szCs w:val="21"/>
              </w:rPr>
              <w:t>GB/ T 5750.5-2006</w:t>
            </w:r>
          </w:p>
        </w:tc>
        <w:tc>
          <w:tcPr>
            <w:tcW w:w="1504" w:type="dxa"/>
            <w:noWrap w:val="0"/>
            <w:vAlign w:val="center"/>
          </w:tcPr>
          <w:p>
            <w:pPr>
              <w:widowControl/>
              <w:jc w:val="center"/>
              <w:textAlignment w:val="center"/>
              <w:rPr>
                <w:rFonts w:hint="default"/>
                <w:sz w:val="21"/>
                <w:szCs w:val="21"/>
                <w:vertAlign w:val="baseline"/>
                <w:lang w:val="en-US" w:eastAsia="zh-CN"/>
              </w:rPr>
            </w:pPr>
            <w:r>
              <w:rPr>
                <w:rFonts w:ascii="Times New Roman" w:hAnsi="Times New Roman"/>
                <w:szCs w:val="21"/>
              </w:rPr>
              <w:t>0.001mg/L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27</w:t>
            </w:r>
          </w:p>
        </w:tc>
        <w:tc>
          <w:tcPr>
            <w:tcW w:w="1357" w:type="dxa"/>
            <w:noWrap w:val="0"/>
            <w:vAlign w:val="center"/>
          </w:tcPr>
          <w:p>
            <w:pPr>
              <w:keepNext w:val="0"/>
              <w:keepLines w:val="0"/>
              <w:widowControl/>
              <w:suppressLineNumbers w:val="0"/>
              <w:jc w:val="center"/>
              <w:textAlignment w:val="bottom"/>
              <w:rPr>
                <w:rFonts w:ascii="Times New Roman" w:hAnsi="Times New Roman"/>
                <w:color w:val="000000"/>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碳酸盐</w:t>
            </w:r>
          </w:p>
        </w:tc>
        <w:tc>
          <w:tcPr>
            <w:tcW w:w="2027" w:type="dxa"/>
            <w:noWrap w:val="0"/>
            <w:vAlign w:val="center"/>
          </w:tcPr>
          <w:p>
            <w:pPr>
              <w:widowControl/>
              <w:jc w:val="center"/>
              <w:textAlignment w:val="center"/>
              <w:rPr>
                <w:rFonts w:ascii="Times New Roman" w:hAnsi="Times New Roman"/>
                <w:color w:val="000000"/>
                <w:szCs w:val="21"/>
              </w:rPr>
            </w:pPr>
            <w:r>
              <w:rPr>
                <w:rFonts w:hint="default" w:ascii="Times New Roman" w:hAnsi="Times New Roman" w:eastAsia="宋体" w:cs="Times New Roman"/>
                <w:i w:val="0"/>
                <w:iCs w:val="0"/>
                <w:color w:val="000000"/>
                <w:kern w:val="0"/>
                <w:sz w:val="21"/>
                <w:szCs w:val="21"/>
                <w:u w:val="none"/>
                <w:lang w:val="en-US" w:eastAsia="zh-CN" w:bidi="ar"/>
              </w:rPr>
              <w:t>酸碱指示剂滴定法</w:t>
            </w:r>
          </w:p>
        </w:tc>
        <w:tc>
          <w:tcPr>
            <w:tcW w:w="2821" w:type="dxa"/>
            <w:noWrap w:val="0"/>
            <w:vAlign w:val="center"/>
          </w:tcPr>
          <w:p>
            <w:pPr>
              <w:widowControl/>
              <w:jc w:val="center"/>
              <w:textAlignment w:val="center"/>
              <w:rPr>
                <w:rFonts w:ascii="Times New Roman" w:hAnsi="Times New Roman"/>
                <w:kern w:val="0"/>
                <w:szCs w:val="21"/>
              </w:rPr>
            </w:pPr>
            <w:r>
              <w:rPr>
                <w:rFonts w:hint="default" w:ascii="Times New Roman" w:hAnsi="Times New Roman" w:eastAsia="宋体" w:cs="Times New Roman"/>
                <w:i w:val="0"/>
                <w:iCs w:val="0"/>
                <w:color w:val="000000"/>
                <w:kern w:val="0"/>
                <w:sz w:val="21"/>
                <w:szCs w:val="21"/>
                <w:u w:val="none"/>
                <w:lang w:val="en-US" w:eastAsia="zh-CN" w:bidi="ar"/>
              </w:rPr>
              <w:t>国家环境保护总局</w:t>
            </w:r>
            <w:r>
              <w:rPr>
                <w:rFonts w:hint="default" w:ascii="Times New Roman" w:hAnsi="Times New Roman" w:eastAsia="等线" w:cs="Times New Roman"/>
                <w:i w:val="0"/>
                <w:iCs w:val="0"/>
                <w:color w:val="000000"/>
                <w:kern w:val="0"/>
                <w:sz w:val="21"/>
                <w:szCs w:val="21"/>
                <w:u w:val="none"/>
                <w:lang w:val="en-US" w:eastAsia="zh-CN" w:bidi="ar"/>
              </w:rPr>
              <w:t>2002</w:t>
            </w:r>
            <w:r>
              <w:rPr>
                <w:rFonts w:hint="default" w:ascii="Times New Roman" w:hAnsi="Times New Roman" w:eastAsia="宋体" w:cs="Times New Roman"/>
                <w:i w:val="0"/>
                <w:iCs w:val="0"/>
                <w:color w:val="000000"/>
                <w:kern w:val="0"/>
                <w:sz w:val="21"/>
                <w:szCs w:val="21"/>
                <w:u w:val="none"/>
                <w:lang w:val="en-US" w:eastAsia="zh-CN" w:bidi="ar"/>
              </w:rPr>
              <w:t>年（第四版增补版）</w:t>
            </w:r>
          </w:p>
        </w:tc>
        <w:tc>
          <w:tcPr>
            <w:tcW w:w="1504" w:type="dxa"/>
            <w:noWrap w:val="0"/>
            <w:vAlign w:val="center"/>
          </w:tcPr>
          <w:p>
            <w:pPr>
              <w:widowControl/>
              <w:jc w:val="center"/>
              <w:textAlignment w:val="center"/>
              <w:rPr>
                <w:rFonts w:hint="eastAsia" w:ascii="Times New Roman" w:hAnsi="Times New Roman" w:eastAsia="宋体"/>
                <w:szCs w:val="21"/>
                <w:lang w:val="en-US" w:eastAsia="zh-CN"/>
              </w:rPr>
            </w:pPr>
            <w:r>
              <w:rPr>
                <w:rFonts w:hint="eastAsia" w:ascii="Times New Roman" w:hAnsi="Times New Roman"/>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63" w:type="dxa"/>
            <w:noWrap w:val="0"/>
            <w:vAlign w:val="center"/>
          </w:tcPr>
          <w:p>
            <w:pPr>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28</w:t>
            </w:r>
          </w:p>
        </w:tc>
        <w:tc>
          <w:tcPr>
            <w:tcW w:w="1357" w:type="dxa"/>
            <w:noWrap w:val="0"/>
            <w:vAlign w:val="center"/>
          </w:tcPr>
          <w:p>
            <w:pPr>
              <w:keepNext w:val="0"/>
              <w:keepLines w:val="0"/>
              <w:widowControl/>
              <w:suppressLineNumbers w:val="0"/>
              <w:jc w:val="center"/>
              <w:textAlignment w:val="bottom"/>
              <w:rPr>
                <w:rFonts w:ascii="Times New Roman" w:hAnsi="Times New Roman"/>
                <w:color w:val="000000"/>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重碳酸氢盐（HCO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2027" w:type="dxa"/>
            <w:noWrap w:val="0"/>
            <w:vAlign w:val="center"/>
          </w:tcPr>
          <w:p>
            <w:pPr>
              <w:widowControl/>
              <w:jc w:val="center"/>
              <w:textAlignment w:val="center"/>
              <w:rPr>
                <w:rFonts w:ascii="Times New Roman" w:hAnsi="Times New Roman"/>
                <w:color w:val="000000"/>
                <w:szCs w:val="21"/>
              </w:rPr>
            </w:pPr>
            <w:r>
              <w:rPr>
                <w:rFonts w:hint="default" w:ascii="Times New Roman" w:hAnsi="Times New Roman" w:eastAsia="宋体" w:cs="Times New Roman"/>
                <w:i w:val="0"/>
                <w:iCs w:val="0"/>
                <w:color w:val="000000"/>
                <w:kern w:val="0"/>
                <w:sz w:val="21"/>
                <w:szCs w:val="21"/>
                <w:u w:val="none"/>
                <w:lang w:val="en-US" w:eastAsia="zh-CN" w:bidi="ar"/>
              </w:rPr>
              <w:t>酸碱指示剂滴定法</w:t>
            </w:r>
          </w:p>
        </w:tc>
        <w:tc>
          <w:tcPr>
            <w:tcW w:w="2821" w:type="dxa"/>
            <w:noWrap w:val="0"/>
            <w:vAlign w:val="center"/>
          </w:tcPr>
          <w:p>
            <w:pPr>
              <w:widowControl/>
              <w:jc w:val="center"/>
              <w:textAlignment w:val="center"/>
              <w:rPr>
                <w:rFonts w:ascii="Times New Roman" w:hAnsi="Times New Roman"/>
                <w:kern w:val="0"/>
                <w:szCs w:val="21"/>
              </w:rPr>
            </w:pPr>
            <w:r>
              <w:rPr>
                <w:rFonts w:hint="default" w:ascii="Times New Roman" w:hAnsi="Times New Roman" w:eastAsia="宋体" w:cs="Times New Roman"/>
                <w:i w:val="0"/>
                <w:iCs w:val="0"/>
                <w:color w:val="000000"/>
                <w:kern w:val="0"/>
                <w:sz w:val="21"/>
                <w:szCs w:val="21"/>
                <w:u w:val="none"/>
                <w:lang w:val="en-US" w:eastAsia="zh-CN" w:bidi="ar"/>
              </w:rPr>
              <w:t>国家环境保护总局</w:t>
            </w:r>
            <w:r>
              <w:rPr>
                <w:rFonts w:hint="default" w:ascii="Times New Roman" w:hAnsi="Times New Roman" w:eastAsia="等线" w:cs="Times New Roman"/>
                <w:i w:val="0"/>
                <w:iCs w:val="0"/>
                <w:color w:val="000000"/>
                <w:kern w:val="0"/>
                <w:sz w:val="21"/>
                <w:szCs w:val="21"/>
                <w:u w:val="none"/>
                <w:lang w:val="en-US" w:eastAsia="zh-CN" w:bidi="ar"/>
              </w:rPr>
              <w:t>2002</w:t>
            </w:r>
            <w:r>
              <w:rPr>
                <w:rFonts w:hint="default" w:ascii="Times New Roman" w:hAnsi="Times New Roman" w:eastAsia="宋体" w:cs="Times New Roman"/>
                <w:i w:val="0"/>
                <w:iCs w:val="0"/>
                <w:color w:val="000000"/>
                <w:kern w:val="0"/>
                <w:sz w:val="21"/>
                <w:szCs w:val="21"/>
                <w:u w:val="none"/>
                <w:lang w:val="en-US" w:eastAsia="zh-CN" w:bidi="ar"/>
              </w:rPr>
              <w:t>年（第四版增补版）</w:t>
            </w:r>
          </w:p>
        </w:tc>
        <w:tc>
          <w:tcPr>
            <w:tcW w:w="1504" w:type="dxa"/>
            <w:noWrap w:val="0"/>
            <w:vAlign w:val="center"/>
          </w:tcPr>
          <w:p>
            <w:pPr>
              <w:widowControl/>
              <w:jc w:val="center"/>
              <w:textAlignment w:val="center"/>
              <w:rPr>
                <w:rFonts w:hint="eastAsia" w:ascii="Times New Roman" w:hAnsi="Times New Roman" w:eastAsia="宋体"/>
                <w:szCs w:val="21"/>
                <w:lang w:val="en-US" w:eastAsia="zh-CN"/>
              </w:rPr>
            </w:pPr>
            <w:r>
              <w:rPr>
                <w:rFonts w:hint="eastAsia" w:ascii="Times New Roman" w:hAnsi="Times New Roman"/>
                <w:szCs w:val="21"/>
                <w:lang w:val="en-US" w:eastAsia="zh-CN"/>
              </w:rPr>
              <w:t>/</w:t>
            </w:r>
          </w:p>
        </w:tc>
      </w:tr>
    </w:tbl>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pStyle w:val="17"/>
        <w:ind w:left="0" w:leftChars="0" w:firstLine="0" w:firstLineChars="0"/>
        <w:rPr>
          <w:rFonts w:hint="default"/>
          <w:lang w:val="en-US" w:eastAsia="zh-CN"/>
        </w:rPr>
        <w:sectPr>
          <w:headerReference r:id="rId23" w:type="default"/>
          <w:footerReference r:id="rId2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rPr>
          <w:rFonts w:hint="default"/>
          <w:lang w:val="en-US" w:eastAsia="zh-CN"/>
        </w:rPr>
      </w:pPr>
      <w:r>
        <w:rPr>
          <w:rFonts w:hint="default"/>
          <w:lang w:val="en-US" w:eastAsia="zh-CN"/>
        </w:rPr>
        <w:drawing>
          <wp:anchor distT="0" distB="0" distL="114300" distR="114300" simplePos="0" relativeHeight="251714560" behindDoc="1" locked="0" layoutInCell="1" allowOverlap="1">
            <wp:simplePos x="0" y="0"/>
            <wp:positionH relativeFrom="column">
              <wp:posOffset>356870</wp:posOffset>
            </wp:positionH>
            <wp:positionV relativeFrom="paragraph">
              <wp:posOffset>-264160</wp:posOffset>
            </wp:positionV>
            <wp:extent cx="8058785" cy="4890770"/>
            <wp:effectExtent l="0" t="0" r="18415" b="5080"/>
            <wp:wrapThrough wrapText="bothSides">
              <wp:wrapPolygon>
                <wp:start x="0" y="0"/>
                <wp:lineTo x="0" y="21538"/>
                <wp:lineTo x="21547" y="21538"/>
                <wp:lineTo x="21547" y="0"/>
                <wp:lineTo x="0" y="0"/>
              </wp:wrapPolygon>
            </wp:wrapThrough>
            <wp:docPr id="132" name="图片 113" descr="C:\Users\Administrator\Desktop\微信截图_20210722095132.png微信截图_2021072209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13" descr="C:\Users\Administrator\Desktop\微信截图_20210722095132.png微信截图_20210722095132"/>
                    <pic:cNvPicPr>
                      <a:picLocks noChangeAspect="1"/>
                    </pic:cNvPicPr>
                  </pic:nvPicPr>
                  <pic:blipFill>
                    <a:blip r:embed="rId104"/>
                    <a:srcRect/>
                    <a:stretch>
                      <a:fillRect/>
                    </a:stretch>
                  </pic:blipFill>
                  <pic:spPr>
                    <a:xfrm>
                      <a:off x="0" y="0"/>
                      <a:ext cx="8058785" cy="4890770"/>
                    </a:xfrm>
                    <a:prstGeom prst="rect">
                      <a:avLst/>
                    </a:prstGeom>
                    <a:noFill/>
                    <a:ln>
                      <a:noFill/>
                    </a:ln>
                  </pic:spPr>
                </pic:pic>
              </a:graphicData>
            </a:graphic>
          </wp:anchor>
        </w:drawing>
      </w: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pStyle w:val="2"/>
        <w:ind w:left="0" w:leftChars="0" w:firstLine="0" w:firstLineChars="0"/>
        <w:jc w:val="center"/>
        <w:rPr>
          <w:rFonts w:hint="default"/>
          <w:lang w:val="en-US" w:eastAsia="zh-CN"/>
        </w:rPr>
      </w:pPr>
      <w:r>
        <w:rPr>
          <w:rFonts w:hint="default" w:ascii="Times New Roman" w:hAnsi="Times New Roman"/>
          <w:b/>
          <w:bCs/>
          <w:sz w:val="24"/>
          <w:szCs w:val="24"/>
          <w:lang w:val="en-US" w:eastAsia="zh-CN"/>
        </w:rPr>
        <w:t>图</w:t>
      </w:r>
      <w:r>
        <w:rPr>
          <w:rFonts w:hint="eastAsia" w:ascii="Times New Roman" w:hAnsi="Times New Roman"/>
          <w:b/>
          <w:bCs/>
          <w:sz w:val="24"/>
          <w:szCs w:val="24"/>
          <w:lang w:val="en-US" w:eastAsia="zh-CN"/>
        </w:rPr>
        <w:t>5.6</w:t>
      </w:r>
      <w:r>
        <w:rPr>
          <w:rFonts w:hint="default" w:ascii="Times New Roman" w:hAnsi="Times New Roman"/>
          <w:b/>
          <w:bCs/>
          <w:sz w:val="24"/>
          <w:szCs w:val="24"/>
          <w:lang w:val="en-US" w:eastAsia="zh-CN"/>
        </w:rPr>
        <w:t>-1</w:t>
      </w:r>
      <w:r>
        <w:rPr>
          <w:rFonts w:hint="eastAsia" w:ascii="Times New Roman" w:hAnsi="Times New Roman"/>
          <w:b/>
          <w:bCs/>
          <w:sz w:val="24"/>
          <w:szCs w:val="24"/>
          <w:lang w:val="en-US" w:eastAsia="zh-CN"/>
        </w:rPr>
        <w:t xml:space="preserve">  地下水监测布点图</w:t>
      </w:r>
    </w:p>
    <w:p>
      <w:pPr>
        <w:pStyle w:val="2"/>
        <w:rPr>
          <w:rFonts w:hint="default"/>
          <w:lang w:val="en-US" w:eastAsia="zh-CN"/>
        </w:rPr>
        <w:sectPr>
          <w:headerReference r:id="rId25" w:type="default"/>
          <w:footerReference r:id="rId26"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before="157" w:beforeLines="50" w:line="360" w:lineRule="auto"/>
        <w:jc w:val="both"/>
        <w:textAlignment w:val="auto"/>
        <w:rPr>
          <w:rFonts w:hint="default"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eastAsia" w:ascii="Times New Roman" w:hAnsi="Times New Roman"/>
          <w:b/>
          <w:bCs/>
          <w:sz w:val="24"/>
          <w:szCs w:val="24"/>
          <w:lang w:val="en-US" w:eastAsia="zh-CN"/>
        </w:rPr>
        <w:t>监测结果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监测结果见表</w:t>
      </w:r>
      <w:r>
        <w:rPr>
          <w:rFonts w:hint="eastAsia" w:ascii="Times New Roman" w:hAnsi="Times New Roman"/>
          <w:sz w:val="24"/>
          <w:szCs w:val="24"/>
          <w:lang w:val="en-US" w:eastAsia="zh-CN"/>
        </w:rPr>
        <w:t>5.6</w:t>
      </w:r>
      <w:r>
        <w:rPr>
          <w:rFonts w:hint="default" w:ascii="Times New Roman" w:hAnsi="Times New Roman"/>
          <w:sz w:val="24"/>
          <w:szCs w:val="24"/>
          <w:lang w:val="en-US" w:eastAsia="zh-CN"/>
        </w:rPr>
        <w:t>-</w:t>
      </w:r>
      <w:r>
        <w:rPr>
          <w:rFonts w:hint="eastAsia" w:ascii="Times New Roman" w:hAnsi="Times New Roman"/>
          <w:sz w:val="24"/>
          <w:szCs w:val="24"/>
          <w:lang w:val="en-US" w:eastAsia="zh-CN"/>
        </w:rPr>
        <w:t>3</w:t>
      </w:r>
      <w:r>
        <w:rPr>
          <w:rFonts w:hint="default" w:ascii="Times New Roman" w:hAnsi="Times New Roman"/>
          <w:sz w:val="24"/>
          <w:szCs w:val="24"/>
          <w:lang w:val="en-US" w:eastAsia="zh-CN"/>
        </w:rPr>
        <w:t>和表</w:t>
      </w:r>
      <w:r>
        <w:rPr>
          <w:rFonts w:hint="eastAsia" w:ascii="Times New Roman" w:hAnsi="Times New Roman"/>
          <w:sz w:val="24"/>
          <w:szCs w:val="24"/>
          <w:lang w:val="en-US" w:eastAsia="zh-CN"/>
        </w:rPr>
        <w:t>5.6</w:t>
      </w:r>
      <w:r>
        <w:rPr>
          <w:rFonts w:hint="default" w:ascii="Times New Roman" w:hAnsi="Times New Roman"/>
          <w:sz w:val="24"/>
          <w:szCs w:val="24"/>
          <w:lang w:val="en-US" w:eastAsia="zh-CN"/>
        </w:rPr>
        <w:t>-</w:t>
      </w:r>
      <w:r>
        <w:rPr>
          <w:rFonts w:hint="eastAsia" w:ascii="Times New Roman" w:hAnsi="Times New Roman"/>
          <w:sz w:val="24"/>
          <w:szCs w:val="24"/>
          <w:lang w:val="en-US" w:eastAsia="zh-CN"/>
        </w:rPr>
        <w:t>3</w:t>
      </w:r>
      <w:r>
        <w:rPr>
          <w:rFonts w:hint="default" w:ascii="Times New Roman" w:hAnsi="Times New Roman"/>
          <w:sz w:val="24"/>
          <w:szCs w:val="24"/>
          <w:lang w:val="en-US" w:eastAsia="zh-CN"/>
        </w:rPr>
        <w:t>。</w:t>
      </w:r>
    </w:p>
    <w:p>
      <w:pPr>
        <w:keepNext w:val="0"/>
        <w:keepLines w:val="0"/>
        <w:pageBreakBefore w:val="0"/>
        <w:widowControl w:val="0"/>
        <w:kinsoku/>
        <w:wordWrap/>
        <w:overflowPunct/>
        <w:topLinePunct w:val="0"/>
        <w:bidi w:val="0"/>
        <w:snapToGrid w:val="0"/>
        <w:spacing w:line="360" w:lineRule="auto"/>
        <w:jc w:val="center"/>
        <w:textAlignment w:val="auto"/>
        <w:rPr>
          <w:rFonts w:hint="default" w:ascii="Times New Roman" w:hAnsi="Times New Roman"/>
          <w:sz w:val="24"/>
          <w:szCs w:val="24"/>
          <w:lang w:val="en-US" w:eastAsia="zh-CN"/>
        </w:rPr>
      </w:pPr>
      <w:r>
        <w:rPr>
          <w:rFonts w:hint="eastAsia" w:ascii="宋体" w:hAnsi="宋体" w:eastAsia="宋体" w:cs="宋体"/>
          <w:b/>
          <w:bCs/>
          <w:color w:val="000000"/>
          <w:sz w:val="24"/>
          <w:highlight w:val="none"/>
        </w:rPr>
        <w:t>表</w:t>
      </w:r>
      <w:r>
        <w:rPr>
          <w:rFonts w:hint="eastAsia" w:ascii="Times New Roman" w:hAnsi="Times New Roman" w:cs="Times New Roman"/>
          <w:b/>
          <w:bCs/>
          <w:color w:val="000000"/>
          <w:sz w:val="24"/>
          <w:highlight w:val="none"/>
          <w:lang w:val="en-US" w:eastAsia="zh-CN"/>
        </w:rPr>
        <w:t>5.6</w:t>
      </w:r>
      <w:r>
        <w:rPr>
          <w:rFonts w:hint="default" w:ascii="Times New Roman" w:hAnsi="Times New Roman" w:cs="Times New Roman"/>
          <w:b/>
          <w:bCs/>
          <w:color w:val="000000"/>
          <w:sz w:val="24"/>
          <w:highlight w:val="none"/>
          <w:lang w:val="en-US" w:eastAsia="zh-CN"/>
        </w:rPr>
        <w:t>-</w:t>
      </w:r>
      <w:r>
        <w:rPr>
          <w:rFonts w:hint="eastAsia" w:ascii="Times New Roman" w:hAnsi="Times New Roman" w:cs="Times New Roman"/>
          <w:b/>
          <w:bCs/>
          <w:color w:val="000000"/>
          <w:sz w:val="24"/>
          <w:highlight w:val="none"/>
          <w:lang w:val="en-US" w:eastAsia="zh-CN"/>
        </w:rPr>
        <w:t>3</w:t>
      </w:r>
      <w:r>
        <w:rPr>
          <w:rFonts w:hint="default" w:ascii="Times New Roman" w:hAnsi="Times New Roman" w:eastAsia="宋体" w:cs="Times New Roman"/>
          <w:b/>
          <w:bCs/>
          <w:color w:val="000000"/>
          <w:sz w:val="24"/>
          <w:highlight w:val="none"/>
        </w:rPr>
        <w:t xml:space="preserve"> </w:t>
      </w:r>
      <w:r>
        <w:rPr>
          <w:rFonts w:hint="eastAsia" w:ascii="宋体" w:hAnsi="宋体" w:eastAsia="宋体" w:cs="宋体"/>
          <w:b/>
          <w:bCs/>
          <w:color w:val="000000"/>
          <w:sz w:val="24"/>
          <w:highlight w:val="none"/>
        </w:rPr>
        <w:t xml:space="preserve"> 地下水现状监测水文参数表</w:t>
      </w:r>
    </w:p>
    <w:tbl>
      <w:tblPr>
        <w:tblStyle w:val="19"/>
        <w:tblW w:w="0" w:type="auto"/>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3177"/>
        <w:gridCol w:w="1118"/>
        <w:gridCol w:w="1091"/>
        <w:gridCol w:w="1159"/>
        <w:gridCol w:w="1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6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点位</w:t>
            </w:r>
          </w:p>
        </w:tc>
        <w:tc>
          <w:tcPr>
            <w:tcW w:w="31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位置</w:t>
            </w:r>
          </w:p>
        </w:tc>
        <w:tc>
          <w:tcPr>
            <w:tcW w:w="11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井深（m）</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水位（m）</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水温（</w:t>
            </w:r>
            <w:r>
              <w:rPr>
                <w:rFonts w:hint="default" w:ascii="Times New Roman" w:hAnsi="Times New Roman" w:eastAsia="宋体" w:cs="Times New Roman"/>
                <w:sz w:val="21"/>
                <w:szCs w:val="21"/>
                <w:vertAlign w:val="baseline"/>
                <w:lang w:val="en-US" w:eastAsia="zh-CN"/>
              </w:rPr>
              <w:t>℃</w:t>
            </w:r>
            <w:r>
              <w:rPr>
                <w:rFonts w:hint="eastAsia" w:ascii="Times New Roman" w:hAnsi="Times New Roman" w:eastAsia="宋体"/>
                <w:sz w:val="21"/>
                <w:szCs w:val="21"/>
                <w:vertAlign w:val="baseline"/>
                <w:lang w:val="en-US" w:eastAsia="zh-CN"/>
              </w:rPr>
              <w:t>）</w:t>
            </w:r>
          </w:p>
        </w:tc>
        <w:tc>
          <w:tcPr>
            <w:tcW w:w="11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埋深（m）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6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w:t>
            </w:r>
          </w:p>
        </w:tc>
        <w:tc>
          <w:tcPr>
            <w:tcW w:w="3177" w:type="dxa"/>
            <w:vAlign w:val="center"/>
          </w:tcPr>
          <w:p>
            <w:pPr>
              <w:pStyle w:val="22"/>
              <w:keepNext w:val="0"/>
              <w:keepLines w:val="0"/>
              <w:pageBreakBefore w:val="0"/>
              <w:kinsoku/>
              <w:wordWrap/>
              <w:topLinePunct w:val="0"/>
              <w:autoSpaceDE/>
              <w:autoSpaceDN/>
              <w:bidi w:val="0"/>
              <w:snapToGrid w:val="0"/>
              <w:spacing w:line="240" w:lineRule="auto"/>
              <w:rPr>
                <w:rFonts w:hint="default" w:ascii="Times New Roman" w:hAnsi="Times New Roman" w:eastAsia="宋体"/>
                <w:sz w:val="21"/>
                <w:szCs w:val="21"/>
                <w:vertAlign w:val="baseline"/>
                <w:lang w:val="en-US" w:eastAsia="zh-CN"/>
              </w:rPr>
            </w:pPr>
            <w:r>
              <w:rPr>
                <w:rFonts w:hint="eastAsia" w:ascii="Times New Roman" w:hAnsi="Times New Roman" w:eastAsia="宋体"/>
                <w:lang w:val="en-US" w:eastAsia="zh-CN"/>
              </w:rPr>
              <w:t>厂址</w:t>
            </w:r>
          </w:p>
        </w:tc>
        <w:tc>
          <w:tcPr>
            <w:tcW w:w="11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12</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7.6</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22.4</w:t>
            </w:r>
          </w:p>
        </w:tc>
        <w:tc>
          <w:tcPr>
            <w:tcW w:w="11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6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w:t>
            </w:r>
            <w:r>
              <w:rPr>
                <w:rFonts w:hint="eastAsia" w:ascii="Times New Roman" w:hAnsi="Times New Roman" w:eastAsia="宋体"/>
                <w:sz w:val="21"/>
                <w:szCs w:val="21"/>
                <w:vertAlign w:val="baseline"/>
                <w:lang w:val="en-US" w:eastAsia="zh-CN"/>
              </w:rPr>
              <w:t>#</w:t>
            </w:r>
          </w:p>
        </w:tc>
        <w:tc>
          <w:tcPr>
            <w:tcW w:w="3177" w:type="dxa"/>
            <w:vAlign w:val="center"/>
          </w:tcPr>
          <w:p>
            <w:pPr>
              <w:pStyle w:val="14"/>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lang w:val="en-US" w:eastAsia="zh-CN"/>
              </w:rPr>
              <w:t>海利化工己内酰胺装置厂区西侧</w:t>
            </w:r>
          </w:p>
        </w:tc>
        <w:tc>
          <w:tcPr>
            <w:tcW w:w="11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12</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8.67</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20.2</w:t>
            </w:r>
          </w:p>
        </w:tc>
        <w:tc>
          <w:tcPr>
            <w:tcW w:w="11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6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3</w:t>
            </w:r>
            <w:r>
              <w:rPr>
                <w:rFonts w:hint="eastAsia" w:ascii="Times New Roman" w:hAnsi="Times New Roman" w:eastAsia="宋体"/>
                <w:sz w:val="21"/>
                <w:szCs w:val="21"/>
                <w:vertAlign w:val="baseline"/>
                <w:lang w:val="en-US" w:eastAsia="zh-CN"/>
              </w:rPr>
              <w:t>#</w:t>
            </w:r>
          </w:p>
        </w:tc>
        <w:tc>
          <w:tcPr>
            <w:tcW w:w="3177" w:type="dxa"/>
            <w:vAlign w:val="center"/>
          </w:tcPr>
          <w:p>
            <w:pPr>
              <w:pStyle w:val="22"/>
              <w:keepNext w:val="0"/>
              <w:keepLines w:val="0"/>
              <w:pageBreakBefore w:val="0"/>
              <w:kinsoku/>
              <w:wordWrap/>
              <w:topLinePunct w:val="0"/>
              <w:autoSpaceDE/>
              <w:autoSpaceDN/>
              <w:bidi w:val="0"/>
              <w:snapToGrid w:val="0"/>
              <w:spacing w:line="240" w:lineRule="auto"/>
              <w:rPr>
                <w:rFonts w:hint="default" w:ascii="Times New Roman" w:hAnsi="Times New Roman" w:eastAsia="宋体"/>
                <w:sz w:val="21"/>
                <w:szCs w:val="21"/>
                <w:vertAlign w:val="baseline"/>
                <w:lang w:val="en-US" w:eastAsia="zh-CN"/>
              </w:rPr>
            </w:pPr>
            <w:r>
              <w:rPr>
                <w:rFonts w:hint="eastAsia" w:ascii="Times New Roman" w:hAnsi="Times New Roman" w:eastAsia="宋体"/>
                <w:lang w:val="en-US" w:eastAsia="zh-CN"/>
              </w:rPr>
              <w:t>海利化工丙烯腈装置厂区西北侧</w:t>
            </w:r>
          </w:p>
        </w:tc>
        <w:tc>
          <w:tcPr>
            <w:tcW w:w="11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25</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7.05</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18.0</w:t>
            </w:r>
          </w:p>
        </w:tc>
        <w:tc>
          <w:tcPr>
            <w:tcW w:w="11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3.95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6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4</w:t>
            </w:r>
            <w:r>
              <w:rPr>
                <w:rFonts w:hint="eastAsia" w:ascii="Times New Roman" w:hAnsi="Times New Roman" w:eastAsia="宋体"/>
                <w:sz w:val="21"/>
                <w:szCs w:val="21"/>
                <w:vertAlign w:val="baseline"/>
                <w:lang w:val="en-US" w:eastAsia="zh-CN"/>
              </w:rPr>
              <w:t>#</w:t>
            </w:r>
          </w:p>
        </w:tc>
        <w:tc>
          <w:tcPr>
            <w:tcW w:w="3177" w:type="dxa"/>
            <w:vAlign w:val="center"/>
          </w:tcPr>
          <w:p>
            <w:pPr>
              <w:pStyle w:val="14"/>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lang w:val="en-US" w:eastAsia="zh-CN"/>
              </w:rPr>
              <w:t>重质碳酸钙研磨项目东侧农田</w:t>
            </w:r>
          </w:p>
        </w:tc>
        <w:tc>
          <w:tcPr>
            <w:tcW w:w="11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25</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6.33</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21.6</w:t>
            </w:r>
          </w:p>
        </w:tc>
        <w:tc>
          <w:tcPr>
            <w:tcW w:w="11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6.27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6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w:t>
            </w:r>
            <w:r>
              <w:rPr>
                <w:rFonts w:hint="eastAsia" w:ascii="Times New Roman" w:hAnsi="Times New Roman" w:eastAsia="宋体"/>
                <w:sz w:val="21"/>
                <w:szCs w:val="21"/>
                <w:vertAlign w:val="baseline"/>
                <w:lang w:val="en-US" w:eastAsia="zh-CN"/>
              </w:rPr>
              <w:t>#</w:t>
            </w:r>
          </w:p>
        </w:tc>
        <w:tc>
          <w:tcPr>
            <w:tcW w:w="3177" w:type="dxa"/>
            <w:vAlign w:val="center"/>
          </w:tcPr>
          <w:p>
            <w:pPr>
              <w:pStyle w:val="14"/>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sz w:val="21"/>
                <w:szCs w:val="21"/>
                <w:highlight w:val="none"/>
                <w:vertAlign w:val="baseline"/>
                <w:lang w:val="en-US" w:eastAsia="zh-CN"/>
              </w:rPr>
            </w:pPr>
            <w:r>
              <w:rPr>
                <w:rFonts w:hint="eastAsia" w:ascii="Times New Roman" w:hAnsi="Times New Roman" w:eastAsia="宋体"/>
                <w:highlight w:val="none"/>
                <w:lang w:val="en-US" w:eastAsia="zh-CN"/>
              </w:rPr>
              <w:t>海利化工丙烯腈装置厂区南侧</w:t>
            </w:r>
          </w:p>
        </w:tc>
        <w:tc>
          <w:tcPr>
            <w:tcW w:w="11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21</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3.0</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20.2</w:t>
            </w:r>
          </w:p>
        </w:tc>
        <w:tc>
          <w:tcPr>
            <w:tcW w:w="11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6</w:t>
            </w:r>
            <w:r>
              <w:rPr>
                <w:rFonts w:hint="eastAsia" w:ascii="Times New Roman" w:hAnsi="Times New Roman" w:eastAsia="宋体"/>
                <w:sz w:val="21"/>
                <w:szCs w:val="21"/>
                <w:vertAlign w:val="baseline"/>
                <w:lang w:val="en-US" w:eastAsia="zh-CN"/>
              </w:rPr>
              <w:t>#</w:t>
            </w:r>
          </w:p>
        </w:tc>
        <w:tc>
          <w:tcPr>
            <w:tcW w:w="3177" w:type="dxa"/>
            <w:vAlign w:val="center"/>
          </w:tcPr>
          <w:p>
            <w:pPr>
              <w:pStyle w:val="14"/>
              <w:keepNext w:val="0"/>
              <w:keepLines w:val="0"/>
              <w:pageBreakBefore w:val="0"/>
              <w:kinsoku/>
              <w:wordWrap/>
              <w:topLinePunct w:val="0"/>
              <w:autoSpaceDE/>
              <w:autoSpaceDN/>
              <w:bidi w:val="0"/>
              <w:snapToGrid w:val="0"/>
              <w:spacing w:line="240" w:lineRule="auto"/>
              <w:jc w:val="center"/>
              <w:rPr>
                <w:rFonts w:hint="default" w:ascii="Times New Roman" w:hAnsi="Times New Roman" w:eastAsia="宋体"/>
                <w:sz w:val="21"/>
                <w:szCs w:val="21"/>
                <w:highlight w:val="none"/>
                <w:vertAlign w:val="baseline"/>
                <w:lang w:val="en-US" w:eastAsia="zh-CN"/>
              </w:rPr>
            </w:pPr>
            <w:r>
              <w:rPr>
                <w:rFonts w:hint="eastAsia" w:ascii="Times New Roman" w:hAnsi="Times New Roman" w:eastAsia="宋体"/>
                <w:highlight w:val="none"/>
                <w:lang w:val="en-US" w:eastAsia="zh-CN"/>
              </w:rPr>
              <w:t>天源热电机组南侧</w:t>
            </w:r>
          </w:p>
        </w:tc>
        <w:tc>
          <w:tcPr>
            <w:tcW w:w="11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13.5</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9.67</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19.7</w:t>
            </w:r>
          </w:p>
        </w:tc>
        <w:tc>
          <w:tcPr>
            <w:tcW w:w="11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4.03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9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w:t>
            </w:r>
          </w:p>
        </w:tc>
        <w:tc>
          <w:tcPr>
            <w:tcW w:w="3177" w:type="dxa"/>
            <w:vAlign w:val="center"/>
          </w:tcPr>
          <w:p>
            <w:pPr>
              <w:pStyle w:val="14"/>
              <w:keepNext w:val="0"/>
              <w:keepLines w:val="0"/>
              <w:pageBreakBefore w:val="0"/>
              <w:kinsoku/>
              <w:wordWrap/>
              <w:topLinePunct w:val="0"/>
              <w:autoSpaceDE/>
              <w:autoSpaceDN/>
              <w:bidi w:val="0"/>
              <w:snapToGrid w:val="0"/>
              <w:spacing w:line="240" w:lineRule="auto"/>
              <w:jc w:val="center"/>
              <w:rPr>
                <w:rFonts w:hint="eastAsia" w:ascii="Times New Roman" w:hAnsi="Times New Roman" w:eastAsia="宋体"/>
                <w:highlight w:val="none"/>
                <w:lang w:val="en-US" w:eastAsia="zh-CN"/>
              </w:rPr>
            </w:pPr>
            <w:r>
              <w:rPr>
                <w:rFonts w:hint="eastAsia" w:ascii="Times New Roman" w:hAnsi="Times New Roman"/>
                <w:highlight w:val="none"/>
                <w:lang w:val="en-US" w:eastAsia="zh-CN"/>
              </w:rPr>
              <w:t>国金化工环氧氯丙烷装置区西北侧</w:t>
            </w:r>
          </w:p>
        </w:tc>
        <w:tc>
          <w:tcPr>
            <w:tcW w:w="11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25</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8.7</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20.1</w:t>
            </w:r>
          </w:p>
        </w:tc>
        <w:tc>
          <w:tcPr>
            <w:tcW w:w="11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6.3</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jc w:val="center"/>
        <w:textAlignment w:val="auto"/>
        <w:rPr>
          <w:rFonts w:hint="default" w:ascii="Times New Roman" w:hAnsi="Times New Roman"/>
          <w:sz w:val="24"/>
          <w:szCs w:val="24"/>
          <w:lang w:val="en-US" w:eastAsia="zh-CN"/>
        </w:rPr>
      </w:pPr>
      <w:r>
        <w:rPr>
          <w:rFonts w:hint="eastAsia" w:ascii="宋体" w:hAnsi="宋体" w:eastAsia="宋体" w:cs="宋体"/>
          <w:b/>
          <w:bCs/>
          <w:color w:val="000000"/>
          <w:sz w:val="24"/>
          <w:highlight w:val="none"/>
        </w:rPr>
        <w:t>表</w:t>
      </w:r>
      <w:r>
        <w:rPr>
          <w:rFonts w:hint="eastAsia" w:ascii="Times New Roman" w:hAnsi="Times New Roman" w:cs="Times New Roman"/>
          <w:b/>
          <w:bCs/>
          <w:color w:val="000000"/>
          <w:sz w:val="24"/>
          <w:highlight w:val="none"/>
          <w:lang w:val="en-US" w:eastAsia="zh-CN"/>
        </w:rPr>
        <w:t>5.6</w:t>
      </w:r>
      <w:r>
        <w:rPr>
          <w:rFonts w:hint="default" w:ascii="Times New Roman" w:hAnsi="Times New Roman" w:cs="Times New Roman"/>
          <w:b/>
          <w:bCs/>
          <w:color w:val="000000"/>
          <w:sz w:val="24"/>
          <w:highlight w:val="none"/>
          <w:lang w:val="en-US" w:eastAsia="zh-CN"/>
        </w:rPr>
        <w:t>-</w:t>
      </w:r>
      <w:r>
        <w:rPr>
          <w:rFonts w:hint="eastAsia" w:ascii="Times New Roman" w:hAnsi="Times New Roman" w:cs="Times New Roman"/>
          <w:b/>
          <w:bCs/>
          <w:color w:val="000000"/>
          <w:sz w:val="24"/>
          <w:highlight w:val="none"/>
          <w:lang w:val="en-US" w:eastAsia="zh-CN"/>
        </w:rPr>
        <w:t>4</w:t>
      </w:r>
      <w:r>
        <w:rPr>
          <w:rFonts w:hint="default" w:ascii="Times New Roman" w:hAnsi="Times New Roman" w:eastAsia="宋体" w:cs="Times New Roman"/>
          <w:b/>
          <w:bCs/>
          <w:color w:val="000000"/>
          <w:sz w:val="24"/>
          <w:highlight w:val="none"/>
        </w:rPr>
        <w:t xml:space="preserve"> </w:t>
      </w:r>
      <w:r>
        <w:rPr>
          <w:rFonts w:hint="eastAsia" w:ascii="宋体" w:hAnsi="宋体" w:eastAsia="宋体" w:cs="宋体"/>
          <w:b/>
          <w:bCs/>
          <w:color w:val="000000"/>
          <w:sz w:val="24"/>
          <w:highlight w:val="none"/>
        </w:rPr>
        <w:t xml:space="preserve"> 地下水环境监测结果一览表</w:t>
      </w:r>
    </w:p>
    <w:tbl>
      <w:tblPr>
        <w:tblStyle w:val="18"/>
        <w:tblW w:w="87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4"/>
        <w:gridCol w:w="1404"/>
        <w:gridCol w:w="1469"/>
        <w:gridCol w:w="1490"/>
        <w:gridCol w:w="1370"/>
        <w:gridCol w:w="12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684" w:type="dxa"/>
            <w:vMerge w:val="restart"/>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检验项目</w:t>
            </w:r>
          </w:p>
        </w:tc>
        <w:tc>
          <w:tcPr>
            <w:tcW w:w="1404" w:type="dxa"/>
            <w:vMerge w:val="restart"/>
            <w:noWrap w:val="0"/>
            <w:vAlign w:val="center"/>
          </w:tcPr>
          <w:p>
            <w:pPr>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单位</w:t>
            </w:r>
          </w:p>
        </w:tc>
        <w:tc>
          <w:tcPr>
            <w:tcW w:w="5622" w:type="dxa"/>
            <w:gridSpan w:val="4"/>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监测点位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684" w:type="dxa"/>
            <w:vMerge w:val="continue"/>
            <w:noWrap w:val="0"/>
            <w:vAlign w:val="center"/>
          </w:tcPr>
          <w:p>
            <w:pPr>
              <w:jc w:val="center"/>
              <w:rPr>
                <w:rFonts w:hint="default" w:ascii="Times New Roman" w:hAnsi="Times New Roman" w:cs="Times New Roman"/>
                <w:sz w:val="21"/>
                <w:szCs w:val="21"/>
                <w:vertAlign w:val="baseline"/>
                <w:lang w:val="en-US" w:eastAsia="zh-CN"/>
              </w:rPr>
            </w:pPr>
          </w:p>
        </w:tc>
        <w:tc>
          <w:tcPr>
            <w:tcW w:w="1404" w:type="dxa"/>
            <w:vMerge w:val="continue"/>
            <w:noWrap w:val="0"/>
            <w:vAlign w:val="center"/>
          </w:tcPr>
          <w:p>
            <w:pPr>
              <w:jc w:val="center"/>
              <w:rPr>
                <w:rFonts w:hint="default" w:ascii="Times New Roman" w:hAnsi="Times New Roman" w:cs="Times New Roman"/>
                <w:sz w:val="21"/>
                <w:szCs w:val="21"/>
                <w:vertAlign w:val="baseline"/>
                <w:lang w:val="en-US" w:eastAsia="zh-CN"/>
              </w:rPr>
            </w:pP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1684"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pH</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lang w:val="en-US" w:eastAsia="zh-CN"/>
              </w:rPr>
              <w:t>/</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7.50</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7.53</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7.46</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684"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总硬度（以CaCO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计）</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rPr>
              <w:t>mg/L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1.34×10</w:t>
            </w:r>
            <w:r>
              <w:rPr>
                <w:rFonts w:hint="default" w:ascii="Times New Roman" w:hAnsi="Times New Roman" w:cs="Times New Roman"/>
                <w:color w:val="auto"/>
                <w:kern w:val="2"/>
                <w:sz w:val="21"/>
                <w:szCs w:val="21"/>
                <w:vertAlign w:val="superscript"/>
                <w:lang w:val="en-US" w:eastAsia="zh-CN" w:bidi="ar-SA"/>
              </w:rPr>
              <w:t>3</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1.52×10</w:t>
            </w:r>
            <w:r>
              <w:rPr>
                <w:rFonts w:hint="default" w:ascii="Times New Roman" w:hAnsi="Times New Roman" w:cs="Times New Roman"/>
                <w:color w:val="auto"/>
                <w:kern w:val="2"/>
                <w:sz w:val="21"/>
                <w:szCs w:val="21"/>
                <w:vertAlign w:val="superscript"/>
                <w:lang w:val="en-US" w:eastAsia="zh-CN" w:bidi="ar-SA"/>
              </w:rPr>
              <w:t>3</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864</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1.31×10</w:t>
            </w:r>
            <w:r>
              <w:rPr>
                <w:rFonts w:hint="default" w:ascii="Times New Roman" w:hAnsi="Times New Roman" w:cs="Times New Roman"/>
                <w:color w:val="auto"/>
                <w:kern w:val="2"/>
                <w:sz w:val="21"/>
                <w:szCs w:val="21"/>
                <w:vertAlign w:val="superscript"/>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684"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溶解性总固体</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rPr>
              <w:t>mg/L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3.31×10</w:t>
            </w:r>
            <w:r>
              <w:rPr>
                <w:rFonts w:hint="default" w:ascii="Times New Roman" w:hAnsi="Times New Roman" w:cs="Times New Roman"/>
                <w:color w:val="auto"/>
                <w:kern w:val="2"/>
                <w:sz w:val="21"/>
                <w:szCs w:val="21"/>
                <w:vertAlign w:val="superscript"/>
                <w:lang w:val="en-US" w:eastAsia="zh-CN" w:bidi="ar-SA"/>
              </w:rPr>
              <w:t>3</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3.40×10</w:t>
            </w:r>
            <w:r>
              <w:rPr>
                <w:rFonts w:hint="default" w:ascii="Times New Roman" w:hAnsi="Times New Roman" w:cs="Times New Roman"/>
                <w:color w:val="auto"/>
                <w:kern w:val="2"/>
                <w:sz w:val="21"/>
                <w:szCs w:val="21"/>
                <w:vertAlign w:val="superscript"/>
                <w:lang w:val="en-US" w:eastAsia="zh-CN" w:bidi="ar-SA"/>
              </w:rPr>
              <w:t>3</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1.17×10</w:t>
            </w:r>
            <w:r>
              <w:rPr>
                <w:rFonts w:hint="default" w:ascii="Times New Roman" w:hAnsi="Times New Roman" w:cs="Times New Roman"/>
                <w:color w:val="auto"/>
                <w:kern w:val="2"/>
                <w:sz w:val="21"/>
                <w:szCs w:val="21"/>
                <w:vertAlign w:val="superscript"/>
                <w:lang w:val="en-US" w:eastAsia="zh-CN" w:bidi="ar-SA"/>
              </w:rPr>
              <w:t>3</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2.18×10</w:t>
            </w:r>
            <w:r>
              <w:rPr>
                <w:rFonts w:hint="default" w:ascii="Times New Roman" w:hAnsi="Times New Roman" w:cs="Times New Roman"/>
                <w:color w:val="auto"/>
                <w:kern w:val="2"/>
                <w:sz w:val="21"/>
                <w:szCs w:val="21"/>
                <w:vertAlign w:val="superscript"/>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684"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硫酸盐</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rPr>
              <w:t>mg/L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608</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245</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268</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388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684"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rPr>
              <w:t>氯化物</w:t>
            </w:r>
          </w:p>
        </w:tc>
        <w:tc>
          <w:tcPr>
            <w:tcW w:w="1404" w:type="dxa"/>
            <w:noWrap w:val="0"/>
            <w:vAlign w:val="center"/>
          </w:tcPr>
          <w:p>
            <w:pPr>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kern w:val="0"/>
                <w:szCs w:val="21"/>
              </w:rPr>
              <w:t>mg/L</w:t>
            </w:r>
          </w:p>
        </w:tc>
        <w:tc>
          <w:tcPr>
            <w:tcW w:w="1469"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790</w:t>
            </w:r>
          </w:p>
        </w:tc>
        <w:tc>
          <w:tcPr>
            <w:tcW w:w="149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1.23×10</w:t>
            </w:r>
            <w:r>
              <w:rPr>
                <w:rFonts w:hint="default" w:ascii="Times New Roman" w:hAnsi="Times New Roman" w:cs="Times New Roman"/>
                <w:color w:val="auto"/>
                <w:kern w:val="2"/>
                <w:sz w:val="21"/>
                <w:szCs w:val="21"/>
                <w:vertAlign w:val="superscript"/>
                <w:lang w:val="en-US" w:eastAsia="zh-CN" w:bidi="ar-SA"/>
              </w:rPr>
              <w:t>3</w:t>
            </w:r>
          </w:p>
        </w:tc>
        <w:tc>
          <w:tcPr>
            <w:tcW w:w="1370" w:type="dxa"/>
            <w:noWrap w:val="0"/>
            <w:vAlign w:val="center"/>
          </w:tcPr>
          <w:p>
            <w:pPr>
              <w:jc w:val="center"/>
              <w:rPr>
                <w:rFonts w:hint="default" w:ascii="Times New Roman" w:hAnsi="Times New Roman" w:eastAsia="宋体" w:cs="Times New Roman"/>
                <w:kern w:val="0"/>
                <w:sz w:val="21"/>
                <w:szCs w:val="21"/>
                <w:lang w:val="en-US" w:eastAsia="zh-CN"/>
              </w:rPr>
            </w:pPr>
            <w:r>
              <w:rPr>
                <w:rFonts w:hint="default" w:ascii="Times New Roman" w:hAnsi="Times New Roman" w:cs="Times New Roman"/>
                <w:color w:val="auto"/>
                <w:kern w:val="2"/>
                <w:sz w:val="21"/>
                <w:szCs w:val="21"/>
                <w:lang w:val="en-US" w:eastAsia="zh-CN" w:bidi="ar-SA"/>
              </w:rPr>
              <w:t>155</w:t>
            </w:r>
          </w:p>
        </w:tc>
        <w:tc>
          <w:tcPr>
            <w:tcW w:w="1293" w:type="dxa"/>
            <w:noWrap w:val="0"/>
            <w:vAlign w:val="center"/>
          </w:tcPr>
          <w:p>
            <w:pPr>
              <w:jc w:val="center"/>
              <w:rPr>
                <w:rFonts w:hint="default" w:ascii="Times New Roman" w:hAnsi="Times New Roman" w:eastAsia="宋体" w:cs="Times New Roman"/>
                <w:kern w:val="0"/>
                <w:sz w:val="21"/>
                <w:szCs w:val="21"/>
                <w:lang w:val="en-US" w:eastAsia="zh-CN"/>
              </w:rPr>
            </w:pPr>
            <w:r>
              <w:rPr>
                <w:rFonts w:hint="default" w:ascii="Times New Roman" w:hAnsi="Times New Roman" w:cs="Times New Roman"/>
                <w:color w:val="auto"/>
                <w:kern w:val="2"/>
                <w:sz w:val="21"/>
                <w:szCs w:val="21"/>
                <w:lang w:val="en-US" w:eastAsia="zh-CN" w:bidi="ar-SA"/>
              </w:rPr>
              <w:t>569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684"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auto"/>
                <w:sz w:val="21"/>
                <w:szCs w:val="21"/>
                <w:highlight w:val="none"/>
                <w:lang w:eastAsia="zh-CN"/>
              </w:rPr>
              <w:t>铁</w:t>
            </w:r>
          </w:p>
        </w:tc>
        <w:tc>
          <w:tcPr>
            <w:tcW w:w="1404" w:type="dxa"/>
            <w:noWrap w:val="0"/>
            <w:vAlign w:val="center"/>
          </w:tcPr>
          <w:p>
            <w:pPr>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kern w:val="0"/>
                <w:szCs w:val="21"/>
              </w:rPr>
              <w:t>mg/L</w:t>
            </w:r>
          </w:p>
        </w:tc>
        <w:tc>
          <w:tcPr>
            <w:tcW w:w="1469"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5.4×10</w:t>
            </w:r>
            <w:r>
              <w:rPr>
                <w:rFonts w:hint="default" w:ascii="Times New Roman" w:hAnsi="Times New Roman" w:cs="Times New Roman"/>
                <w:color w:val="auto"/>
                <w:kern w:val="2"/>
                <w:sz w:val="21"/>
                <w:szCs w:val="21"/>
                <w:vertAlign w:val="superscript"/>
                <w:lang w:val="en-US" w:eastAsia="zh-CN" w:bidi="ar-SA"/>
              </w:rPr>
              <w:t>-3</w:t>
            </w:r>
          </w:p>
        </w:tc>
        <w:tc>
          <w:tcPr>
            <w:tcW w:w="149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0.249</w:t>
            </w:r>
          </w:p>
        </w:tc>
        <w:tc>
          <w:tcPr>
            <w:tcW w:w="137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7.6×10</w:t>
            </w:r>
            <w:r>
              <w:rPr>
                <w:rFonts w:hint="default" w:ascii="Times New Roman" w:hAnsi="Times New Roman" w:cs="Times New Roman"/>
                <w:color w:val="auto"/>
                <w:kern w:val="2"/>
                <w:sz w:val="21"/>
                <w:szCs w:val="21"/>
                <w:vertAlign w:val="superscript"/>
                <w:lang w:val="en-US" w:eastAsia="zh-CN" w:bidi="ar-SA"/>
              </w:rPr>
              <w:t>-3</w:t>
            </w:r>
          </w:p>
        </w:tc>
        <w:tc>
          <w:tcPr>
            <w:tcW w:w="1293"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0.172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684"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ascii="宋体" w:hAnsi="宋体" w:cs="宋体"/>
                <w:color w:val="auto"/>
                <w:szCs w:val="21"/>
              </w:rPr>
              <w:t>锰</w:t>
            </w:r>
          </w:p>
        </w:tc>
        <w:tc>
          <w:tcPr>
            <w:tcW w:w="1404" w:type="dxa"/>
            <w:noWrap w:val="0"/>
            <w:vAlign w:val="center"/>
          </w:tcPr>
          <w:p>
            <w:pPr>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kern w:val="0"/>
                <w:szCs w:val="21"/>
              </w:rPr>
              <w:t>mg/L</w:t>
            </w:r>
          </w:p>
        </w:tc>
        <w:tc>
          <w:tcPr>
            <w:tcW w:w="1469"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0.652</w:t>
            </w:r>
          </w:p>
        </w:tc>
        <w:tc>
          <w:tcPr>
            <w:tcW w:w="149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0.389</w:t>
            </w:r>
          </w:p>
        </w:tc>
        <w:tc>
          <w:tcPr>
            <w:tcW w:w="137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2.6×10</w:t>
            </w:r>
            <w:r>
              <w:rPr>
                <w:rFonts w:hint="default" w:ascii="Times New Roman" w:hAnsi="Times New Roman" w:cs="Times New Roman"/>
                <w:color w:val="auto"/>
                <w:kern w:val="2"/>
                <w:sz w:val="21"/>
                <w:szCs w:val="21"/>
                <w:vertAlign w:val="superscript"/>
                <w:lang w:val="en-US" w:eastAsia="zh-CN" w:bidi="ar-SA"/>
              </w:rPr>
              <w:t>-3</w:t>
            </w:r>
          </w:p>
        </w:tc>
        <w:tc>
          <w:tcPr>
            <w:tcW w:w="1293"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0.039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684"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rPr>
              <w:t>挥发性酚类</w:t>
            </w:r>
          </w:p>
        </w:tc>
        <w:tc>
          <w:tcPr>
            <w:tcW w:w="1404" w:type="dxa"/>
            <w:noWrap w:val="0"/>
            <w:vAlign w:val="center"/>
          </w:tcPr>
          <w:p>
            <w:pPr>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kern w:val="0"/>
                <w:szCs w:val="21"/>
              </w:rPr>
              <w:t>mg/L</w:t>
            </w:r>
          </w:p>
        </w:tc>
        <w:tc>
          <w:tcPr>
            <w:tcW w:w="1469"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＜1.0×10</w:t>
            </w:r>
            <w:r>
              <w:rPr>
                <w:rFonts w:hint="default" w:ascii="Times New Roman" w:hAnsi="Times New Roman" w:cs="Times New Roman"/>
                <w:color w:val="auto"/>
                <w:kern w:val="2"/>
                <w:sz w:val="21"/>
                <w:szCs w:val="21"/>
                <w:vertAlign w:val="superscript"/>
                <w:lang w:val="en-US" w:eastAsia="zh-CN" w:bidi="ar-SA"/>
              </w:rPr>
              <w:t>-3</w:t>
            </w:r>
          </w:p>
        </w:tc>
        <w:tc>
          <w:tcPr>
            <w:tcW w:w="149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＜1.0×10</w:t>
            </w:r>
            <w:r>
              <w:rPr>
                <w:rFonts w:hint="default" w:ascii="Times New Roman" w:hAnsi="Times New Roman" w:cs="Times New Roman"/>
                <w:color w:val="auto"/>
                <w:kern w:val="2"/>
                <w:sz w:val="21"/>
                <w:szCs w:val="21"/>
                <w:vertAlign w:val="superscript"/>
                <w:lang w:val="en-US" w:eastAsia="zh-CN" w:bidi="ar-SA"/>
              </w:rPr>
              <w:t>-3</w:t>
            </w:r>
          </w:p>
        </w:tc>
        <w:tc>
          <w:tcPr>
            <w:tcW w:w="137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＜1.0×10</w:t>
            </w:r>
            <w:r>
              <w:rPr>
                <w:rFonts w:hint="default" w:ascii="Times New Roman" w:hAnsi="Times New Roman" w:cs="Times New Roman"/>
                <w:color w:val="auto"/>
                <w:kern w:val="2"/>
                <w:sz w:val="21"/>
                <w:szCs w:val="21"/>
                <w:vertAlign w:val="superscript"/>
                <w:lang w:val="en-US" w:eastAsia="zh-CN" w:bidi="ar-SA"/>
              </w:rPr>
              <w:t>-3</w:t>
            </w:r>
          </w:p>
        </w:tc>
        <w:tc>
          <w:tcPr>
            <w:tcW w:w="1293"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＜1.0×10</w:t>
            </w:r>
            <w:r>
              <w:rPr>
                <w:rFonts w:hint="default" w:ascii="Times New Roman" w:hAnsi="Times New Roman" w:cs="Times New Roman"/>
                <w:color w:val="auto"/>
                <w:kern w:val="2"/>
                <w:sz w:val="21"/>
                <w:szCs w:val="21"/>
                <w:vertAlign w:val="superscript"/>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684"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rPr>
              <w:t>耗氧量（COD</w:t>
            </w:r>
            <w:r>
              <w:rPr>
                <w:rFonts w:hint="default" w:ascii="Times New Roman" w:hAnsi="Times New Roman" w:eastAsia="宋体" w:cs="Times New Roman"/>
                <w:color w:val="auto"/>
                <w:sz w:val="21"/>
                <w:szCs w:val="21"/>
                <w:highlight w:val="none"/>
                <w:vertAlign w:val="subscript"/>
              </w:rPr>
              <w:t>Mn</w:t>
            </w:r>
            <w:r>
              <w:rPr>
                <w:rFonts w:hint="default" w:ascii="Times New Roman" w:hAnsi="Times New Roman" w:eastAsia="宋体" w:cs="Times New Roman"/>
                <w:color w:val="auto"/>
                <w:sz w:val="21"/>
                <w:szCs w:val="21"/>
                <w:highlight w:val="none"/>
              </w:rPr>
              <w:t>法，以O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计）</w:t>
            </w:r>
          </w:p>
        </w:tc>
        <w:tc>
          <w:tcPr>
            <w:tcW w:w="1404" w:type="dxa"/>
            <w:noWrap w:val="0"/>
            <w:vAlign w:val="center"/>
          </w:tcPr>
          <w:p>
            <w:pPr>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kern w:val="0"/>
                <w:szCs w:val="21"/>
              </w:rPr>
              <w:t>mg/L</w:t>
            </w:r>
          </w:p>
        </w:tc>
        <w:tc>
          <w:tcPr>
            <w:tcW w:w="1469"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3.12</w:t>
            </w:r>
          </w:p>
        </w:tc>
        <w:tc>
          <w:tcPr>
            <w:tcW w:w="149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5.96</w:t>
            </w:r>
          </w:p>
        </w:tc>
        <w:tc>
          <w:tcPr>
            <w:tcW w:w="137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2.83</w:t>
            </w:r>
          </w:p>
        </w:tc>
        <w:tc>
          <w:tcPr>
            <w:tcW w:w="1293"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4.92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684"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rPr>
              <w:t>氨氮（以N计）</w:t>
            </w:r>
          </w:p>
        </w:tc>
        <w:tc>
          <w:tcPr>
            <w:tcW w:w="1404" w:type="dxa"/>
            <w:noWrap w:val="0"/>
            <w:vAlign w:val="center"/>
          </w:tcPr>
          <w:p>
            <w:pPr>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highlight w:val="none"/>
                <w:lang w:val="en-US" w:eastAsia="zh-CN" w:bidi="ar-SA"/>
              </w:rPr>
              <w:t>0.188</w:t>
            </w:r>
          </w:p>
        </w:tc>
        <w:tc>
          <w:tcPr>
            <w:tcW w:w="149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highlight w:val="none"/>
                <w:lang w:val="en-US" w:eastAsia="zh-CN" w:bidi="ar-SA"/>
              </w:rPr>
              <w:t>0.443</w:t>
            </w:r>
          </w:p>
        </w:tc>
        <w:tc>
          <w:tcPr>
            <w:tcW w:w="137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highlight w:val="none"/>
                <w:lang w:val="en-US" w:eastAsia="zh-CN" w:bidi="ar-SA"/>
              </w:rPr>
              <w:t>0.043</w:t>
            </w:r>
          </w:p>
        </w:tc>
        <w:tc>
          <w:tcPr>
            <w:tcW w:w="1293"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highlight w:val="none"/>
                <w:lang w:val="en-US" w:eastAsia="zh-CN" w:bidi="ar-SA"/>
              </w:rPr>
              <w:t>0.109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684"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rPr>
              <w:t>硫化物</w:t>
            </w:r>
          </w:p>
        </w:tc>
        <w:tc>
          <w:tcPr>
            <w:tcW w:w="1404" w:type="dxa"/>
            <w:noWrap w:val="0"/>
            <w:vAlign w:val="center"/>
          </w:tcPr>
          <w:p>
            <w:pPr>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highlight w:val="none"/>
                <w:lang w:val="en-US" w:eastAsia="zh-CN" w:bidi="ar-SA"/>
              </w:rPr>
              <w:t>＜5.0</w:t>
            </w:r>
            <w:r>
              <w:rPr>
                <w:rFonts w:hint="default" w:ascii="Times New Roman" w:hAnsi="Times New Roman" w:cs="Times New Roman"/>
                <w:color w:val="auto"/>
                <w:kern w:val="2"/>
                <w:sz w:val="21"/>
                <w:szCs w:val="21"/>
                <w:lang w:val="en-US" w:eastAsia="zh-CN" w:bidi="ar-SA"/>
              </w:rPr>
              <w:t>×10</w:t>
            </w:r>
            <w:r>
              <w:rPr>
                <w:rFonts w:hint="default" w:ascii="Times New Roman" w:hAnsi="Times New Roman" w:cs="Times New Roman"/>
                <w:color w:val="auto"/>
                <w:kern w:val="2"/>
                <w:sz w:val="21"/>
                <w:szCs w:val="21"/>
                <w:vertAlign w:val="superscript"/>
                <w:lang w:val="en-US" w:eastAsia="zh-CN" w:bidi="ar-SA"/>
              </w:rPr>
              <w:t>-3</w:t>
            </w:r>
          </w:p>
        </w:tc>
        <w:tc>
          <w:tcPr>
            <w:tcW w:w="149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＜5.0×10</w:t>
            </w:r>
            <w:r>
              <w:rPr>
                <w:rFonts w:hint="default" w:ascii="Times New Roman" w:hAnsi="Times New Roman" w:cs="Times New Roman"/>
                <w:color w:val="auto"/>
                <w:kern w:val="2"/>
                <w:sz w:val="21"/>
                <w:szCs w:val="21"/>
                <w:vertAlign w:val="superscript"/>
                <w:lang w:val="en-US" w:eastAsia="zh-CN" w:bidi="ar-SA"/>
              </w:rPr>
              <w:t>-3</w:t>
            </w:r>
          </w:p>
        </w:tc>
        <w:tc>
          <w:tcPr>
            <w:tcW w:w="137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＜5.0×10</w:t>
            </w:r>
            <w:r>
              <w:rPr>
                <w:rFonts w:hint="default" w:ascii="Times New Roman" w:hAnsi="Times New Roman" w:cs="Times New Roman"/>
                <w:color w:val="auto"/>
                <w:kern w:val="2"/>
                <w:sz w:val="21"/>
                <w:szCs w:val="21"/>
                <w:vertAlign w:val="superscript"/>
                <w:lang w:val="en-US" w:eastAsia="zh-CN" w:bidi="ar-SA"/>
              </w:rPr>
              <w:t>-3</w:t>
            </w:r>
          </w:p>
        </w:tc>
        <w:tc>
          <w:tcPr>
            <w:tcW w:w="1293"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＜5.0×10</w:t>
            </w:r>
            <w:r>
              <w:rPr>
                <w:rFonts w:hint="default" w:ascii="Times New Roman" w:hAnsi="Times New Roman" w:cs="Times New Roman"/>
                <w:color w:val="auto"/>
                <w:kern w:val="2"/>
                <w:sz w:val="21"/>
                <w:szCs w:val="21"/>
                <w:vertAlign w:val="superscript"/>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684"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钠</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84.8</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710</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101</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231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684" w:type="dxa"/>
            <w:noWrap w:val="0"/>
            <w:vAlign w:val="center"/>
          </w:tcPr>
          <w:p>
            <w:pPr>
              <w:jc w:val="center"/>
              <w:rPr>
                <w:rFonts w:hint="eastAsia"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总大肠菌群</w:t>
            </w:r>
          </w:p>
        </w:tc>
        <w:tc>
          <w:tcPr>
            <w:tcW w:w="1404" w:type="dxa"/>
            <w:noWrap w:val="0"/>
            <w:vAlign w:val="center"/>
          </w:tcPr>
          <w:p>
            <w:pPr>
              <w:spacing w:line="240" w:lineRule="atLeast"/>
              <w:jc w:val="center"/>
              <w:rPr>
                <w:rFonts w:hint="eastAsia" w:ascii="Times New Roman" w:hAnsi="Times New Roman" w:eastAsia="宋体" w:cs="Times New Roman"/>
                <w:sz w:val="21"/>
                <w:szCs w:val="21"/>
                <w:highlight w:val="none"/>
                <w:vertAlign w:val="baseline"/>
                <w:lang w:val="en-US" w:eastAsia="zh-CN"/>
              </w:rPr>
            </w:pPr>
            <w:r>
              <w:rPr>
                <w:rFonts w:hint="default" w:ascii="Times New Roman" w:hAnsi="Times New Roman" w:cs="Times New Roman"/>
                <w:color w:val="auto"/>
                <w:szCs w:val="21"/>
                <w:highlight w:val="none"/>
              </w:rPr>
              <w:t>MPN/100mL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未检出</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未检出</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未检出</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684"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菌落总数</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eastAsiaTheme="majorEastAsia"/>
                <w:color w:val="auto"/>
                <w:sz w:val="21"/>
                <w:szCs w:val="21"/>
                <w:highlight w:val="none"/>
              </w:rPr>
              <w:t>CFU/mL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28</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34</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30</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684"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亚硝酸盐</w:t>
            </w:r>
          </w:p>
          <w:p>
            <w:pPr>
              <w:jc w:val="center"/>
              <w:rPr>
                <w:rFonts w:hint="default" w:ascii="Times New Roman" w:hAnsi="Times New Roman" w:cs="Times New Roman"/>
                <w:sz w:val="21"/>
                <w:szCs w:val="21"/>
                <w:highlight w:val="none"/>
                <w:vertAlign w:val="baseline"/>
                <w:lang w:val="en-US" w:eastAsia="zh-CN"/>
              </w:rPr>
            </w:pP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以N计</w:t>
            </w:r>
            <w:r>
              <w:rPr>
                <w:rFonts w:hint="eastAsia" w:cs="Times New Roman"/>
                <w:color w:val="auto"/>
                <w:sz w:val="21"/>
                <w:szCs w:val="21"/>
                <w:highlight w:val="none"/>
                <w:lang w:eastAsia="zh-CN"/>
              </w:rPr>
              <w:t>）</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0.093</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0.003</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0.558</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684"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硝酸盐</w:t>
            </w:r>
          </w:p>
          <w:p>
            <w:pPr>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以N计</w:t>
            </w:r>
            <w:r>
              <w:rPr>
                <w:rFonts w:hint="eastAsia" w:cs="Times New Roman"/>
                <w:color w:val="auto"/>
                <w:sz w:val="21"/>
                <w:szCs w:val="21"/>
                <w:highlight w:val="none"/>
                <w:lang w:eastAsia="zh-CN"/>
              </w:rPr>
              <w:t>）</w:t>
            </w:r>
          </w:p>
        </w:tc>
        <w:tc>
          <w:tcPr>
            <w:tcW w:w="1404" w:type="dxa"/>
            <w:noWrap w:val="0"/>
            <w:vAlign w:val="center"/>
          </w:tcPr>
          <w:p>
            <w:pPr>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cs="Times New Roman"/>
                <w:color w:val="000000"/>
                <w:sz w:val="21"/>
                <w:szCs w:val="21"/>
              </w:rPr>
            </w:pPr>
            <w:r>
              <w:rPr>
                <w:rFonts w:hint="default" w:ascii="Times New Roman" w:hAnsi="Times New Roman" w:cs="Times New Roman" w:eastAsiaTheme="minorEastAsia"/>
                <w:i w:val="0"/>
                <w:color w:val="000000"/>
                <w:kern w:val="0"/>
                <w:sz w:val="21"/>
                <w:szCs w:val="21"/>
                <w:highlight w:val="none"/>
                <w:u w:val="none"/>
                <w:lang w:val="en-US" w:eastAsia="zh-CN" w:bidi="ar"/>
              </w:rPr>
              <w:t>11.0</w:t>
            </w:r>
          </w:p>
        </w:tc>
        <w:tc>
          <w:tcPr>
            <w:tcW w:w="1490"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cs="Times New Roman"/>
                <w:kern w:val="0"/>
                <w:sz w:val="21"/>
                <w:szCs w:val="21"/>
              </w:rPr>
            </w:pPr>
            <w:r>
              <w:rPr>
                <w:rFonts w:hint="default" w:ascii="Times New Roman" w:hAnsi="Times New Roman" w:cs="Times New Roman" w:eastAsiaTheme="minorEastAsia"/>
                <w:i w:val="0"/>
                <w:color w:val="000000"/>
                <w:kern w:val="0"/>
                <w:sz w:val="21"/>
                <w:szCs w:val="21"/>
                <w:highlight w:val="none"/>
                <w:u w:val="none"/>
                <w:lang w:val="en-US" w:eastAsia="zh-CN" w:bidi="ar"/>
              </w:rPr>
              <w:t>0.06</w:t>
            </w:r>
          </w:p>
        </w:tc>
        <w:tc>
          <w:tcPr>
            <w:tcW w:w="1370"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cs="Times New Roman"/>
                <w:kern w:val="0"/>
                <w:sz w:val="21"/>
                <w:szCs w:val="21"/>
              </w:rPr>
            </w:pPr>
            <w:r>
              <w:rPr>
                <w:rFonts w:hint="default" w:ascii="Times New Roman" w:hAnsi="Times New Roman" w:cs="Times New Roman" w:eastAsiaTheme="minorEastAsia"/>
                <w:i w:val="0"/>
                <w:color w:val="000000"/>
                <w:kern w:val="0"/>
                <w:sz w:val="21"/>
                <w:szCs w:val="21"/>
                <w:highlight w:val="none"/>
                <w:u w:val="none"/>
                <w:lang w:val="en-US" w:eastAsia="zh-CN" w:bidi="ar"/>
              </w:rPr>
              <w:t>3.82</w:t>
            </w:r>
          </w:p>
        </w:tc>
        <w:tc>
          <w:tcPr>
            <w:tcW w:w="1293" w:type="dxa"/>
            <w:noWrap w:val="0"/>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cs="Times New Roman"/>
                <w:kern w:val="0"/>
                <w:sz w:val="21"/>
                <w:szCs w:val="21"/>
              </w:rPr>
            </w:pPr>
            <w:r>
              <w:rPr>
                <w:rFonts w:hint="default" w:ascii="Times New Roman" w:hAnsi="Times New Roman" w:cs="Times New Roman" w:eastAsiaTheme="minorEastAsia"/>
                <w:i w:val="0"/>
                <w:color w:val="000000"/>
                <w:kern w:val="0"/>
                <w:sz w:val="21"/>
                <w:szCs w:val="21"/>
                <w:highlight w:val="none"/>
                <w:u w:val="none"/>
                <w:lang w:val="en-US" w:eastAsia="zh-CN" w:bidi="ar"/>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684"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rPr>
              <w:t>氰化物</w:t>
            </w:r>
          </w:p>
        </w:tc>
        <w:tc>
          <w:tcPr>
            <w:tcW w:w="1404" w:type="dxa"/>
            <w:noWrap w:val="0"/>
            <w:vAlign w:val="center"/>
          </w:tcPr>
          <w:p>
            <w:pPr>
              <w:spacing w:line="240" w:lineRule="atLeast"/>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auto"/>
                <w:kern w:val="2"/>
                <w:sz w:val="21"/>
                <w:szCs w:val="21"/>
                <w:highlight w:val="none"/>
                <w:lang w:val="en-US" w:eastAsia="zh-CN" w:bidi="ar-SA"/>
              </w:rPr>
              <w:t>＜6.7</w:t>
            </w:r>
            <w:r>
              <w:rPr>
                <w:rFonts w:hint="default" w:ascii="Times New Roman" w:hAnsi="Times New Roman" w:cs="Times New Roman"/>
                <w:color w:val="auto"/>
                <w:kern w:val="2"/>
                <w:sz w:val="21"/>
                <w:szCs w:val="21"/>
                <w:lang w:val="en-US" w:eastAsia="zh-CN" w:bidi="ar-SA"/>
              </w:rPr>
              <w:t>×10</w:t>
            </w:r>
            <w:r>
              <w:rPr>
                <w:rFonts w:hint="default" w:ascii="Times New Roman" w:hAnsi="Times New Roman" w:cs="Times New Roman"/>
                <w:color w:val="auto"/>
                <w:kern w:val="2"/>
                <w:sz w:val="21"/>
                <w:szCs w:val="21"/>
                <w:vertAlign w:val="superscript"/>
                <w:lang w:val="en-US" w:eastAsia="zh-CN" w:bidi="ar-SA"/>
              </w:rPr>
              <w:t>-4</w:t>
            </w:r>
          </w:p>
        </w:tc>
        <w:tc>
          <w:tcPr>
            <w:tcW w:w="149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highlight w:val="none"/>
                <w:lang w:val="en-US" w:eastAsia="zh-CN" w:bidi="ar-SA"/>
              </w:rPr>
              <w:t>＜6.7</w:t>
            </w:r>
            <w:r>
              <w:rPr>
                <w:rFonts w:hint="default" w:ascii="Times New Roman" w:hAnsi="Times New Roman" w:cs="Times New Roman"/>
                <w:color w:val="auto"/>
                <w:kern w:val="2"/>
                <w:sz w:val="21"/>
                <w:szCs w:val="21"/>
                <w:lang w:val="en-US" w:eastAsia="zh-CN" w:bidi="ar-SA"/>
              </w:rPr>
              <w:t>×10</w:t>
            </w:r>
            <w:r>
              <w:rPr>
                <w:rFonts w:hint="default" w:ascii="Times New Roman" w:hAnsi="Times New Roman" w:cs="Times New Roman"/>
                <w:color w:val="auto"/>
                <w:kern w:val="2"/>
                <w:sz w:val="21"/>
                <w:szCs w:val="21"/>
                <w:vertAlign w:val="superscript"/>
                <w:lang w:val="en-US" w:eastAsia="zh-CN" w:bidi="ar-SA"/>
              </w:rPr>
              <w:t>-4</w:t>
            </w:r>
          </w:p>
        </w:tc>
        <w:tc>
          <w:tcPr>
            <w:tcW w:w="1370"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＜6.7×10</w:t>
            </w:r>
            <w:r>
              <w:rPr>
                <w:rFonts w:hint="default" w:ascii="Times New Roman" w:hAnsi="Times New Roman" w:cs="Times New Roman"/>
                <w:color w:val="auto"/>
                <w:kern w:val="2"/>
                <w:sz w:val="21"/>
                <w:szCs w:val="21"/>
                <w:vertAlign w:val="superscript"/>
                <w:lang w:val="en-US" w:eastAsia="zh-CN" w:bidi="ar-SA"/>
              </w:rPr>
              <w:t>-4</w:t>
            </w:r>
          </w:p>
        </w:tc>
        <w:tc>
          <w:tcPr>
            <w:tcW w:w="1293" w:type="dxa"/>
            <w:noWrap w:val="0"/>
            <w:vAlign w:val="center"/>
          </w:tcPr>
          <w:p>
            <w:pPr>
              <w:jc w:val="center"/>
              <w:rPr>
                <w:rFonts w:hint="default" w:ascii="Times New Roman" w:hAnsi="Times New Roman" w:cs="Times New Roman"/>
                <w:kern w:val="0"/>
                <w:sz w:val="21"/>
                <w:szCs w:val="21"/>
              </w:rPr>
            </w:pPr>
            <w:r>
              <w:rPr>
                <w:rFonts w:hint="default" w:ascii="Times New Roman" w:hAnsi="Times New Roman" w:cs="Times New Roman"/>
                <w:color w:val="auto"/>
                <w:kern w:val="2"/>
                <w:sz w:val="21"/>
                <w:szCs w:val="21"/>
                <w:lang w:val="en-US" w:eastAsia="zh-CN" w:bidi="ar-SA"/>
              </w:rPr>
              <w:t>＜6.7×10</w:t>
            </w:r>
            <w:r>
              <w:rPr>
                <w:rFonts w:hint="default" w:ascii="Times New Roman" w:hAnsi="Times New Roman" w:cs="Times New Roman"/>
                <w:color w:val="auto"/>
                <w:kern w:val="2"/>
                <w:sz w:val="21"/>
                <w:szCs w:val="21"/>
                <w:vertAlign w:val="superscript"/>
                <w:lang w:val="en-US" w:eastAsia="zh-CN"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684"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氟化物</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000000"/>
                <w:kern w:val="2"/>
                <w:sz w:val="21"/>
                <w:szCs w:val="21"/>
                <w:highlight w:val="none"/>
                <w:lang w:val="en-US" w:eastAsia="zh-CN" w:bidi="ar-SA"/>
              </w:rPr>
              <w:t>1.13</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000000"/>
                <w:kern w:val="2"/>
                <w:sz w:val="21"/>
                <w:szCs w:val="21"/>
                <w:highlight w:val="none"/>
                <w:lang w:val="en-US" w:eastAsia="zh-CN" w:bidi="ar-SA"/>
              </w:rPr>
              <w:t>0.68</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000000"/>
                <w:kern w:val="2"/>
                <w:sz w:val="21"/>
                <w:szCs w:val="21"/>
                <w:highlight w:val="none"/>
                <w:lang w:val="en-US" w:eastAsia="zh-CN" w:bidi="ar-SA"/>
              </w:rPr>
              <w:t>0.88</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000000"/>
                <w:kern w:val="2"/>
                <w:sz w:val="21"/>
                <w:szCs w:val="21"/>
                <w:highlight w:val="none"/>
                <w:lang w:val="en-US" w:eastAsia="zh-CN" w:bidi="ar-SA"/>
              </w:rPr>
              <w:t>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684"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eastAsia" w:cs="Times New Roman"/>
                <w:color w:val="auto"/>
                <w:sz w:val="21"/>
                <w:szCs w:val="21"/>
                <w:highlight w:val="none"/>
                <w:lang w:eastAsia="zh-CN"/>
              </w:rPr>
              <w:t>汞</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000000"/>
                <w:kern w:val="2"/>
                <w:sz w:val="21"/>
                <w:szCs w:val="21"/>
                <w:highlight w:val="none"/>
                <w:lang w:val="en-US" w:eastAsia="zh-CN" w:bidi="ar-SA"/>
              </w:rPr>
              <w:t>＜3.3</w:t>
            </w:r>
            <w:r>
              <w:rPr>
                <w:rFonts w:hint="default" w:ascii="Times New Roman" w:hAnsi="Times New Roman" w:cs="Times New Roman"/>
                <w:color w:val="auto"/>
                <w:kern w:val="2"/>
                <w:sz w:val="21"/>
                <w:szCs w:val="21"/>
                <w:lang w:val="en-US" w:eastAsia="zh-CN" w:bidi="ar-SA"/>
              </w:rPr>
              <w:t>×10</w:t>
            </w:r>
            <w:r>
              <w:rPr>
                <w:rFonts w:hint="default" w:ascii="Times New Roman" w:hAnsi="Times New Roman" w:cs="Times New Roman"/>
                <w:color w:val="auto"/>
                <w:kern w:val="2"/>
                <w:sz w:val="21"/>
                <w:szCs w:val="21"/>
                <w:vertAlign w:val="superscript"/>
                <w:lang w:val="en-US" w:eastAsia="zh-CN" w:bidi="ar-SA"/>
              </w:rPr>
              <w:t>-5</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＜3.3×10</w:t>
            </w:r>
            <w:r>
              <w:rPr>
                <w:rFonts w:hint="default" w:ascii="Times New Roman" w:hAnsi="Times New Roman" w:cs="Times New Roman"/>
                <w:color w:val="auto"/>
                <w:kern w:val="2"/>
                <w:sz w:val="21"/>
                <w:szCs w:val="21"/>
                <w:vertAlign w:val="superscript"/>
                <w:lang w:val="en-US" w:eastAsia="zh-CN" w:bidi="ar-SA"/>
              </w:rPr>
              <w:t>-5</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＜3.3×10</w:t>
            </w:r>
            <w:r>
              <w:rPr>
                <w:rFonts w:hint="default" w:ascii="Times New Roman" w:hAnsi="Times New Roman" w:cs="Times New Roman"/>
                <w:color w:val="auto"/>
                <w:kern w:val="2"/>
                <w:sz w:val="21"/>
                <w:szCs w:val="21"/>
                <w:vertAlign w:val="superscript"/>
                <w:lang w:val="en-US" w:eastAsia="zh-CN" w:bidi="ar-SA"/>
              </w:rPr>
              <w:t>-5</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＜3.3×10</w:t>
            </w:r>
            <w:r>
              <w:rPr>
                <w:rFonts w:hint="default" w:ascii="Times New Roman" w:hAnsi="Times New Roman" w:cs="Times New Roman"/>
                <w:color w:val="auto"/>
                <w:kern w:val="2"/>
                <w:sz w:val="21"/>
                <w:szCs w:val="21"/>
                <w:vertAlign w:val="superscript"/>
                <w:lang w:val="en-US" w:eastAsia="zh-CN" w:bidi="ar-SA"/>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684"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砷</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＜1.0</w:t>
            </w:r>
            <w:r>
              <w:rPr>
                <w:rFonts w:hint="default" w:ascii="Times New Roman" w:hAnsi="Times New Roman" w:cs="Times New Roman"/>
                <w:color w:val="auto"/>
                <w:kern w:val="2"/>
                <w:sz w:val="21"/>
                <w:szCs w:val="21"/>
                <w:lang w:val="en-US" w:eastAsia="zh-CN" w:bidi="ar-SA"/>
              </w:rPr>
              <w:t>×10</w:t>
            </w:r>
            <w:r>
              <w:rPr>
                <w:rFonts w:hint="default" w:ascii="Times New Roman" w:hAnsi="Times New Roman" w:cs="Times New Roman"/>
                <w:color w:val="auto"/>
                <w:kern w:val="2"/>
                <w:sz w:val="21"/>
                <w:szCs w:val="21"/>
                <w:vertAlign w:val="superscript"/>
                <w:lang w:val="en-US" w:eastAsia="zh-CN" w:bidi="ar-SA"/>
              </w:rPr>
              <w:t>-3</w:t>
            </w:r>
          </w:p>
        </w:tc>
        <w:tc>
          <w:tcPr>
            <w:tcW w:w="149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＜1.0×10</w:t>
            </w:r>
            <w:r>
              <w:rPr>
                <w:rFonts w:hint="default" w:ascii="Times New Roman" w:hAnsi="Times New Roman" w:cs="Times New Roman"/>
                <w:color w:val="auto"/>
                <w:kern w:val="2"/>
                <w:sz w:val="21"/>
                <w:szCs w:val="21"/>
                <w:vertAlign w:val="superscript"/>
                <w:lang w:val="en-US" w:eastAsia="zh-CN" w:bidi="ar-SA"/>
              </w:rPr>
              <w:t>-3</w:t>
            </w:r>
          </w:p>
        </w:tc>
        <w:tc>
          <w:tcPr>
            <w:tcW w:w="137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＜1.0×10</w:t>
            </w:r>
            <w:r>
              <w:rPr>
                <w:rFonts w:hint="default" w:ascii="Times New Roman" w:hAnsi="Times New Roman" w:cs="Times New Roman"/>
                <w:color w:val="auto"/>
                <w:kern w:val="2"/>
                <w:sz w:val="21"/>
                <w:szCs w:val="21"/>
                <w:vertAlign w:val="superscript"/>
                <w:lang w:val="en-US" w:eastAsia="zh-CN" w:bidi="ar-SA"/>
              </w:rPr>
              <w:t>-3</w:t>
            </w:r>
          </w:p>
        </w:tc>
        <w:tc>
          <w:tcPr>
            <w:tcW w:w="1293"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＜1.0×10</w:t>
            </w:r>
            <w:r>
              <w:rPr>
                <w:rFonts w:hint="default" w:ascii="Times New Roman" w:hAnsi="Times New Roman" w:cs="Times New Roman"/>
                <w:color w:val="auto"/>
                <w:kern w:val="2"/>
                <w:sz w:val="21"/>
                <w:szCs w:val="21"/>
                <w:vertAlign w:val="superscript"/>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684"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镉</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＜1.0</w:t>
            </w:r>
            <w:r>
              <w:rPr>
                <w:rFonts w:hint="default" w:ascii="Times New Roman" w:hAnsi="Times New Roman" w:cs="Times New Roman"/>
                <w:color w:val="auto"/>
                <w:kern w:val="2"/>
                <w:sz w:val="21"/>
                <w:szCs w:val="21"/>
                <w:lang w:val="en-US" w:eastAsia="zh-CN" w:bidi="ar-SA"/>
              </w:rPr>
              <w:t>×10</w:t>
            </w:r>
            <w:r>
              <w:rPr>
                <w:rFonts w:hint="default" w:ascii="Times New Roman" w:hAnsi="Times New Roman" w:cs="Times New Roman"/>
                <w:color w:val="auto"/>
                <w:kern w:val="2"/>
                <w:sz w:val="21"/>
                <w:szCs w:val="21"/>
                <w:vertAlign w:val="superscript"/>
                <w:lang w:val="en-US" w:eastAsia="zh-CN" w:bidi="ar-SA"/>
              </w:rPr>
              <w:t>-4</w:t>
            </w:r>
          </w:p>
        </w:tc>
        <w:tc>
          <w:tcPr>
            <w:tcW w:w="149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＜1.0×10</w:t>
            </w:r>
            <w:r>
              <w:rPr>
                <w:rFonts w:hint="default" w:ascii="Times New Roman" w:hAnsi="Times New Roman" w:cs="Times New Roman"/>
                <w:color w:val="auto"/>
                <w:kern w:val="2"/>
                <w:sz w:val="21"/>
                <w:szCs w:val="21"/>
                <w:vertAlign w:val="superscript"/>
                <w:lang w:val="en-US" w:eastAsia="zh-CN" w:bidi="ar-SA"/>
              </w:rPr>
              <w:t>-4</w:t>
            </w:r>
          </w:p>
        </w:tc>
        <w:tc>
          <w:tcPr>
            <w:tcW w:w="137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＜1.0×10</w:t>
            </w:r>
            <w:r>
              <w:rPr>
                <w:rFonts w:hint="default" w:ascii="Times New Roman" w:hAnsi="Times New Roman" w:cs="Times New Roman"/>
                <w:color w:val="auto"/>
                <w:kern w:val="2"/>
                <w:sz w:val="21"/>
                <w:szCs w:val="21"/>
                <w:vertAlign w:val="superscript"/>
                <w:lang w:val="en-US" w:eastAsia="zh-CN" w:bidi="ar-SA"/>
              </w:rPr>
              <w:t>-4</w:t>
            </w:r>
          </w:p>
        </w:tc>
        <w:tc>
          <w:tcPr>
            <w:tcW w:w="1293"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＜1.0×10</w:t>
            </w:r>
            <w:r>
              <w:rPr>
                <w:rFonts w:hint="default" w:ascii="Times New Roman" w:hAnsi="Times New Roman" w:cs="Times New Roman"/>
                <w:color w:val="auto"/>
                <w:kern w:val="2"/>
                <w:sz w:val="21"/>
                <w:szCs w:val="21"/>
                <w:vertAlign w:val="superscript"/>
                <w:lang w:val="en-US" w:eastAsia="zh-CN" w:bidi="ar-S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684"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铬（六价）</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＜1.3</w:t>
            </w:r>
            <w:r>
              <w:rPr>
                <w:rFonts w:hint="default" w:ascii="Times New Roman" w:hAnsi="Times New Roman" w:cs="Times New Roman"/>
                <w:color w:val="auto"/>
                <w:kern w:val="2"/>
                <w:sz w:val="21"/>
                <w:szCs w:val="21"/>
                <w:lang w:val="en-US" w:eastAsia="zh-CN" w:bidi="ar-SA"/>
              </w:rPr>
              <w:t>×10</w:t>
            </w:r>
            <w:r>
              <w:rPr>
                <w:rFonts w:hint="default" w:ascii="Times New Roman" w:hAnsi="Times New Roman" w:cs="Times New Roman"/>
                <w:color w:val="auto"/>
                <w:kern w:val="2"/>
                <w:sz w:val="21"/>
                <w:szCs w:val="21"/>
                <w:vertAlign w:val="superscript"/>
                <w:lang w:val="en-US" w:eastAsia="zh-CN" w:bidi="ar-SA"/>
              </w:rPr>
              <w:t>-3</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＜1.3×10</w:t>
            </w:r>
            <w:r>
              <w:rPr>
                <w:rFonts w:hint="default" w:ascii="Times New Roman" w:hAnsi="Times New Roman" w:cs="Times New Roman"/>
                <w:color w:val="auto"/>
                <w:kern w:val="2"/>
                <w:sz w:val="21"/>
                <w:szCs w:val="21"/>
                <w:vertAlign w:val="superscript"/>
                <w:lang w:val="en-US" w:eastAsia="zh-CN" w:bidi="ar-SA"/>
              </w:rPr>
              <w:t>-3</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＜1.3×10</w:t>
            </w:r>
            <w:r>
              <w:rPr>
                <w:rFonts w:hint="default" w:ascii="Times New Roman" w:hAnsi="Times New Roman" w:cs="Times New Roman"/>
                <w:color w:val="auto"/>
                <w:kern w:val="2"/>
                <w:sz w:val="21"/>
                <w:szCs w:val="21"/>
                <w:vertAlign w:val="superscript"/>
                <w:lang w:val="en-US" w:eastAsia="zh-CN" w:bidi="ar-SA"/>
              </w:rPr>
              <w:t>-3</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＜1.3×10</w:t>
            </w:r>
            <w:r>
              <w:rPr>
                <w:rFonts w:hint="default" w:ascii="Times New Roman" w:hAnsi="Times New Roman" w:cs="Times New Roman"/>
                <w:color w:val="auto"/>
                <w:kern w:val="2"/>
                <w:sz w:val="21"/>
                <w:szCs w:val="21"/>
                <w:vertAlign w:val="superscript"/>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684"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铅</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＜3.5</w:t>
            </w:r>
            <w:r>
              <w:rPr>
                <w:rFonts w:hint="default" w:ascii="Times New Roman" w:hAnsi="Times New Roman" w:cs="Times New Roman"/>
                <w:color w:val="auto"/>
                <w:kern w:val="2"/>
                <w:sz w:val="21"/>
                <w:szCs w:val="21"/>
                <w:lang w:val="en-US" w:eastAsia="zh-CN" w:bidi="ar-SA"/>
              </w:rPr>
              <w:t>×10</w:t>
            </w:r>
            <w:r>
              <w:rPr>
                <w:rFonts w:hint="default" w:ascii="Times New Roman" w:hAnsi="Times New Roman" w:cs="Times New Roman"/>
                <w:color w:val="auto"/>
                <w:kern w:val="2"/>
                <w:sz w:val="21"/>
                <w:szCs w:val="21"/>
                <w:vertAlign w:val="superscript"/>
                <w:lang w:val="en-US" w:eastAsia="zh-CN" w:bidi="ar-SA"/>
              </w:rPr>
              <w:t>-3</w:t>
            </w:r>
          </w:p>
        </w:tc>
        <w:tc>
          <w:tcPr>
            <w:tcW w:w="149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＜3.5×10</w:t>
            </w:r>
            <w:r>
              <w:rPr>
                <w:rFonts w:hint="default" w:ascii="Times New Roman" w:hAnsi="Times New Roman" w:cs="Times New Roman"/>
                <w:color w:val="auto"/>
                <w:kern w:val="2"/>
                <w:sz w:val="21"/>
                <w:szCs w:val="21"/>
                <w:vertAlign w:val="superscript"/>
                <w:lang w:val="en-US" w:eastAsia="zh-CN" w:bidi="ar-SA"/>
              </w:rPr>
              <w:t>-3</w:t>
            </w:r>
          </w:p>
        </w:tc>
        <w:tc>
          <w:tcPr>
            <w:tcW w:w="137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＜3.5×10</w:t>
            </w:r>
            <w:r>
              <w:rPr>
                <w:rFonts w:hint="default" w:ascii="Times New Roman" w:hAnsi="Times New Roman" w:cs="Times New Roman"/>
                <w:color w:val="auto"/>
                <w:kern w:val="2"/>
                <w:sz w:val="21"/>
                <w:szCs w:val="21"/>
                <w:vertAlign w:val="superscript"/>
                <w:lang w:val="en-US" w:eastAsia="zh-CN" w:bidi="ar-SA"/>
              </w:rPr>
              <w:t>-3</w:t>
            </w:r>
          </w:p>
        </w:tc>
        <w:tc>
          <w:tcPr>
            <w:tcW w:w="1293"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lang w:val="en-US" w:eastAsia="zh-CN" w:bidi="ar-SA"/>
              </w:rPr>
              <w:t>＜3.5×10</w:t>
            </w:r>
            <w:r>
              <w:rPr>
                <w:rFonts w:hint="default" w:ascii="Times New Roman" w:hAnsi="Times New Roman" w:cs="Times New Roman"/>
                <w:color w:val="auto"/>
                <w:kern w:val="2"/>
                <w:sz w:val="21"/>
                <w:szCs w:val="21"/>
                <w:vertAlign w:val="superscript"/>
                <w:lang w:val="en-US" w:eastAsia="zh-CN" w:bidi="ar-S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684" w:type="dxa"/>
            <w:noWrap w:val="0"/>
            <w:vAlign w:val="center"/>
          </w:tcPr>
          <w:p>
            <w:pPr>
              <w:keepNext w:val="0"/>
              <w:keepLines w:val="0"/>
              <w:widowControl/>
              <w:suppressLineNumbers w:val="0"/>
              <w:jc w:val="center"/>
              <w:textAlignment w:val="bottom"/>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钾</w:t>
            </w:r>
          </w:p>
        </w:tc>
        <w:tc>
          <w:tcPr>
            <w:tcW w:w="1404" w:type="dxa"/>
            <w:noWrap w:val="0"/>
            <w:vAlign w:val="center"/>
          </w:tcPr>
          <w:p>
            <w:pPr>
              <w:spacing w:line="240" w:lineRule="atLeast"/>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rPr>
            </w:pPr>
            <w:r>
              <w:rPr>
                <w:rFonts w:hint="default" w:ascii="Times New Roman" w:hAnsi="Times New Roman" w:cs="Times New Roman"/>
                <w:color w:val="auto"/>
                <w:kern w:val="2"/>
                <w:sz w:val="21"/>
                <w:szCs w:val="21"/>
                <w:highlight w:val="none"/>
                <w:lang w:val="en-US" w:eastAsia="zh-CN" w:bidi="ar-SA"/>
              </w:rPr>
              <w:t>0.66</w:t>
            </w:r>
          </w:p>
        </w:tc>
        <w:tc>
          <w:tcPr>
            <w:tcW w:w="149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rPr>
            </w:pPr>
            <w:r>
              <w:rPr>
                <w:rFonts w:hint="default" w:ascii="Times New Roman" w:hAnsi="Times New Roman" w:cs="Times New Roman"/>
                <w:color w:val="auto"/>
                <w:kern w:val="2"/>
                <w:sz w:val="21"/>
                <w:szCs w:val="21"/>
                <w:highlight w:val="none"/>
                <w:lang w:val="en-US" w:eastAsia="zh-CN" w:bidi="ar-SA"/>
              </w:rPr>
              <w:t>7.71</w:t>
            </w:r>
          </w:p>
        </w:tc>
        <w:tc>
          <w:tcPr>
            <w:tcW w:w="137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rPr>
            </w:pPr>
            <w:r>
              <w:rPr>
                <w:rFonts w:hint="default" w:ascii="Times New Roman" w:hAnsi="Times New Roman" w:cs="Times New Roman"/>
                <w:color w:val="auto"/>
                <w:kern w:val="2"/>
                <w:sz w:val="21"/>
                <w:szCs w:val="21"/>
                <w:highlight w:val="none"/>
                <w:lang w:val="en-US" w:eastAsia="zh-CN" w:bidi="ar-SA"/>
              </w:rPr>
              <w:t>8.70</w:t>
            </w:r>
          </w:p>
        </w:tc>
        <w:tc>
          <w:tcPr>
            <w:tcW w:w="1293"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rPr>
            </w:pPr>
            <w:r>
              <w:rPr>
                <w:rFonts w:hint="default" w:ascii="Times New Roman" w:hAnsi="Times New Roman" w:cs="Times New Roman"/>
                <w:color w:val="auto"/>
                <w:kern w:val="2"/>
                <w:sz w:val="21"/>
                <w:szCs w:val="21"/>
                <w:highlight w:val="none"/>
                <w:lang w:val="en-US" w:eastAsia="zh-CN" w:bidi="ar-SA"/>
              </w:rPr>
              <w:t>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684" w:type="dxa"/>
            <w:noWrap w:val="0"/>
            <w:vAlign w:val="center"/>
          </w:tcPr>
          <w:p>
            <w:pPr>
              <w:keepNext w:val="0"/>
              <w:keepLines w:val="0"/>
              <w:widowControl/>
              <w:suppressLineNumbers w:val="0"/>
              <w:jc w:val="center"/>
              <w:textAlignment w:val="bottom"/>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钙</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288</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302</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152</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684" w:type="dxa"/>
            <w:noWrap w:val="0"/>
            <w:vAlign w:val="center"/>
          </w:tcPr>
          <w:p>
            <w:pPr>
              <w:keepNext w:val="0"/>
              <w:keepLines w:val="0"/>
              <w:widowControl/>
              <w:suppressLineNumbers w:val="0"/>
              <w:jc w:val="center"/>
              <w:textAlignment w:val="bottom"/>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镁</w:t>
            </w:r>
          </w:p>
        </w:tc>
        <w:tc>
          <w:tcPr>
            <w:tcW w:w="1404" w:type="dxa"/>
            <w:noWrap w:val="0"/>
            <w:vAlign w:val="center"/>
          </w:tcPr>
          <w:p>
            <w:pPr>
              <w:spacing w:line="240" w:lineRule="atLeast"/>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bCs/>
                <w:kern w:val="0"/>
                <w:szCs w:val="21"/>
                <w:highlight w:val="none"/>
              </w:rPr>
              <w:t>mg/L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67.1</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173</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73.5</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684" w:type="dxa"/>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碳酸盐</w:t>
            </w:r>
          </w:p>
        </w:tc>
        <w:tc>
          <w:tcPr>
            <w:tcW w:w="1404" w:type="dxa"/>
            <w:noWrap w:val="0"/>
            <w:vAlign w:val="center"/>
          </w:tcPr>
          <w:p>
            <w:pPr>
              <w:spacing w:line="240" w:lineRule="atLeast"/>
              <w:jc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bCs/>
                <w:kern w:val="0"/>
                <w:szCs w:val="21"/>
                <w:highlight w:val="none"/>
              </w:rPr>
              <w:t>mg/L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0</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0</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0</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684" w:type="dxa"/>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重碳酸氢盐（HCO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w:t>
            </w:r>
          </w:p>
        </w:tc>
        <w:tc>
          <w:tcPr>
            <w:tcW w:w="1404" w:type="dxa"/>
            <w:noWrap w:val="0"/>
            <w:vAlign w:val="center"/>
          </w:tcPr>
          <w:p>
            <w:pPr>
              <w:spacing w:line="240" w:lineRule="atLeast"/>
              <w:jc w:val="center"/>
              <w:rPr>
                <w:rFonts w:hint="default" w:ascii="Times New Roman" w:hAnsi="Times New Roman" w:cs="Times New Roman"/>
                <w:color w:val="000000"/>
                <w:sz w:val="21"/>
                <w:szCs w:val="21"/>
                <w:highlight w:val="none"/>
              </w:rPr>
            </w:pPr>
            <w:r>
              <w:rPr>
                <w:rFonts w:hint="default" w:ascii="Times New Roman" w:hAnsi="Times New Roman" w:eastAsia="宋体" w:cs="Times New Roman"/>
                <w:bCs/>
                <w:kern w:val="0"/>
                <w:szCs w:val="21"/>
                <w:highlight w:val="none"/>
              </w:rPr>
              <w:t>mg/L</w:t>
            </w:r>
          </w:p>
        </w:tc>
        <w:tc>
          <w:tcPr>
            <w:tcW w:w="1469"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594</w:t>
            </w:r>
          </w:p>
        </w:tc>
        <w:tc>
          <w:tcPr>
            <w:tcW w:w="149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553</w:t>
            </w:r>
          </w:p>
        </w:tc>
        <w:tc>
          <w:tcPr>
            <w:tcW w:w="137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220</w:t>
            </w:r>
          </w:p>
        </w:tc>
        <w:tc>
          <w:tcPr>
            <w:tcW w:w="1293"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kern w:val="2"/>
                <w:sz w:val="21"/>
                <w:szCs w:val="21"/>
                <w:highlight w:val="none"/>
                <w:lang w:val="en-US" w:eastAsia="zh-CN" w:bidi="ar-SA"/>
              </w:rPr>
              <w:t>250</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b/>
          <w:bCs/>
          <w:sz w:val="24"/>
          <w:szCs w:val="24"/>
          <w:lang w:val="en-US" w:eastAsia="zh-CN"/>
        </w:rPr>
        <w:t>地下水环境质量现状评价</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b/>
          <w:bCs/>
          <w:sz w:val="24"/>
          <w:szCs w:val="24"/>
          <w:lang w:val="en-US" w:eastAsia="zh-CN"/>
        </w:rPr>
        <w:t>评价标准及评价方法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1、评价标准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地下水环境质量现状评价标准见表2.4-4。</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2、评价方法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采用单因子指数法作为评价方法。</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（1）常规因子标准指数计算公式</w:t>
      </w:r>
    </w:p>
    <w:p>
      <w:pPr>
        <w:pStyle w:val="2"/>
        <w:keepNext w:val="0"/>
        <w:keepLines w:val="0"/>
        <w:pageBreakBefore w:val="0"/>
        <w:widowControl w:val="0"/>
        <w:kinsoku/>
        <w:wordWrap/>
        <w:overflowPunct/>
        <w:topLinePunct w:val="0"/>
        <w:autoSpaceDE/>
        <w:autoSpaceDN/>
        <w:bidi w:val="0"/>
        <w:adjustRightInd/>
        <w:snapToGrid w:val="0"/>
        <w:spacing w:line="360" w:lineRule="auto"/>
        <w:ind w:firstLine="840" w:firstLineChars="400"/>
        <w:jc w:val="center"/>
        <w:textAlignment w:val="auto"/>
        <w:rPr>
          <w:rFonts w:hint="default" w:eastAsia="宋体"/>
          <w:lang w:val="en-US" w:eastAsia="zh-CN"/>
        </w:rPr>
      </w:pPr>
      <w:r>
        <w:rPr>
          <w:rFonts w:hint="eastAsia" w:hAnsi="Cambria Math"/>
          <w:i w:val="0"/>
          <w:position w:val="-30"/>
          <w:lang w:val="en-US" w:eastAsia="zh-CN"/>
        </w:rPr>
        <w:object>
          <v:shape id="_x0000_i1028" o:spt="75" type="#_x0000_t75" style="height:42.6pt;width:52.6pt;" o:ole="t" filled="f" o:preferrelative="t" stroked="f" coordsize="21600,21600">
            <v:path/>
            <v:fill on="f" focussize="0,0"/>
            <v:stroke on="f"/>
            <v:imagedata r:id="rId99" o:title=""/>
            <o:lock v:ext="edit" aspectratio="t"/>
            <w10:wrap type="none"/>
            <w10:anchorlock/>
          </v:shape>
          <o:OLEObject Type="Embed" ProgID="Equation.KSEE3" ShapeID="_x0000_i1028" DrawAspect="Content" ObjectID="_1468075728" r:id="rId105">
            <o:LockedField>false</o:LockedField>
          </o:OLEObject>
        </w:object>
      </w:r>
      <w:r>
        <w:rPr>
          <w:rFonts w:hint="eastAsia" w:hAnsi="Cambria Math"/>
          <w:i w:val="0"/>
          <w:lang w:val="en-US" w:eastAsia="zh-CN"/>
        </w:rPr>
        <w:t xml:space="preserve">       </w:t>
      </w:r>
      <w:r>
        <w:rPr>
          <w:rFonts w:hint="default" w:ascii="Times New Roman" w:hAnsi="Times New Roman" w:cs="Times New Roman"/>
          <w:i w:val="0"/>
          <w:sz w:val="24"/>
          <w:szCs w:val="24"/>
          <w:lang w:val="en-US" w:eastAsia="zh-CN"/>
        </w:rPr>
        <w:t>pH</w:t>
      </w:r>
      <w:r>
        <w:rPr>
          <w:rFonts w:hint="eastAsia" w:ascii="Times New Roman" w:hAnsi="Times New Roman" w:cs="Times New Roman"/>
          <w:i w:val="0"/>
          <w:sz w:val="24"/>
          <w:szCs w:val="24"/>
          <w:vertAlign w:val="subscript"/>
          <w:lang w:val="en-US" w:eastAsia="zh-CN"/>
        </w:rPr>
        <w:t>j</w:t>
      </w:r>
      <w:r>
        <w:rPr>
          <w:rFonts w:hint="default" w:ascii="Times New Roman" w:hAnsi="Times New Roman" w:cs="Times New Roman"/>
          <w:i w:val="0"/>
          <w:sz w:val="24"/>
          <w:szCs w:val="24"/>
          <w:lang w:val="en-US" w:eastAsia="zh-CN"/>
        </w:rPr>
        <w:t>≤7.0</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式中：S</w:t>
      </w:r>
      <w:r>
        <w:rPr>
          <w:rFonts w:hint="eastAsia" w:ascii="Times New Roman" w:hAnsi="Times New Roman"/>
          <w:sz w:val="24"/>
          <w:szCs w:val="24"/>
          <w:vertAlign w:val="subscript"/>
          <w:lang w:val="en-US" w:eastAsia="zh-CN"/>
        </w:rPr>
        <w:t>i</w:t>
      </w:r>
      <w:r>
        <w:rPr>
          <w:rFonts w:hint="eastAsia" w:ascii="Times New Roman" w:hAnsi="Times New Roman"/>
          <w:sz w:val="24"/>
          <w:szCs w:val="24"/>
          <w:lang w:val="en-US" w:eastAsia="zh-CN"/>
        </w:rPr>
        <w:t>—污染物单因子指数；</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1200" w:firstLineChars="5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i</w:t>
      </w:r>
      <w:r>
        <w:rPr>
          <w:rFonts w:hint="eastAsia" w:ascii="Times New Roman" w:hAnsi="Times New Roman"/>
          <w:sz w:val="24"/>
          <w:szCs w:val="24"/>
          <w:lang w:val="en-US" w:eastAsia="zh-CN"/>
        </w:rPr>
        <w:t>—i污染物的浓度值，mg/L；</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1200" w:firstLineChars="5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si</w:t>
      </w:r>
      <w:r>
        <w:rPr>
          <w:rFonts w:hint="eastAsia" w:ascii="Times New Roman" w:hAnsi="Times New Roman"/>
          <w:sz w:val="24"/>
          <w:szCs w:val="24"/>
          <w:lang w:val="en-US" w:eastAsia="zh-CN"/>
        </w:rPr>
        <w:t>—i污染物的评价标准值，mg/L。</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（2）pH 值标准指数的计算公式</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hint="default" w:ascii="Times New Roman" w:hAnsi="Times New Roman" w:cs="Times New Roman"/>
          <w:i w:val="0"/>
          <w:sz w:val="24"/>
          <w:szCs w:val="24"/>
          <w:lang w:val="en-US" w:eastAsia="zh-CN"/>
        </w:rPr>
      </w:pPr>
      <w:r>
        <w:rPr>
          <w:rFonts w:hint="eastAsia"/>
          <w:position w:val="-30"/>
          <w:lang w:val="en-US" w:eastAsia="zh-CN"/>
        </w:rPr>
        <w:object>
          <v:shape id="_x0000_i1029" o:spt="75" type="#_x0000_t75" style="height:42.85pt;width:105.9pt;" o:ole="t" filled="f" o:preferrelative="t" stroked="f" coordsize="21600,21600">
            <v:path/>
            <v:fill on="f" focussize="0,0"/>
            <v:stroke on="f"/>
            <v:imagedata r:id="rId101" o:title=""/>
            <o:lock v:ext="edit" aspectratio="t"/>
            <w10:wrap type="none"/>
            <w10:anchorlock/>
          </v:shape>
          <o:OLEObject Type="Embed" ProgID="Equation.KSEE3" ShapeID="_x0000_i1029" DrawAspect="Content" ObjectID="_1468075729" r:id="rId106">
            <o:LockedField>false</o:LockedField>
          </o:OLEObject>
        </w:object>
      </w:r>
      <w:r>
        <w:rPr>
          <w:rFonts w:hint="eastAsia"/>
          <w:lang w:val="en-US" w:eastAsia="zh-CN"/>
        </w:rPr>
        <w:t xml:space="preserve">      </w:t>
      </w:r>
      <w:r>
        <w:rPr>
          <w:rFonts w:hint="default" w:ascii="Times New Roman" w:hAnsi="Times New Roman" w:cs="Times New Roman"/>
          <w:i w:val="0"/>
          <w:sz w:val="24"/>
          <w:szCs w:val="24"/>
          <w:lang w:val="en-US" w:eastAsia="zh-CN"/>
        </w:rPr>
        <w:t>pH</w:t>
      </w:r>
      <w:r>
        <w:rPr>
          <w:rFonts w:hint="eastAsia" w:ascii="Times New Roman" w:hAnsi="Times New Roman" w:cs="Times New Roman"/>
          <w:i w:val="0"/>
          <w:sz w:val="24"/>
          <w:szCs w:val="24"/>
          <w:vertAlign w:val="subscript"/>
          <w:lang w:val="en-US" w:eastAsia="zh-CN"/>
        </w:rPr>
        <w:t>j</w:t>
      </w:r>
      <w:r>
        <w:rPr>
          <w:rFonts w:hint="default" w:ascii="Times New Roman" w:hAnsi="Times New Roman" w:cs="Times New Roman"/>
          <w:i w:val="0"/>
          <w:sz w:val="24"/>
          <w:szCs w:val="24"/>
          <w:lang w:val="en-US" w:eastAsia="zh-CN"/>
        </w:rPr>
        <w:t>≤7.0</w:t>
      </w:r>
    </w:p>
    <w:p>
      <w:pPr>
        <w:jc w:val="center"/>
        <w:rPr>
          <w:rFonts w:hint="default"/>
          <w:lang w:val="en-US" w:eastAsia="zh-CN"/>
        </w:rPr>
      </w:pPr>
      <w:r>
        <w:rPr>
          <w:rFonts w:hint="default"/>
          <w:position w:val="-30"/>
          <w:lang w:val="en-US" w:eastAsia="zh-CN"/>
        </w:rPr>
        <w:object>
          <v:shape id="_x0000_i1030" o:spt="75" type="#_x0000_t75" style="height:41pt;width:100.2pt;" o:ole="t" filled="f" o:preferrelative="t" stroked="f" coordsize="21600,21600">
            <v:path/>
            <v:fill on="f" focussize="0,0"/>
            <v:stroke on="f"/>
            <v:imagedata r:id="rId103" o:title=""/>
            <o:lock v:ext="edit" aspectratio="t"/>
            <w10:wrap type="none"/>
            <w10:anchorlock/>
          </v:shape>
          <o:OLEObject Type="Embed" ProgID="Equation.KSEE3" ShapeID="_x0000_i1030" DrawAspect="Content" ObjectID="_1468075730" r:id="rId107">
            <o:LockedField>false</o:LockedField>
          </o:OLEObject>
        </w:object>
      </w:r>
      <w:r>
        <w:rPr>
          <w:rFonts w:hint="eastAsia"/>
          <w:lang w:val="en-US" w:eastAsia="zh-CN"/>
        </w:rPr>
        <w:t xml:space="preserve">        </w:t>
      </w:r>
      <w:r>
        <w:rPr>
          <w:rFonts w:hint="default" w:ascii="Times New Roman" w:hAnsi="Times New Roman" w:cs="Times New Roman"/>
          <w:i w:val="0"/>
          <w:sz w:val="24"/>
          <w:szCs w:val="24"/>
          <w:lang w:val="en-US" w:eastAsia="zh-CN"/>
        </w:rPr>
        <w:t>pH</w:t>
      </w:r>
      <w:r>
        <w:rPr>
          <w:rFonts w:hint="eastAsia" w:ascii="Times New Roman" w:hAnsi="Times New Roman" w:cs="Times New Roman"/>
          <w:i w:val="0"/>
          <w:sz w:val="24"/>
          <w:szCs w:val="24"/>
          <w:vertAlign w:val="subscript"/>
          <w:lang w:val="en-US" w:eastAsia="zh-CN"/>
        </w:rPr>
        <w:t>j</w:t>
      </w:r>
      <w:r>
        <w:rPr>
          <w:rFonts w:hint="default" w:ascii="Times New Roman" w:hAnsi="Times New Roman" w:cs="Times New Roman"/>
          <w:i w:val="0"/>
          <w:sz w:val="24"/>
          <w:szCs w:val="24"/>
          <w:lang w:val="en-US" w:eastAsia="zh-CN"/>
        </w:rPr>
        <w:t>＞7.0</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式中：S</w:t>
      </w:r>
      <w:r>
        <w:rPr>
          <w:rFonts w:hint="eastAsia" w:ascii="Times New Roman" w:hAnsi="Times New Roman"/>
          <w:sz w:val="24"/>
          <w:szCs w:val="24"/>
          <w:vertAlign w:val="subscript"/>
          <w:lang w:val="en-US" w:eastAsia="zh-CN"/>
        </w:rPr>
        <w:t>pHj</w:t>
      </w:r>
      <w:r>
        <w:rPr>
          <w:rFonts w:hint="eastAsia" w:ascii="Times New Roman" w:hAnsi="Times New Roman"/>
          <w:sz w:val="24"/>
          <w:szCs w:val="24"/>
          <w:lang w:val="en-US" w:eastAsia="zh-CN"/>
        </w:rPr>
        <w:t>—pH单因子指数；</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200" w:firstLine="720" w:firstLineChars="3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pH</w:t>
      </w:r>
      <w:r>
        <w:rPr>
          <w:rFonts w:hint="eastAsia" w:ascii="Times New Roman" w:hAnsi="Times New Roman"/>
          <w:sz w:val="24"/>
          <w:szCs w:val="24"/>
          <w:vertAlign w:val="subscript"/>
          <w:lang w:val="en-US" w:eastAsia="zh-CN"/>
        </w:rPr>
        <w:t>j</w:t>
      </w:r>
      <w:r>
        <w:rPr>
          <w:rFonts w:hint="eastAsia" w:ascii="Times New Roman" w:hAnsi="Times New Roman"/>
          <w:sz w:val="24"/>
          <w:szCs w:val="24"/>
          <w:lang w:val="en-US" w:eastAsia="zh-CN"/>
        </w:rPr>
        <w:t>—j断面pH值；</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200" w:firstLine="720" w:firstLineChars="3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pH</w:t>
      </w:r>
      <w:r>
        <w:rPr>
          <w:rFonts w:hint="eastAsia" w:ascii="Times New Roman" w:hAnsi="Times New Roman"/>
          <w:sz w:val="24"/>
          <w:szCs w:val="24"/>
          <w:vertAlign w:val="subscript"/>
          <w:lang w:val="en-US" w:eastAsia="zh-CN"/>
        </w:rPr>
        <w:t>sd</w:t>
      </w:r>
      <w:r>
        <w:rPr>
          <w:rFonts w:hint="eastAsia" w:ascii="Times New Roman" w:hAnsi="Times New Roman"/>
          <w:sz w:val="24"/>
          <w:szCs w:val="24"/>
          <w:lang w:val="en-US" w:eastAsia="zh-CN"/>
        </w:rPr>
        <w:t>—地面水水质标准中规定的pH值下限；</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200" w:firstLine="720" w:firstLineChars="3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pH</w:t>
      </w:r>
      <w:r>
        <w:rPr>
          <w:rFonts w:hint="eastAsia" w:ascii="Times New Roman" w:hAnsi="Times New Roman"/>
          <w:sz w:val="24"/>
          <w:szCs w:val="24"/>
          <w:vertAlign w:val="subscript"/>
          <w:lang w:val="en-US" w:eastAsia="zh-CN"/>
        </w:rPr>
        <w:t>su</w:t>
      </w:r>
      <w:r>
        <w:rPr>
          <w:rFonts w:hint="default" w:ascii="Times New Roman" w:hAnsi="Times New Roman" w:cs="Times New Roman"/>
          <w:sz w:val="24"/>
          <w:szCs w:val="24"/>
          <w:lang w:val="en-US" w:eastAsia="zh-CN"/>
        </w:rPr>
        <w:t>—</w:t>
      </w:r>
      <w:r>
        <w:rPr>
          <w:rFonts w:hint="eastAsia" w:ascii="Times New Roman" w:hAnsi="Times New Roman"/>
          <w:sz w:val="24"/>
          <w:szCs w:val="24"/>
          <w:lang w:val="en-US" w:eastAsia="zh-CN"/>
        </w:rPr>
        <w:t>地面水水质标准中规定的pH值上限。</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ascii="Times New Roman" w:hAnsi="Times New Roman"/>
          <w:b/>
          <w:bCs/>
          <w:sz w:val="24"/>
          <w:szCs w:val="24"/>
          <w:lang w:val="en-US" w:eastAsia="zh-CN"/>
        </w:rPr>
        <w:t>评价结果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地表水环境质量现状评价结果见下表。</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sz w:val="24"/>
          <w:szCs w:val="24"/>
          <w:lang w:val="en-US" w:eastAsia="zh-CN"/>
        </w:rPr>
      </w:pPr>
      <w:r>
        <w:rPr>
          <w:rFonts w:hint="eastAsia" w:ascii="宋体" w:hAnsi="宋体" w:eastAsia="宋体" w:cs="宋体"/>
          <w:b/>
          <w:bCs/>
          <w:color w:val="000000"/>
          <w:sz w:val="24"/>
        </w:rPr>
        <w:t>表</w:t>
      </w:r>
      <w:r>
        <w:rPr>
          <w:rFonts w:hint="eastAsia" w:ascii="Times New Roman" w:hAnsi="Times New Roman" w:cs="Times New Roman"/>
          <w:b/>
          <w:bCs/>
          <w:color w:val="000000"/>
          <w:sz w:val="24"/>
          <w:lang w:val="en-US" w:eastAsia="zh-CN"/>
        </w:rPr>
        <w:t>5.6</w:t>
      </w:r>
      <w:r>
        <w:rPr>
          <w:rFonts w:hint="default" w:ascii="Times New Roman" w:hAnsi="Times New Roman" w:cs="Times New Roman"/>
          <w:b/>
          <w:bCs/>
          <w:color w:val="000000"/>
          <w:sz w:val="24"/>
          <w:lang w:val="en-US" w:eastAsia="zh-CN"/>
        </w:rPr>
        <w:t>-</w:t>
      </w:r>
      <w:r>
        <w:rPr>
          <w:rFonts w:hint="eastAsia" w:ascii="Times New Roman" w:hAnsi="Times New Roman" w:cs="Times New Roman"/>
          <w:b/>
          <w:bCs/>
          <w:color w:val="000000"/>
          <w:sz w:val="24"/>
          <w:lang w:val="en-US" w:eastAsia="zh-CN"/>
        </w:rPr>
        <w:t>5</w:t>
      </w:r>
      <w:r>
        <w:rPr>
          <w:rFonts w:hint="default" w:ascii="Times New Roman" w:hAnsi="Times New Roman" w:eastAsia="宋体" w:cs="Times New Roman"/>
          <w:b/>
          <w:bCs/>
          <w:color w:val="000000"/>
          <w:sz w:val="24"/>
        </w:rPr>
        <w:t xml:space="preserve"> </w:t>
      </w:r>
      <w:r>
        <w:rPr>
          <w:rFonts w:hint="eastAsia" w:ascii="宋体" w:hAnsi="宋体" w:eastAsia="宋体" w:cs="宋体"/>
          <w:b/>
          <w:bCs/>
          <w:color w:val="000000"/>
          <w:sz w:val="24"/>
        </w:rPr>
        <w:t xml:space="preserve"> 地</w:t>
      </w:r>
      <w:r>
        <w:rPr>
          <w:rFonts w:hint="eastAsia" w:ascii="宋体" w:hAnsi="宋体" w:cs="宋体"/>
          <w:b/>
          <w:bCs/>
          <w:color w:val="000000"/>
          <w:sz w:val="24"/>
          <w:lang w:val="en-US" w:eastAsia="zh-CN"/>
        </w:rPr>
        <w:t>下</w:t>
      </w:r>
      <w:r>
        <w:rPr>
          <w:rFonts w:hint="eastAsia" w:ascii="宋体" w:hAnsi="宋体" w:eastAsia="宋体" w:cs="宋体"/>
          <w:b/>
          <w:bCs/>
          <w:color w:val="000000"/>
          <w:sz w:val="24"/>
        </w:rPr>
        <w:t>水环境质量现状评价结果一览表</w:t>
      </w:r>
    </w:p>
    <w:tbl>
      <w:tblPr>
        <w:tblStyle w:val="18"/>
        <w:tblW w:w="8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88"/>
        <w:gridCol w:w="1560"/>
        <w:gridCol w:w="1395"/>
        <w:gridCol w:w="1440"/>
        <w:gridCol w:w="1172"/>
        <w:gridCol w:w="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29" w:hRule="atLeast"/>
          <w:jc w:val="center"/>
        </w:trPr>
        <w:tc>
          <w:tcPr>
            <w:tcW w:w="2488" w:type="dxa"/>
            <w:vMerge w:val="restart"/>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检验项目</w:t>
            </w:r>
          </w:p>
        </w:tc>
        <w:tc>
          <w:tcPr>
            <w:tcW w:w="5567" w:type="dxa"/>
            <w:gridSpan w:val="4"/>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监测点位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29" w:hRule="atLeast"/>
          <w:jc w:val="center"/>
        </w:trPr>
        <w:tc>
          <w:tcPr>
            <w:tcW w:w="2488" w:type="dxa"/>
            <w:vMerge w:val="continue"/>
            <w:noWrap w:val="0"/>
            <w:vAlign w:val="center"/>
          </w:tcPr>
          <w:p>
            <w:pPr>
              <w:jc w:val="center"/>
              <w:rPr>
                <w:rFonts w:hint="default" w:ascii="Times New Roman" w:hAnsi="Times New Roman" w:cs="Times New Roman"/>
                <w:sz w:val="21"/>
                <w:szCs w:val="21"/>
                <w:vertAlign w:val="baseline"/>
                <w:lang w:val="en-US" w:eastAsia="zh-CN"/>
              </w:rPr>
            </w:pPr>
          </w:p>
        </w:tc>
        <w:tc>
          <w:tcPr>
            <w:tcW w:w="156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c>
          <w:tcPr>
            <w:tcW w:w="1395"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w:t>
            </w:r>
          </w:p>
        </w:tc>
        <w:tc>
          <w:tcPr>
            <w:tcW w:w="1440"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w:t>
            </w:r>
          </w:p>
        </w:tc>
        <w:tc>
          <w:tcPr>
            <w:tcW w:w="1172" w:type="dxa"/>
            <w:noWrap w:val="0"/>
            <w:vAlign w:val="center"/>
          </w:tcPr>
          <w:p>
            <w:pPr>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34"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pH</w:t>
            </w:r>
          </w:p>
        </w:tc>
        <w:tc>
          <w:tcPr>
            <w:tcW w:w="1560" w:type="dxa"/>
            <w:noWrap w:val="0"/>
            <w:vAlign w:val="center"/>
          </w:tcPr>
          <w:p>
            <w:pPr>
              <w:widowControl/>
              <w:adjustRightInd w:val="0"/>
              <w:snapToGrid w:val="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0.33</w:t>
            </w:r>
          </w:p>
        </w:tc>
        <w:tc>
          <w:tcPr>
            <w:tcW w:w="1395" w:type="dxa"/>
            <w:noWrap w:val="0"/>
            <w:vAlign w:val="center"/>
          </w:tcPr>
          <w:p>
            <w:pPr>
              <w:widowControl/>
              <w:adjustRightInd w:val="0"/>
              <w:snapToGrid w:val="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0.25</w:t>
            </w:r>
          </w:p>
        </w:tc>
        <w:tc>
          <w:tcPr>
            <w:tcW w:w="1440" w:type="dxa"/>
            <w:noWrap w:val="0"/>
            <w:vAlign w:val="center"/>
          </w:tcPr>
          <w:p>
            <w:pPr>
              <w:widowControl/>
              <w:adjustRightInd w:val="0"/>
              <w:snapToGrid w:val="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0.31</w:t>
            </w:r>
          </w:p>
        </w:tc>
        <w:tc>
          <w:tcPr>
            <w:tcW w:w="1172" w:type="dxa"/>
            <w:noWrap w:val="0"/>
            <w:vAlign w:val="center"/>
          </w:tcPr>
          <w:p>
            <w:pPr>
              <w:widowControl/>
              <w:adjustRightInd w:val="0"/>
              <w:snapToGrid w:val="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29"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总硬度（以CaCO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计）</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2.98</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3.38</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1.92</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49"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溶解性总固体</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3.31</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0.34</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1.17</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14"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硫酸盐</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2.43</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0.98</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1.072</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1.552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366" w:hRule="atLeast"/>
          <w:jc w:val="center"/>
        </w:trPr>
        <w:tc>
          <w:tcPr>
            <w:tcW w:w="2488"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rPr>
              <w:t>氯化物</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b/>
                <w:bCs/>
                <w:kern w:val="0"/>
                <w:sz w:val="21"/>
                <w:szCs w:val="21"/>
              </w:rPr>
            </w:pPr>
            <w:r>
              <w:rPr>
                <w:rFonts w:hint="default" w:ascii="Times New Roman" w:hAnsi="Times New Roman" w:eastAsia="宋体" w:cs="Times New Roman"/>
                <w:b/>
                <w:bCs/>
                <w:i w:val="0"/>
                <w:iCs w:val="0"/>
                <w:color w:val="000000"/>
                <w:kern w:val="0"/>
                <w:sz w:val="21"/>
                <w:szCs w:val="21"/>
                <w:u w:val="none"/>
                <w:lang w:val="en-US" w:eastAsia="zh-CN" w:bidi="ar"/>
              </w:rPr>
              <w:t>3.16</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b/>
                <w:bCs/>
                <w:kern w:val="0"/>
                <w:sz w:val="21"/>
                <w:szCs w:val="21"/>
              </w:rPr>
            </w:pPr>
            <w:r>
              <w:rPr>
                <w:rFonts w:hint="default" w:ascii="Times New Roman" w:hAnsi="Times New Roman" w:eastAsia="宋体" w:cs="Times New Roman"/>
                <w:b/>
                <w:bCs/>
                <w:i w:val="0"/>
                <w:iCs w:val="0"/>
                <w:color w:val="000000"/>
                <w:kern w:val="0"/>
                <w:sz w:val="21"/>
                <w:szCs w:val="21"/>
                <w:u w:val="none"/>
                <w:lang w:val="en-US" w:eastAsia="zh-CN" w:bidi="ar"/>
              </w:rPr>
              <w:t>4.92</w:t>
            </w:r>
          </w:p>
        </w:tc>
        <w:tc>
          <w:tcPr>
            <w:tcW w:w="1440" w:type="dxa"/>
            <w:noWrap w:val="0"/>
            <w:vAlign w:val="center"/>
          </w:tcPr>
          <w:p>
            <w:pPr>
              <w:keepNext w:val="0"/>
              <w:keepLines w:val="0"/>
              <w:widowControl/>
              <w:suppressLineNumbers w:val="0"/>
              <w:jc w:val="center"/>
              <w:textAlignment w:val="center"/>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0.62</w:t>
            </w:r>
          </w:p>
        </w:tc>
        <w:tc>
          <w:tcPr>
            <w:tcW w:w="1172" w:type="dxa"/>
            <w:noWrap w:val="0"/>
            <w:vAlign w:val="center"/>
          </w:tcPr>
          <w:p>
            <w:pPr>
              <w:keepNext w:val="0"/>
              <w:keepLines w:val="0"/>
              <w:widowControl/>
              <w:suppressLineNumbers w:val="0"/>
              <w:jc w:val="center"/>
              <w:textAlignment w:val="center"/>
              <w:rPr>
                <w:rFonts w:hint="default" w:ascii="Times New Roman" w:hAnsi="Times New Roman" w:eastAsia="宋体" w:cs="Times New Roman"/>
                <w:b/>
                <w:bCs/>
                <w:kern w:val="0"/>
                <w:sz w:val="21"/>
                <w:szCs w:val="21"/>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2.276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366" w:hRule="atLeast"/>
          <w:jc w:val="center"/>
        </w:trPr>
        <w:tc>
          <w:tcPr>
            <w:tcW w:w="2488"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auto"/>
                <w:sz w:val="21"/>
                <w:szCs w:val="21"/>
                <w:highlight w:val="none"/>
                <w:lang w:eastAsia="zh-CN"/>
              </w:rPr>
              <w:t>铁</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lang w:val="en-US"/>
              </w:rPr>
            </w:pPr>
            <w:r>
              <w:rPr>
                <w:rFonts w:hint="default" w:ascii="Times New Roman" w:hAnsi="Times New Roman" w:eastAsia="宋体" w:cs="Times New Roman"/>
                <w:i w:val="0"/>
                <w:iCs w:val="0"/>
                <w:color w:val="000000"/>
                <w:kern w:val="0"/>
                <w:sz w:val="21"/>
                <w:szCs w:val="21"/>
                <w:u w:val="none"/>
                <w:lang w:val="en-US" w:eastAsia="zh-CN" w:bidi="ar"/>
              </w:rPr>
              <w:t>0.018</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0.83</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0.025</w:t>
            </w:r>
            <w:r>
              <w:rPr>
                <w:rFonts w:hint="eastAsia" w:ascii="Times New Roman" w:hAnsi="Times New Roman" w:cs="Times New Roman"/>
                <w:i w:val="0"/>
                <w:iCs w:val="0"/>
                <w:color w:val="000000"/>
                <w:kern w:val="0"/>
                <w:sz w:val="21"/>
                <w:szCs w:val="21"/>
                <w:u w:val="none"/>
                <w:lang w:val="en-US" w:eastAsia="zh-CN" w:bidi="ar"/>
              </w:rPr>
              <w:t>3</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0.573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366" w:hRule="atLeast"/>
          <w:jc w:val="center"/>
        </w:trPr>
        <w:tc>
          <w:tcPr>
            <w:tcW w:w="2488"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eastAsia" w:ascii="宋体" w:hAnsi="宋体" w:cs="宋体"/>
                <w:color w:val="auto"/>
                <w:szCs w:val="21"/>
              </w:rPr>
              <w:t>锰</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b/>
                <w:bCs/>
                <w:i w:val="0"/>
                <w:iCs w:val="0"/>
                <w:color w:val="000000"/>
                <w:kern w:val="0"/>
                <w:sz w:val="21"/>
                <w:szCs w:val="21"/>
                <w:u w:val="none"/>
                <w:lang w:val="en-US" w:eastAsia="zh-CN" w:bidi="ar"/>
              </w:rPr>
              <w:t>6.52</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b/>
                <w:bCs/>
                <w:i w:val="0"/>
                <w:iCs w:val="0"/>
                <w:color w:val="000000"/>
                <w:kern w:val="0"/>
                <w:sz w:val="21"/>
                <w:szCs w:val="21"/>
                <w:u w:val="none"/>
                <w:lang w:val="en-US" w:eastAsia="zh-CN" w:bidi="ar"/>
              </w:rPr>
              <w:t>3.89</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0.026</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366" w:hRule="atLeast"/>
          <w:jc w:val="center"/>
        </w:trPr>
        <w:tc>
          <w:tcPr>
            <w:tcW w:w="2488"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rPr>
              <w:t>挥发性酚类</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0.5</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0.5</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366" w:hRule="atLeast"/>
          <w:jc w:val="center"/>
        </w:trPr>
        <w:tc>
          <w:tcPr>
            <w:tcW w:w="2488"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rPr>
              <w:t>耗氧量（COD</w:t>
            </w:r>
            <w:r>
              <w:rPr>
                <w:rFonts w:hint="default" w:ascii="Times New Roman" w:hAnsi="Times New Roman" w:eastAsia="宋体" w:cs="Times New Roman"/>
                <w:color w:val="auto"/>
                <w:sz w:val="21"/>
                <w:szCs w:val="21"/>
                <w:highlight w:val="none"/>
                <w:vertAlign w:val="subscript"/>
              </w:rPr>
              <w:t>Mn</w:t>
            </w:r>
            <w:r>
              <w:rPr>
                <w:rFonts w:hint="default" w:ascii="Times New Roman" w:hAnsi="Times New Roman" w:eastAsia="宋体" w:cs="Times New Roman"/>
                <w:color w:val="auto"/>
                <w:sz w:val="21"/>
                <w:szCs w:val="21"/>
                <w:highlight w:val="none"/>
              </w:rPr>
              <w:t>法，以O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计）</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b/>
                <w:bCs/>
                <w:i w:val="0"/>
                <w:iCs w:val="0"/>
                <w:color w:val="000000"/>
                <w:kern w:val="0"/>
                <w:sz w:val="21"/>
                <w:szCs w:val="21"/>
                <w:u w:val="none"/>
                <w:lang w:val="en-US" w:eastAsia="zh-CN" w:bidi="ar"/>
              </w:rPr>
              <w:t>1.04</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b/>
                <w:bCs/>
                <w:i w:val="0"/>
                <w:iCs w:val="0"/>
                <w:color w:val="000000"/>
                <w:kern w:val="0"/>
                <w:sz w:val="21"/>
                <w:szCs w:val="21"/>
                <w:u w:val="none"/>
                <w:lang w:val="en-US" w:eastAsia="zh-CN" w:bidi="ar"/>
              </w:rPr>
              <w:t>1.99</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0.943</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b/>
                <w:bCs/>
                <w:i w:val="0"/>
                <w:iCs w:val="0"/>
                <w:color w:val="000000"/>
                <w:kern w:val="0"/>
                <w:sz w:val="21"/>
                <w:szCs w:val="21"/>
                <w:u w:val="none"/>
                <w:lang w:val="en-US" w:eastAsia="zh-CN" w:bidi="ar"/>
              </w:rPr>
              <w:t>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366" w:hRule="atLeast"/>
          <w:jc w:val="center"/>
        </w:trPr>
        <w:tc>
          <w:tcPr>
            <w:tcW w:w="2488"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rPr>
              <w:t>氨氮（以N计）</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0.376</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0.89</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0.086</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389" w:hRule="atLeast"/>
          <w:jc w:val="center"/>
        </w:trPr>
        <w:tc>
          <w:tcPr>
            <w:tcW w:w="2488"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rPr>
              <w:t>硫化物</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0.25</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0.25</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0.25</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524"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钠</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0.424</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3.55</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0.505</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64"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总大肠菌群</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0.50</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74"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菌落总数</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0.28</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0.34</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59" w:hRule="atLeast"/>
          <w:jc w:val="center"/>
        </w:trPr>
        <w:tc>
          <w:tcPr>
            <w:tcW w:w="2488"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亚硝酸盐</w:t>
            </w:r>
          </w:p>
          <w:p>
            <w:pPr>
              <w:jc w:val="center"/>
              <w:rPr>
                <w:rFonts w:hint="default" w:ascii="Times New Roman" w:hAnsi="Times New Roman" w:cs="Times New Roman"/>
                <w:sz w:val="21"/>
                <w:szCs w:val="21"/>
                <w:highlight w:val="none"/>
                <w:vertAlign w:val="baseline"/>
                <w:lang w:val="en-US" w:eastAsia="zh-CN"/>
              </w:rPr>
            </w:pP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以N计</w:t>
            </w:r>
            <w:r>
              <w:rPr>
                <w:rFonts w:hint="eastAsia" w:cs="Times New Roman"/>
                <w:color w:val="auto"/>
                <w:sz w:val="21"/>
                <w:szCs w:val="21"/>
                <w:highlight w:val="none"/>
                <w:lang w:eastAsia="zh-CN"/>
              </w:rPr>
              <w:t>）</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0.093</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0.558</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59" w:hRule="atLeast"/>
          <w:jc w:val="center"/>
        </w:trPr>
        <w:tc>
          <w:tcPr>
            <w:tcW w:w="2488"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硝酸盐</w:t>
            </w:r>
          </w:p>
          <w:p>
            <w:pPr>
              <w:jc w:val="center"/>
              <w:rPr>
                <w:rFonts w:hint="default" w:ascii="Times New Roman" w:hAnsi="Times New Roman" w:eastAsia="宋体" w:cs="Times New Roman"/>
                <w:color w:val="000000"/>
                <w:sz w:val="21"/>
                <w:szCs w:val="21"/>
                <w:highlight w:val="none"/>
                <w:lang w:val="en-US" w:eastAsia="zh-CN"/>
              </w:rPr>
            </w:pP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以N计</w:t>
            </w:r>
            <w:r>
              <w:rPr>
                <w:rFonts w:hint="eastAsia" w:cs="Times New Roman"/>
                <w:color w:val="auto"/>
                <w:sz w:val="21"/>
                <w:szCs w:val="21"/>
                <w:highlight w:val="none"/>
                <w:lang w:eastAsia="zh-CN"/>
              </w:rPr>
              <w:t>）</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0.55</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0.00</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0.191</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59" w:hRule="atLeast"/>
          <w:jc w:val="center"/>
        </w:trPr>
        <w:tc>
          <w:tcPr>
            <w:tcW w:w="2488" w:type="dxa"/>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rPr>
              <w:t>氰化物</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0.0134</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0.0134</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kern w:val="0"/>
                <w:sz w:val="21"/>
                <w:szCs w:val="21"/>
              </w:rPr>
            </w:pPr>
            <w:r>
              <w:rPr>
                <w:rFonts w:hint="default" w:ascii="Times New Roman" w:hAnsi="Times New Roman" w:eastAsia="宋体" w:cs="Times New Roman"/>
                <w:i w:val="0"/>
                <w:iCs w:val="0"/>
                <w:color w:val="000000"/>
                <w:kern w:val="0"/>
                <w:sz w:val="21"/>
                <w:szCs w:val="21"/>
                <w:u w:val="none"/>
                <w:lang w:val="en-US" w:eastAsia="zh-CN" w:bidi="ar"/>
              </w:rPr>
              <w:t>0.0134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44"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氟化物</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b/>
                <w:bCs/>
                <w:i w:val="0"/>
                <w:iCs w:val="0"/>
                <w:color w:val="000000"/>
                <w:kern w:val="0"/>
                <w:sz w:val="21"/>
                <w:szCs w:val="21"/>
                <w:u w:val="none"/>
                <w:lang w:val="en-US" w:eastAsia="zh-CN" w:bidi="ar"/>
              </w:rPr>
              <w:t>1.13</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0.68</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0.88</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24"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eastAsia" w:cs="Times New Roman"/>
                <w:color w:val="auto"/>
                <w:sz w:val="21"/>
                <w:szCs w:val="21"/>
                <w:highlight w:val="none"/>
                <w:lang w:eastAsia="zh-CN"/>
              </w:rPr>
              <w:t>汞</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0.033</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44"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砷</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0.10</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44"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镉</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384"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铬（六价）</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0.026</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0.03</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0.026</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dxa"/>
          <w:trHeight w:val="474" w:hRule="atLeast"/>
          <w:jc w:val="center"/>
        </w:trPr>
        <w:tc>
          <w:tcPr>
            <w:tcW w:w="2488" w:type="dxa"/>
            <w:noWrap w:val="0"/>
            <w:vAlign w:val="center"/>
          </w:tcPr>
          <w:p>
            <w:pPr>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铅</w:t>
            </w:r>
          </w:p>
        </w:tc>
        <w:tc>
          <w:tcPr>
            <w:tcW w:w="1560" w:type="dxa"/>
            <w:noWrap w:val="0"/>
            <w:vAlign w:val="center"/>
          </w:tcPr>
          <w:p>
            <w:pPr>
              <w:keepNext w:val="0"/>
              <w:keepLines w:val="0"/>
              <w:widowControl/>
              <w:suppressLineNumbers w:val="0"/>
              <w:jc w:val="center"/>
              <w:textAlignment w:val="center"/>
              <w:rPr>
                <w:rFonts w:hint="default" w:ascii="Times New Roman" w:hAnsi="Times New Roman" w:cs="Times New Roman"/>
                <w:b/>
                <w:bCs/>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0.35</w:t>
            </w:r>
          </w:p>
        </w:tc>
        <w:tc>
          <w:tcPr>
            <w:tcW w:w="1395"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0.35</w:t>
            </w:r>
          </w:p>
        </w:tc>
        <w:tc>
          <w:tcPr>
            <w:tcW w:w="1440"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0.35</w:t>
            </w:r>
          </w:p>
        </w:tc>
        <w:tc>
          <w:tcPr>
            <w:tcW w:w="1172" w:type="dxa"/>
            <w:noWrap w:val="0"/>
            <w:vAlign w:val="center"/>
          </w:tcPr>
          <w:p>
            <w:pPr>
              <w:keepNext w:val="0"/>
              <w:keepLines w:val="0"/>
              <w:widowControl/>
              <w:suppressLineNumbers w:val="0"/>
              <w:jc w:val="center"/>
              <w:textAlignment w:val="center"/>
              <w:rPr>
                <w:rFonts w:hint="default" w:ascii="Times New Roman" w:hAnsi="Times New Roman"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060" w:type="dxa"/>
            <w:gridSpan w:val="6"/>
            <w:noWrap w:val="0"/>
            <w:vAlign w:val="center"/>
          </w:tcPr>
          <w:p>
            <w:pPr>
              <w:widowControl/>
              <w:jc w:val="both"/>
              <w:textAlignment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备注：未检出按照检出限一半计，无标准未评价</w:t>
            </w:r>
          </w:p>
        </w:tc>
      </w:tr>
    </w:tbl>
    <w:p>
      <w:pPr>
        <w:pStyle w:val="2"/>
        <w:keepNext w:val="0"/>
        <w:keepLines w:val="0"/>
        <w:pageBreakBefore w:val="0"/>
        <w:widowControl w:val="0"/>
        <w:kinsoku/>
        <w:wordWrap/>
        <w:overflowPunct/>
        <w:topLinePunct w:val="0"/>
        <w:autoSpaceDE/>
        <w:autoSpaceDN/>
        <w:bidi w:val="0"/>
        <w:adjustRightInd/>
        <w:snapToGrid w:val="0"/>
        <w:spacing w:before="157" w:beforeLines="50" w:line="360" w:lineRule="auto"/>
        <w:ind w:left="0" w:leftChars="0" w:firstLine="480" w:firstLineChars="200"/>
        <w:jc w:val="both"/>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由评价结果可知，项目区域地下水环境已不能满足《地下水质量标准》（GB/T14848-2017）III类标准要求，主要超标因子包括</w:t>
      </w:r>
      <w:r>
        <w:rPr>
          <w:rFonts w:hint="default" w:ascii="Times New Roman" w:hAnsi="Times New Roman"/>
          <w:color w:val="auto"/>
          <w:sz w:val="24"/>
          <w:szCs w:val="24"/>
          <w:highlight w:val="none"/>
          <w:lang w:val="en-US" w:eastAsia="zh-CN"/>
        </w:rPr>
        <w:t>总硬度、溶解性固体、</w:t>
      </w:r>
      <w:r>
        <w:rPr>
          <w:rFonts w:hint="eastAsia" w:ascii="Times New Roman" w:hAnsi="Times New Roman"/>
          <w:color w:val="auto"/>
          <w:sz w:val="24"/>
          <w:szCs w:val="24"/>
          <w:highlight w:val="none"/>
          <w:lang w:val="en-US" w:eastAsia="zh-CN"/>
        </w:rPr>
        <w:t>硫酸盐</w:t>
      </w:r>
      <w:r>
        <w:rPr>
          <w:rFonts w:hint="default" w:ascii="Times New Roman" w:hAnsi="Times New Roman"/>
          <w:color w:val="auto"/>
          <w:sz w:val="24"/>
          <w:szCs w:val="24"/>
          <w:highlight w:val="none"/>
          <w:lang w:val="en-US" w:eastAsia="zh-CN"/>
        </w:rPr>
        <w:t>、</w:t>
      </w:r>
      <w:r>
        <w:rPr>
          <w:rFonts w:hint="eastAsia" w:ascii="Times New Roman" w:hAnsi="Times New Roman"/>
          <w:color w:val="auto"/>
          <w:sz w:val="24"/>
          <w:szCs w:val="24"/>
          <w:highlight w:val="none"/>
          <w:lang w:val="en-US" w:eastAsia="zh-CN"/>
        </w:rPr>
        <w:t>氯化物、氟化物、耗氧量、钠</w:t>
      </w:r>
      <w:r>
        <w:rPr>
          <w:rFonts w:hint="default" w:ascii="Times New Roman" w:hAnsi="Times New Roman"/>
          <w:color w:val="auto"/>
          <w:sz w:val="24"/>
          <w:szCs w:val="24"/>
          <w:highlight w:val="none"/>
          <w:lang w:val="en-US" w:eastAsia="zh-CN"/>
        </w:rPr>
        <w:t>。其中总</w:t>
      </w:r>
      <w:r>
        <w:rPr>
          <w:rFonts w:hint="default" w:ascii="Times New Roman" w:hAnsi="Times New Roman"/>
          <w:sz w:val="24"/>
          <w:szCs w:val="24"/>
          <w:lang w:val="en-US" w:eastAsia="zh-CN"/>
        </w:rPr>
        <w:t>硬度、溶解性固体、耗氧量超标原因与当地的地下水类型以重碳酸钙或钙镁型水为主水文地质条件有关，硝</w:t>
      </w:r>
      <w:r>
        <w:rPr>
          <w:rFonts w:hint="eastAsia" w:ascii="Times New Roman" w:hAnsi="Times New Roman"/>
          <w:sz w:val="24"/>
          <w:szCs w:val="24"/>
          <w:lang w:val="en-US" w:eastAsia="zh-CN"/>
        </w:rPr>
        <w:t>氯化物、氟化物、钠</w:t>
      </w:r>
      <w:r>
        <w:rPr>
          <w:rFonts w:hint="default" w:ascii="Times New Roman" w:hAnsi="Times New Roman"/>
          <w:sz w:val="24"/>
          <w:szCs w:val="24"/>
          <w:lang w:val="en-US" w:eastAsia="zh-CN"/>
        </w:rPr>
        <w:t>超标可能是监测点位为浅层地下水，受地面生活污水排放及化肥使用影响所致</w:t>
      </w:r>
      <w:r>
        <w:rPr>
          <w:rFonts w:hint="default"/>
          <w:sz w:val="24"/>
          <w:szCs w:val="24"/>
          <w:lang w:val="en-US" w:eastAsia="zh-CN"/>
        </w:rPr>
        <w:t>。</w:t>
      </w: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14" w:name="_Toc18535"/>
      <w:bookmarkStart w:id="15" w:name="_Toc2641"/>
      <w:r>
        <w:rPr>
          <w:rFonts w:hint="eastAsia" w:ascii="Times New Roman" w:hAnsi="Times New Roman" w:eastAsia="宋体" w:cs="Times New Roman"/>
          <w:lang w:val="en-US" w:eastAsia="zh-CN"/>
        </w:rPr>
        <w:t>5</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7</w:t>
      </w:r>
      <w:r>
        <w:rPr>
          <w:rFonts w:hint="eastAsia" w:ascii="宋体" w:hAnsi="宋体" w:eastAsia="宋体" w:cs="宋体"/>
          <w:lang w:val="en-US" w:eastAsia="zh-CN"/>
        </w:rPr>
        <w:t>噪声环境质量现状调查与评价</w:t>
      </w:r>
      <w:bookmarkEnd w:id="14"/>
      <w:bookmarkEnd w:id="15"/>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7</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b/>
          <w:bCs/>
          <w:sz w:val="24"/>
          <w:szCs w:val="24"/>
          <w:lang w:val="en-US" w:eastAsia="zh-CN"/>
        </w:rPr>
        <w:t>声环境质量现状监测</w:t>
      </w:r>
    </w:p>
    <w:p>
      <w:pPr>
        <w:pStyle w:val="5"/>
        <w:pageBreakBefore w:val="0"/>
        <w:widowControl w:val="0"/>
        <w:kinsoku/>
        <w:wordWrap/>
        <w:overflowPunct/>
        <w:topLinePunct w:val="0"/>
        <w:bidi w:val="0"/>
        <w:snapToGrid w:val="0"/>
        <w:spacing w:line="360" w:lineRule="auto"/>
        <w:textAlignment w:val="auto"/>
        <w:rPr>
          <w:rFonts w:hint="default"/>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7</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 xml:space="preserve">1 </w:t>
      </w:r>
      <w:r>
        <w:rPr>
          <w:rFonts w:hint="eastAsia" w:ascii="Times New Roman" w:hAnsi="Times New Roman"/>
          <w:b/>
          <w:bCs/>
          <w:sz w:val="24"/>
          <w:szCs w:val="24"/>
          <w:lang w:val="en-US" w:eastAsia="zh-CN"/>
        </w:rPr>
        <w:t>监测布点</w:t>
      </w:r>
    </w:p>
    <w:p>
      <w:pPr>
        <w:pStyle w:val="6"/>
        <w:keepNext w:val="0"/>
        <w:keepLines w:val="0"/>
        <w:pageBreakBefore w:val="0"/>
        <w:widowControl w:val="0"/>
        <w:kinsoku/>
        <w:wordWrap/>
        <w:overflowPunct/>
        <w:topLinePunct w:val="0"/>
        <w:autoSpaceDE/>
        <w:autoSpaceDN/>
        <w:bidi w:val="0"/>
        <w:adjustRightInd/>
        <w:snapToGrid w:val="0"/>
        <w:spacing w:line="360" w:lineRule="auto"/>
        <w:ind w:firstLine="567"/>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根据厂址所处地理位置及周围环境情况，在厂界各布设</w:t>
      </w:r>
      <w:r>
        <w:rPr>
          <w:rFonts w:hint="eastAsia" w:ascii="Times New Roman" w:hAnsi="Times New Roman" w:cs="Times New Roman"/>
          <w:color w:val="000000"/>
          <w:kern w:val="2"/>
          <w:sz w:val="24"/>
          <w:szCs w:val="24"/>
          <w:lang w:val="en-US" w:eastAsia="zh-CN" w:bidi="ar-SA"/>
        </w:rPr>
        <w:t>14</w:t>
      </w:r>
      <w:r>
        <w:rPr>
          <w:rFonts w:hint="default" w:ascii="Times New Roman" w:hAnsi="Times New Roman" w:eastAsia="宋体" w:cs="Times New Roman"/>
          <w:color w:val="000000"/>
          <w:kern w:val="2"/>
          <w:sz w:val="24"/>
          <w:szCs w:val="24"/>
          <w:lang w:val="en-US" w:eastAsia="zh-CN" w:bidi="ar-SA"/>
        </w:rPr>
        <w:t>个监测点位，</w:t>
      </w:r>
      <w:r>
        <w:rPr>
          <w:rFonts w:hint="eastAsia" w:ascii="Times New Roman" w:hAnsi="Times New Roman" w:cs="Times New Roman"/>
          <w:color w:val="000000"/>
          <w:kern w:val="2"/>
          <w:sz w:val="24"/>
          <w:szCs w:val="24"/>
          <w:lang w:val="en-US" w:eastAsia="zh-CN" w:bidi="ar-SA"/>
        </w:rPr>
        <w:t>博汇纸业西厂区设置6个监测点位，博汇纸业东昌区设置8个监测点位。博汇纸业东厂区噪声检测数据引用博汇纸业2021年第二季度例行监测数据（青岛市华测检测技术有限公司于2021.05.09—05.10监测），在博汇纸业西厂区补充监测噪声。西厂区</w:t>
      </w:r>
      <w:r>
        <w:rPr>
          <w:rFonts w:hint="default" w:ascii="Times New Roman" w:hAnsi="Times New Roman" w:eastAsia="宋体" w:cs="Times New Roman"/>
          <w:color w:val="000000"/>
          <w:kern w:val="2"/>
          <w:sz w:val="24"/>
          <w:szCs w:val="24"/>
          <w:lang w:val="en-US" w:eastAsia="zh-CN" w:bidi="ar-SA"/>
        </w:rPr>
        <w:t>监测点位在个厂界外1m处，且考虑了厂内声源影响较大的位置，监测点位见表</w:t>
      </w:r>
      <w:r>
        <w:rPr>
          <w:rFonts w:hint="eastAsia" w:ascii="Times New Roman" w:hAnsi="Times New Roman" w:cs="Times New Roman"/>
          <w:color w:val="000000"/>
          <w:kern w:val="2"/>
          <w:sz w:val="24"/>
          <w:szCs w:val="24"/>
          <w:lang w:val="en-US" w:eastAsia="zh-CN" w:bidi="ar-SA"/>
        </w:rPr>
        <w:t>5.7</w:t>
      </w:r>
      <w:r>
        <w:rPr>
          <w:rFonts w:hint="default" w:ascii="Times New Roman" w:hAnsi="Times New Roman" w:eastAsia="宋体" w:cs="Times New Roman"/>
          <w:color w:val="000000"/>
          <w:kern w:val="2"/>
          <w:sz w:val="24"/>
          <w:szCs w:val="24"/>
          <w:lang w:val="en-US" w:eastAsia="zh-CN" w:bidi="ar-SA"/>
        </w:rPr>
        <w:t>-</w:t>
      </w:r>
      <w:r>
        <w:rPr>
          <w:rFonts w:hint="eastAsia" w:ascii="Times New Roman" w:hAnsi="Times New Roman" w:cs="Times New Roman"/>
          <w:color w:val="000000"/>
          <w:kern w:val="2"/>
          <w:sz w:val="24"/>
          <w:szCs w:val="24"/>
          <w:lang w:val="en-US" w:eastAsia="zh-CN" w:bidi="ar-SA"/>
        </w:rPr>
        <w:t>1</w:t>
      </w:r>
      <w:r>
        <w:rPr>
          <w:rFonts w:hint="default" w:ascii="Times New Roman" w:hAnsi="Times New Roman" w:eastAsia="宋体" w:cs="Times New Roman"/>
          <w:color w:val="000000"/>
          <w:kern w:val="2"/>
          <w:sz w:val="24"/>
          <w:szCs w:val="24"/>
          <w:lang w:val="en-US" w:eastAsia="zh-CN" w:bidi="ar-SA"/>
        </w:rPr>
        <w:t>及图</w:t>
      </w:r>
      <w:r>
        <w:rPr>
          <w:rFonts w:hint="eastAsia" w:ascii="Times New Roman" w:hAnsi="Times New Roman" w:cs="Times New Roman"/>
          <w:color w:val="000000"/>
          <w:kern w:val="2"/>
          <w:sz w:val="24"/>
          <w:szCs w:val="24"/>
          <w:lang w:val="en-US" w:eastAsia="zh-CN" w:bidi="ar-SA"/>
        </w:rPr>
        <w:t>5.7</w:t>
      </w:r>
      <w:r>
        <w:rPr>
          <w:rFonts w:hint="default" w:ascii="Times New Roman" w:hAnsi="Times New Roman" w:eastAsia="宋体" w:cs="Times New Roman"/>
          <w:color w:val="000000"/>
          <w:kern w:val="2"/>
          <w:sz w:val="24"/>
          <w:szCs w:val="24"/>
          <w:lang w:val="en-US" w:eastAsia="zh-CN" w:bidi="ar-SA"/>
        </w:rPr>
        <w:t>-</w:t>
      </w:r>
      <w:r>
        <w:rPr>
          <w:rFonts w:hint="eastAsia" w:ascii="Times New Roman" w:hAnsi="Times New Roman" w:cs="Times New Roman"/>
          <w:color w:val="000000"/>
          <w:kern w:val="2"/>
          <w:sz w:val="24"/>
          <w:szCs w:val="24"/>
          <w:lang w:val="en-US" w:eastAsia="zh-CN" w:bidi="ar-SA"/>
        </w:rPr>
        <w:t>1</w:t>
      </w:r>
      <w:r>
        <w:rPr>
          <w:rFonts w:hint="default" w:ascii="Times New Roman" w:hAnsi="Times New Roman" w:eastAsia="宋体" w:cs="Times New Roman"/>
          <w:color w:val="000000"/>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sz w:val="24"/>
        </w:rPr>
      </w:pPr>
      <w:r>
        <w:rPr>
          <w:rFonts w:hint="default" w:ascii="Times New Roman" w:hAnsi="Times New Roman" w:eastAsia="宋体" w:cs="Times New Roman"/>
          <w:b/>
          <w:bCs/>
          <w:sz w:val="24"/>
        </w:rPr>
        <w:t>表</w:t>
      </w:r>
      <w:r>
        <w:rPr>
          <w:rFonts w:hint="eastAsia" w:ascii="Times New Roman" w:hAnsi="Times New Roman" w:cs="Times New Roman"/>
          <w:b/>
          <w:bCs/>
          <w:sz w:val="24"/>
          <w:lang w:val="en-US" w:eastAsia="zh-CN"/>
        </w:rPr>
        <w:t>5.7-1</w:t>
      </w:r>
      <w:r>
        <w:rPr>
          <w:rFonts w:hint="default" w:ascii="Times New Roman" w:hAnsi="Times New Roman" w:eastAsia="宋体" w:cs="Times New Roman"/>
          <w:b/>
          <w:bCs/>
          <w:sz w:val="24"/>
        </w:rPr>
        <w:t xml:space="preserve">  声环境现状监测布点情况</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9"/>
        <w:gridCol w:w="705"/>
        <w:gridCol w:w="3840"/>
        <w:gridCol w:w="1905"/>
        <w:gridCol w:w="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厂区</w:t>
            </w:r>
          </w:p>
        </w:tc>
        <w:tc>
          <w:tcPr>
            <w:tcW w:w="705"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编号</w:t>
            </w:r>
          </w:p>
        </w:tc>
        <w:tc>
          <w:tcPr>
            <w:tcW w:w="3840"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监测点</w:t>
            </w:r>
          </w:p>
        </w:tc>
        <w:tc>
          <w:tcPr>
            <w:tcW w:w="1905"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距项目距离（m）</w:t>
            </w:r>
          </w:p>
        </w:tc>
        <w:tc>
          <w:tcPr>
            <w:tcW w:w="864"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sz w:val="21"/>
                <w:szCs w:val="21"/>
                <w:vertAlign w:val="baseline"/>
                <w:lang w:val="en-US" w:eastAsia="zh-CN"/>
              </w:rPr>
            </w:pPr>
            <w:r>
              <w:rPr>
                <w:rFonts w:hint="eastAsia" w:ascii="Times New Roman" w:hAnsi="Times New Roman" w:cs="Times New Roman"/>
                <w:b/>
                <w:bCs/>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restart"/>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博汇纸业西厂区厂界</w:t>
            </w: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1</w:t>
            </w:r>
            <w:r>
              <w:rPr>
                <w:rFonts w:hint="default" w:ascii="Times New Roman" w:hAnsi="Times New Roman" w:eastAsia="宋体" w:cs="Times New Roman"/>
                <w:shd w:val="clear" w:color="auto" w:fill="auto"/>
                <w:vertAlign w:val="baseline"/>
              </w:rPr>
              <w:t>#</w:t>
            </w:r>
          </w:p>
        </w:tc>
        <w:tc>
          <w:tcPr>
            <w:tcW w:w="384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北侧</w:t>
            </w:r>
            <w:r>
              <w:rPr>
                <w:rFonts w:hint="eastAsia" w:ascii="Times New Roman" w:hAnsi="Times New Roman" w:eastAsia="宋体" w:cs="Times New Roman"/>
                <w:szCs w:val="21"/>
                <w:shd w:val="clear" w:color="auto" w:fill="auto"/>
                <w:lang w:val="en-US" w:eastAsia="zh-CN"/>
              </w:rPr>
              <w:t>厂</w:t>
            </w:r>
            <w:r>
              <w:rPr>
                <w:rFonts w:hint="eastAsia" w:ascii="Times New Roman" w:hAnsi="Times New Roman" w:eastAsia="宋体" w:cs="Times New Roman"/>
                <w:shd w:val="clear" w:color="auto" w:fill="auto"/>
                <w:lang w:val="en-US" w:eastAsia="zh-CN"/>
              </w:rPr>
              <w:t>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restart"/>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lang w:eastAsia="zh-CN"/>
              </w:rPr>
              <w:t>监测</w:t>
            </w:r>
            <w:r>
              <w:rPr>
                <w:rFonts w:hint="eastAsia" w:ascii="Times New Roman" w:hAnsi="Times New Roman" w:eastAsia="宋体" w:cs="Times New Roman"/>
                <w:lang w:val="en-US" w:eastAsia="zh-CN"/>
              </w:rPr>
              <w:t>现有</w:t>
            </w:r>
            <w:r>
              <w:rPr>
                <w:rFonts w:hint="eastAsia" w:ascii="Times New Roman" w:hAnsi="Times New Roman" w:eastAsia="宋体" w:cs="Times New Roman"/>
                <w:lang w:eastAsia="zh-CN"/>
              </w:rPr>
              <w:t>项目各厂界噪声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2</w:t>
            </w:r>
            <w:r>
              <w:rPr>
                <w:rFonts w:hint="default" w:ascii="Times New Roman" w:hAnsi="Times New Roman" w:eastAsia="宋体" w:cs="Times New Roman"/>
                <w:shd w:val="clear" w:color="auto" w:fill="auto"/>
                <w:vertAlign w:val="baseline"/>
              </w:rPr>
              <w:t>#</w:t>
            </w:r>
          </w:p>
        </w:tc>
        <w:tc>
          <w:tcPr>
            <w:tcW w:w="384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zCs w:val="21"/>
                <w:shd w:val="clear" w:color="auto" w:fill="auto"/>
                <w:lang w:val="en-US" w:eastAsia="zh-CN"/>
              </w:rPr>
              <w:t>化机浆项目西侧厂界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3</w:t>
            </w:r>
            <w:r>
              <w:rPr>
                <w:rFonts w:hint="default" w:ascii="Times New Roman" w:hAnsi="Times New Roman" w:eastAsia="宋体" w:cs="Times New Roman"/>
                <w:shd w:val="clear" w:color="auto" w:fill="auto"/>
                <w:vertAlign w:val="baseline"/>
              </w:rPr>
              <w:t>#</w:t>
            </w:r>
          </w:p>
        </w:tc>
        <w:tc>
          <w:tcPr>
            <w:tcW w:w="384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zCs w:val="21"/>
                <w:shd w:val="clear" w:color="auto" w:fill="auto"/>
                <w:lang w:val="en-US" w:eastAsia="zh-CN"/>
              </w:rPr>
              <w:t>高档包装纸项目西侧厂界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4</w:t>
            </w:r>
            <w:r>
              <w:rPr>
                <w:rFonts w:hint="default" w:ascii="Times New Roman" w:hAnsi="Times New Roman" w:eastAsia="宋体" w:cs="Times New Roman"/>
                <w:shd w:val="clear" w:color="auto" w:fill="auto"/>
                <w:vertAlign w:val="baseline"/>
              </w:rPr>
              <w:t>#</w:t>
            </w:r>
          </w:p>
        </w:tc>
        <w:tc>
          <w:tcPr>
            <w:tcW w:w="384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zCs w:val="21"/>
                <w:shd w:val="clear" w:color="auto" w:fill="auto"/>
                <w:lang w:val="en-US" w:eastAsia="zh-CN"/>
              </w:rPr>
              <w:t>南侧厂界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5</w:t>
            </w:r>
            <w:r>
              <w:rPr>
                <w:rFonts w:hint="default" w:ascii="Times New Roman" w:hAnsi="Times New Roman" w:eastAsia="宋体" w:cs="Times New Roman"/>
                <w:shd w:val="clear" w:color="auto" w:fill="auto"/>
                <w:vertAlign w:val="baseline"/>
              </w:rPr>
              <w:t>#</w:t>
            </w:r>
          </w:p>
        </w:tc>
        <w:tc>
          <w:tcPr>
            <w:tcW w:w="384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zCs w:val="21"/>
                <w:shd w:val="clear" w:color="auto" w:fill="auto"/>
                <w:lang w:val="en-US" w:eastAsia="zh-CN"/>
              </w:rPr>
              <w:t>高档包装纸项目东侧厂界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6#</w:t>
            </w:r>
          </w:p>
        </w:tc>
        <w:tc>
          <w:tcPr>
            <w:tcW w:w="384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zCs w:val="21"/>
                <w:shd w:val="clear" w:color="auto" w:fill="auto"/>
                <w:lang w:val="en-US" w:eastAsia="zh-CN"/>
              </w:rPr>
              <w:t>化机浆项目东侧厂界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restart"/>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博汇纸业东厂区厂界</w:t>
            </w: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1</w:t>
            </w:r>
            <w:r>
              <w:rPr>
                <w:rFonts w:hint="default" w:ascii="Times New Roman" w:hAnsi="Times New Roman" w:eastAsia="宋体" w:cs="Times New Roman"/>
                <w:shd w:val="clear" w:color="auto" w:fill="auto"/>
                <w:vertAlign w:val="baseline"/>
              </w:rPr>
              <w:t>#</w:t>
            </w:r>
          </w:p>
        </w:tc>
        <w:tc>
          <w:tcPr>
            <w:tcW w:w="3840"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150万吨高档包装纸项目北侧</w:t>
            </w:r>
            <w:r>
              <w:rPr>
                <w:rFonts w:hint="eastAsia" w:ascii="Times New Roman" w:hAnsi="Times New Roman" w:eastAsia="宋体" w:cs="Times New Roman"/>
                <w:szCs w:val="21"/>
                <w:shd w:val="clear" w:color="auto" w:fill="auto"/>
                <w:lang w:val="en-US" w:eastAsia="zh-CN"/>
              </w:rPr>
              <w:t>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2</w:t>
            </w:r>
            <w:r>
              <w:rPr>
                <w:rFonts w:hint="default" w:ascii="Times New Roman" w:hAnsi="Times New Roman" w:eastAsia="宋体" w:cs="Times New Roman"/>
                <w:shd w:val="clear" w:color="auto" w:fill="auto"/>
                <w:vertAlign w:val="baseline"/>
              </w:rPr>
              <w:t>#</w:t>
            </w:r>
          </w:p>
        </w:tc>
        <w:tc>
          <w:tcPr>
            <w:tcW w:w="3840"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配套废塑料综合利用项目西北侧厂界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3</w:t>
            </w:r>
            <w:r>
              <w:rPr>
                <w:rFonts w:hint="default" w:ascii="Times New Roman" w:hAnsi="Times New Roman" w:eastAsia="宋体" w:cs="Times New Roman"/>
                <w:shd w:val="clear" w:color="auto" w:fill="auto"/>
                <w:vertAlign w:val="baseline"/>
              </w:rPr>
              <w:t>#</w:t>
            </w:r>
          </w:p>
        </w:tc>
        <w:tc>
          <w:tcPr>
            <w:tcW w:w="3840"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45万吨信息纸项目西北侧厂界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4</w:t>
            </w:r>
            <w:r>
              <w:rPr>
                <w:rFonts w:hint="default" w:ascii="Times New Roman" w:hAnsi="Times New Roman" w:eastAsia="宋体" w:cs="Times New Roman"/>
                <w:shd w:val="clear" w:color="auto" w:fill="auto"/>
                <w:vertAlign w:val="baseline"/>
              </w:rPr>
              <w:t>#</w:t>
            </w:r>
          </w:p>
        </w:tc>
        <w:tc>
          <w:tcPr>
            <w:tcW w:w="3840"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年产20万吨高档包装纸项目西侧厂界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5</w:t>
            </w:r>
            <w:r>
              <w:rPr>
                <w:rFonts w:hint="default" w:ascii="Times New Roman" w:hAnsi="Times New Roman" w:eastAsia="宋体" w:cs="Times New Roman"/>
                <w:shd w:val="clear" w:color="auto" w:fill="auto"/>
                <w:vertAlign w:val="baseline"/>
              </w:rPr>
              <w:t>#</w:t>
            </w:r>
          </w:p>
        </w:tc>
        <w:tc>
          <w:tcPr>
            <w:tcW w:w="3840"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年产15万吨石膏护面纸项目南侧厂界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6#</w:t>
            </w:r>
          </w:p>
        </w:tc>
        <w:tc>
          <w:tcPr>
            <w:tcW w:w="3840"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年产20万吨化机浆项目（1#）东侧厂界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7</w:t>
            </w:r>
            <w:r>
              <w:rPr>
                <w:rFonts w:hint="default" w:ascii="Times New Roman" w:hAnsi="Times New Roman" w:eastAsia="宋体" w:cs="Times New Roman"/>
                <w:shd w:val="clear" w:color="auto" w:fill="auto"/>
                <w:vertAlign w:val="baseline"/>
              </w:rPr>
              <w:t>#</w:t>
            </w:r>
          </w:p>
        </w:tc>
        <w:tc>
          <w:tcPr>
            <w:tcW w:w="3840"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150万吨高档包装纸项目南侧</w:t>
            </w:r>
            <w:r>
              <w:rPr>
                <w:rFonts w:hint="eastAsia" w:ascii="Times New Roman" w:hAnsi="Times New Roman" w:eastAsia="宋体" w:cs="Times New Roman"/>
                <w:szCs w:val="21"/>
                <w:shd w:val="clear" w:color="auto" w:fill="auto"/>
                <w:lang w:val="en-US" w:eastAsia="zh-CN"/>
              </w:rPr>
              <w:t>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9"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7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8</w:t>
            </w:r>
            <w:r>
              <w:rPr>
                <w:rFonts w:hint="default" w:ascii="Times New Roman" w:hAnsi="Times New Roman" w:eastAsia="宋体" w:cs="Times New Roman"/>
                <w:shd w:val="clear" w:color="auto" w:fill="auto"/>
                <w:vertAlign w:val="baseline"/>
              </w:rPr>
              <w:t>#</w:t>
            </w:r>
          </w:p>
        </w:tc>
        <w:tc>
          <w:tcPr>
            <w:tcW w:w="3840" w:type="dxa"/>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150万吨高档包装纸项目东侧</w:t>
            </w:r>
            <w:r>
              <w:rPr>
                <w:rFonts w:hint="eastAsia" w:ascii="Times New Roman" w:hAnsi="Times New Roman" w:eastAsia="宋体" w:cs="Times New Roman"/>
                <w:szCs w:val="21"/>
                <w:shd w:val="clear" w:color="auto" w:fill="auto"/>
                <w:lang w:val="en-US" w:eastAsia="zh-CN"/>
              </w:rPr>
              <w:t>厂界</w:t>
            </w:r>
          </w:p>
        </w:tc>
        <w:tc>
          <w:tcPr>
            <w:tcW w:w="1905"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厂界外1m处</w:t>
            </w:r>
          </w:p>
        </w:tc>
        <w:tc>
          <w:tcPr>
            <w:tcW w:w="864"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r>
    </w:tbl>
    <w:p>
      <w:pPr>
        <w:pStyle w:val="5"/>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textAlignment w:val="auto"/>
        <w:rPr>
          <w:rFonts w:hint="default"/>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7</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 补充</w:t>
      </w:r>
      <w:r>
        <w:rPr>
          <w:rFonts w:hint="eastAsia" w:ascii="Times New Roman" w:hAnsi="Times New Roman"/>
          <w:b/>
          <w:bCs/>
          <w:sz w:val="24"/>
          <w:szCs w:val="24"/>
          <w:lang w:val="en-US" w:eastAsia="zh-CN"/>
        </w:rPr>
        <w:t>监测项目和频率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cs="Times New Roman"/>
          <w:color w:val="000000"/>
          <w:kern w:val="2"/>
          <w:sz w:val="24"/>
          <w:szCs w:val="24"/>
          <w:lang w:val="en-US" w:eastAsia="zh-CN" w:bidi="ar-SA"/>
        </w:rPr>
        <w:t>补充</w:t>
      </w:r>
      <w:r>
        <w:rPr>
          <w:rFonts w:hint="default" w:ascii="Times New Roman" w:hAnsi="Times New Roman" w:eastAsia="宋体" w:cs="Times New Roman"/>
          <w:color w:val="000000"/>
          <w:kern w:val="2"/>
          <w:sz w:val="24"/>
          <w:szCs w:val="24"/>
          <w:lang w:val="en-US" w:eastAsia="zh-CN" w:bidi="ar-SA"/>
        </w:rPr>
        <w:t>监测项目：等效连续A声级L</w:t>
      </w:r>
      <w:r>
        <w:rPr>
          <w:rFonts w:hint="default" w:ascii="Times New Roman" w:hAnsi="Times New Roman" w:eastAsia="宋体" w:cs="Times New Roman"/>
          <w:color w:val="000000"/>
          <w:kern w:val="2"/>
          <w:sz w:val="24"/>
          <w:szCs w:val="24"/>
          <w:vertAlign w:val="subscript"/>
          <w:lang w:val="en-US" w:eastAsia="zh-CN" w:bidi="ar-SA"/>
        </w:rPr>
        <w:t>Aeq</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cs="Times New Roman"/>
          <w:color w:val="000000"/>
          <w:kern w:val="2"/>
          <w:sz w:val="24"/>
          <w:szCs w:val="24"/>
          <w:lang w:val="en-US" w:eastAsia="zh-CN" w:bidi="ar-SA"/>
        </w:rPr>
        <w:t>补充</w:t>
      </w:r>
      <w:r>
        <w:rPr>
          <w:rFonts w:hint="default" w:ascii="Times New Roman" w:hAnsi="Times New Roman" w:eastAsia="宋体" w:cs="Times New Roman"/>
          <w:color w:val="000000"/>
          <w:kern w:val="2"/>
          <w:sz w:val="24"/>
          <w:szCs w:val="24"/>
          <w:lang w:val="en-US" w:eastAsia="zh-CN" w:bidi="ar-SA"/>
        </w:rPr>
        <w:t>监测频率：监测</w:t>
      </w:r>
      <w:r>
        <w:rPr>
          <w:rFonts w:hint="eastAsia" w:ascii="Times New Roman" w:hAnsi="Times New Roman" w:cs="Times New Roman"/>
          <w:color w:val="000000"/>
          <w:kern w:val="2"/>
          <w:sz w:val="24"/>
          <w:szCs w:val="24"/>
          <w:lang w:val="en-US" w:eastAsia="zh-CN" w:bidi="ar-SA"/>
        </w:rPr>
        <w:t>2</w:t>
      </w:r>
      <w:r>
        <w:rPr>
          <w:rFonts w:hint="default" w:ascii="Times New Roman" w:hAnsi="Times New Roman" w:eastAsia="宋体" w:cs="Times New Roman"/>
          <w:color w:val="000000"/>
          <w:kern w:val="2"/>
          <w:sz w:val="24"/>
          <w:szCs w:val="24"/>
          <w:lang w:val="en-US" w:eastAsia="zh-CN" w:bidi="ar-SA"/>
        </w:rPr>
        <w:t>天，昼间、夜间各</w:t>
      </w:r>
      <w:r>
        <w:rPr>
          <w:rFonts w:hint="eastAsia" w:ascii="Times New Roman" w:hAnsi="Times New Roman" w:cs="Times New Roman"/>
          <w:color w:val="000000"/>
          <w:kern w:val="2"/>
          <w:sz w:val="24"/>
          <w:szCs w:val="24"/>
          <w:lang w:val="en-US" w:eastAsia="zh-CN" w:bidi="ar-SA"/>
        </w:rPr>
        <w:t>1</w:t>
      </w:r>
      <w:r>
        <w:rPr>
          <w:rFonts w:hint="default" w:ascii="Times New Roman" w:hAnsi="Times New Roman" w:eastAsia="宋体" w:cs="Times New Roman"/>
          <w:color w:val="000000"/>
          <w:kern w:val="2"/>
          <w:sz w:val="24"/>
          <w:szCs w:val="24"/>
          <w:lang w:val="en-US" w:eastAsia="zh-CN" w:bidi="ar-SA"/>
        </w:rPr>
        <w:t xml:space="preserve">次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cs="Times New Roman"/>
          <w:color w:val="000000"/>
          <w:kern w:val="2"/>
          <w:sz w:val="24"/>
          <w:szCs w:val="24"/>
          <w:lang w:val="en-US" w:eastAsia="zh-CN" w:bidi="ar-SA"/>
        </w:rPr>
        <w:t>补充监测单位：</w:t>
      </w:r>
      <w:r>
        <w:rPr>
          <w:rFonts w:hint="default" w:ascii="Times New Roman" w:hAnsi="Times New Roman" w:eastAsia="宋体" w:cs="Times New Roman"/>
          <w:color w:val="000000"/>
          <w:kern w:val="2"/>
          <w:sz w:val="24"/>
          <w:szCs w:val="24"/>
          <w:lang w:val="en-US" w:eastAsia="zh-CN" w:bidi="ar-SA"/>
        </w:rPr>
        <w:t>水发（山东）检验检测研究院有限公司</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cs="Times New Roman"/>
          <w:color w:val="000000"/>
          <w:kern w:val="2"/>
          <w:sz w:val="24"/>
          <w:szCs w:val="24"/>
          <w:lang w:val="en-US" w:eastAsia="zh-CN" w:bidi="ar-SA"/>
        </w:rPr>
        <w:t>补充监测时间：</w:t>
      </w:r>
      <w:r>
        <w:rPr>
          <w:rFonts w:hint="default" w:ascii="Times New Roman" w:hAnsi="Times New Roman" w:eastAsia="宋体" w:cs="Times New Roman"/>
          <w:color w:val="000000"/>
          <w:kern w:val="2"/>
          <w:sz w:val="24"/>
          <w:szCs w:val="24"/>
          <w:highlight w:val="none"/>
          <w:lang w:val="en-US" w:eastAsia="zh-CN" w:bidi="ar-SA"/>
        </w:rPr>
        <w:t>202</w:t>
      </w:r>
      <w:r>
        <w:rPr>
          <w:rFonts w:hint="eastAsia" w:ascii="Times New Roman" w:hAnsi="Times New Roman" w:cs="Times New Roman"/>
          <w:color w:val="000000"/>
          <w:kern w:val="2"/>
          <w:sz w:val="24"/>
          <w:szCs w:val="24"/>
          <w:highlight w:val="none"/>
          <w:lang w:val="en-US" w:eastAsia="zh-CN" w:bidi="ar-SA"/>
        </w:rPr>
        <w:t>1</w:t>
      </w:r>
      <w:r>
        <w:rPr>
          <w:rFonts w:hint="default" w:ascii="Times New Roman" w:hAnsi="Times New Roman" w:eastAsia="宋体" w:cs="Times New Roman"/>
          <w:color w:val="000000"/>
          <w:kern w:val="2"/>
          <w:sz w:val="24"/>
          <w:szCs w:val="24"/>
          <w:highlight w:val="none"/>
          <w:lang w:val="en-US" w:eastAsia="zh-CN" w:bidi="ar-SA"/>
        </w:rPr>
        <w:t>年</w:t>
      </w:r>
      <w:r>
        <w:rPr>
          <w:rFonts w:hint="eastAsia" w:ascii="Times New Roman" w:hAnsi="Times New Roman" w:cs="Times New Roman"/>
          <w:color w:val="000000"/>
          <w:kern w:val="2"/>
          <w:sz w:val="24"/>
          <w:szCs w:val="24"/>
          <w:highlight w:val="none"/>
          <w:lang w:val="en-US" w:eastAsia="zh-CN" w:bidi="ar-SA"/>
        </w:rPr>
        <w:t>7</w:t>
      </w:r>
      <w:r>
        <w:rPr>
          <w:rFonts w:hint="default" w:ascii="Times New Roman" w:hAnsi="Times New Roman" w:eastAsia="宋体" w:cs="Times New Roman"/>
          <w:color w:val="000000"/>
          <w:kern w:val="2"/>
          <w:sz w:val="24"/>
          <w:szCs w:val="24"/>
          <w:highlight w:val="none"/>
          <w:lang w:val="en-US" w:eastAsia="zh-CN" w:bidi="ar-SA"/>
        </w:rPr>
        <w:t>月</w:t>
      </w:r>
      <w:r>
        <w:rPr>
          <w:rFonts w:hint="eastAsia" w:ascii="Times New Roman" w:hAnsi="Times New Roman" w:cs="Times New Roman"/>
          <w:color w:val="000000"/>
          <w:kern w:val="2"/>
          <w:sz w:val="24"/>
          <w:szCs w:val="24"/>
          <w:highlight w:val="none"/>
          <w:lang w:val="en-US" w:eastAsia="zh-CN" w:bidi="ar-SA"/>
        </w:rPr>
        <w:t>20</w:t>
      </w:r>
      <w:r>
        <w:rPr>
          <w:rFonts w:hint="default" w:ascii="Times New Roman" w:hAnsi="Times New Roman" w:eastAsia="宋体" w:cs="Times New Roman"/>
          <w:color w:val="000000"/>
          <w:kern w:val="2"/>
          <w:sz w:val="24"/>
          <w:szCs w:val="24"/>
          <w:highlight w:val="none"/>
          <w:lang w:val="en-US" w:eastAsia="zh-CN" w:bidi="ar-SA"/>
        </w:rPr>
        <w:t>日～</w:t>
      </w:r>
      <w:r>
        <w:rPr>
          <w:rFonts w:hint="eastAsia" w:ascii="Times New Roman" w:hAnsi="Times New Roman" w:cs="Times New Roman"/>
          <w:color w:val="000000"/>
          <w:kern w:val="2"/>
          <w:sz w:val="24"/>
          <w:szCs w:val="24"/>
          <w:highlight w:val="none"/>
          <w:lang w:val="en-US" w:eastAsia="zh-CN" w:bidi="ar-SA"/>
        </w:rPr>
        <w:t>21</w:t>
      </w:r>
      <w:r>
        <w:rPr>
          <w:rFonts w:hint="default" w:ascii="Times New Roman" w:hAnsi="Times New Roman" w:eastAsia="宋体" w:cs="Times New Roman"/>
          <w:color w:val="000000"/>
          <w:kern w:val="2"/>
          <w:sz w:val="24"/>
          <w:szCs w:val="24"/>
          <w:highlight w:val="none"/>
          <w:lang w:val="en-US" w:eastAsia="zh-CN" w:bidi="ar-SA"/>
        </w:rPr>
        <w:t>日进行</w:t>
      </w:r>
      <w:r>
        <w:rPr>
          <w:rFonts w:hint="default" w:ascii="Times New Roman" w:hAnsi="Times New Roman" w:eastAsia="宋体" w:cs="Times New Roman"/>
          <w:color w:val="000000"/>
          <w:kern w:val="2"/>
          <w:sz w:val="24"/>
          <w:szCs w:val="24"/>
          <w:lang w:val="en-US" w:eastAsia="zh-CN" w:bidi="ar-SA"/>
        </w:rPr>
        <w:t>检测。</w:t>
      </w:r>
    </w:p>
    <w:p>
      <w:pPr>
        <w:pStyle w:val="5"/>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default"/>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7</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 xml:space="preserve">3 </w:t>
      </w:r>
      <w:r>
        <w:rPr>
          <w:rFonts w:hint="eastAsia" w:ascii="Times New Roman" w:hAnsi="Times New Roman"/>
          <w:b/>
          <w:bCs/>
          <w:sz w:val="24"/>
          <w:szCs w:val="24"/>
          <w:lang w:val="en-US" w:eastAsia="zh-CN"/>
        </w:rPr>
        <w:t>分析方法</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cs="Times New Roman"/>
          <w:color w:val="000000"/>
          <w:kern w:val="2"/>
          <w:sz w:val="24"/>
          <w:szCs w:val="24"/>
          <w:lang w:val="en-US" w:eastAsia="zh-CN" w:bidi="ar-SA"/>
        </w:rPr>
        <w:sectPr>
          <w:headerReference r:id="rId27" w:type="default"/>
          <w:footerReference r:id="rId28"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color w:val="000000"/>
          <w:kern w:val="2"/>
          <w:sz w:val="24"/>
          <w:szCs w:val="24"/>
          <w:lang w:val="en-US" w:eastAsia="zh-CN" w:bidi="ar-SA"/>
        </w:rPr>
        <w:t>分析方法：采用《工业企业厂界环境噪声排放标准》（GB 12348-2008）声级计法</w:t>
      </w:r>
      <w:r>
        <w:rPr>
          <w:rFonts w:hint="eastAsia" w:ascii="Times New Roman" w:hAnsi="Times New Roman" w:cs="Times New Roman"/>
          <w:color w:val="000000"/>
          <w:kern w:val="2"/>
          <w:sz w:val="24"/>
          <w:szCs w:val="24"/>
          <w:lang w:val="en-US" w:eastAsia="zh-CN" w:bidi="ar-SA"/>
        </w:rPr>
        <w:t>。</w:t>
      </w:r>
    </w:p>
    <w:p>
      <w:pPr>
        <w:pStyle w:val="17"/>
        <w:ind w:left="0" w:leftChars="0" w:firstLine="0" w:firstLineChars="0"/>
        <w:rPr>
          <w:rFonts w:hint="default"/>
          <w:lang w:val="en-US" w:eastAsia="zh-CN"/>
        </w:rPr>
      </w:pPr>
      <w:r>
        <w:rPr>
          <w:rFonts w:hint="default"/>
          <w:lang w:val="en-US" w:eastAsia="zh-CN"/>
        </w:rPr>
        <w:drawing>
          <wp:anchor distT="0" distB="0" distL="114300" distR="114300" simplePos="0" relativeHeight="251761664" behindDoc="0" locked="0" layoutInCell="1" allowOverlap="1">
            <wp:simplePos x="0" y="0"/>
            <wp:positionH relativeFrom="column">
              <wp:posOffset>7628255</wp:posOffset>
            </wp:positionH>
            <wp:positionV relativeFrom="paragraph">
              <wp:posOffset>3990975</wp:posOffset>
            </wp:positionV>
            <wp:extent cx="1157605" cy="384810"/>
            <wp:effectExtent l="0" t="0" r="4445" b="15240"/>
            <wp:wrapNone/>
            <wp:docPr id="388" name="图片 388" descr="16269350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descr="1626935056(1)"/>
                    <pic:cNvPicPr>
                      <a:picLocks noChangeAspect="1"/>
                    </pic:cNvPicPr>
                  </pic:nvPicPr>
                  <pic:blipFill>
                    <a:blip r:embed="rId108"/>
                    <a:stretch>
                      <a:fillRect/>
                    </a:stretch>
                  </pic:blipFill>
                  <pic:spPr>
                    <a:xfrm>
                      <a:off x="0" y="0"/>
                      <a:ext cx="1157605" cy="384810"/>
                    </a:xfrm>
                    <a:prstGeom prst="rect">
                      <a:avLst/>
                    </a:prstGeom>
                  </pic:spPr>
                </pic:pic>
              </a:graphicData>
            </a:graphic>
          </wp:anchor>
        </w:drawing>
      </w:r>
      <w:r>
        <w:rPr>
          <w:rFonts w:hint="eastAsia" w:ascii="黑体" w:eastAsia="黑体"/>
          <w:color w:val="000000"/>
          <w:sz w:val="24"/>
        </w:rPr>
        <mc:AlternateContent>
          <mc:Choice Requires="wps">
            <w:drawing>
              <wp:anchor distT="0" distB="0" distL="114300" distR="114300" simplePos="0" relativeHeight="251759616" behindDoc="0" locked="0" layoutInCell="1" allowOverlap="1">
                <wp:simplePos x="0" y="0"/>
                <wp:positionH relativeFrom="column">
                  <wp:posOffset>8333105</wp:posOffset>
                </wp:positionH>
                <wp:positionV relativeFrom="paragraph">
                  <wp:posOffset>1026795</wp:posOffset>
                </wp:positionV>
                <wp:extent cx="283210" cy="222885"/>
                <wp:effectExtent l="0" t="0" r="0" b="0"/>
                <wp:wrapNone/>
                <wp:docPr id="387" name="文本框 387"/>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8</w:t>
                            </w:r>
                            <w:r>
                              <w:rPr>
                                <w:rFonts w:hint="eastAsia" w:ascii="黑体"/>
                                <w:b/>
                                <w:bCs/>
                                <w:color w:val="FF0000"/>
                                <w:sz w:val="22"/>
                                <w:szCs w:val="22"/>
                              </w:rPr>
                              <w:t>#</w:t>
                            </w:r>
                          </w:p>
                        </w:txbxContent>
                      </wps:txbx>
                      <wps:bodyPr lIns="0" tIns="0" rIns="0" bIns="0" upright="1"/>
                    </wps:wsp>
                  </a:graphicData>
                </a:graphic>
              </wp:anchor>
            </w:drawing>
          </mc:Choice>
          <mc:Fallback>
            <w:pict>
              <v:shape id="_x0000_s1026" o:spid="_x0000_s1026" o:spt="202" type="#_x0000_t202" style="position:absolute;left:0pt;margin-left:656.15pt;margin-top:80.85pt;height:17.55pt;width:22.3pt;z-index:251759616;mso-width-relative:page;mso-height-relative:page;" filled="f" stroked="f" coordsize="21600,21600" o:gfxdata="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LEz4YXaAAAADQEAAA8AAAAA&#10;AAAAAQAgAAAAIgAAAGRycy9kb3ducmV2LnhtbFBLAQIUABQAAAAIAIdO4kA8tbxUoAEAACcDAAAO&#10;AAAAAAAAAAEAIAAAACkBAABkcnMvZTJvRG9jLnhtbFBLBQYAAAAABgAGAFkBAAA7BQ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8</w:t>
                      </w:r>
                      <w:r>
                        <w:rPr>
                          <w:rFonts w:hint="eastAsia" w:ascii="黑体"/>
                          <w:b/>
                          <w:bCs/>
                          <w:color w:val="FF0000"/>
                          <w:sz w:val="22"/>
                          <w:szCs w:val="22"/>
                        </w:rPr>
                        <w:t>#</w:t>
                      </w:r>
                    </w:p>
                  </w:txbxContent>
                </v:textbox>
              </v:shape>
            </w:pict>
          </mc:Fallback>
        </mc:AlternateContent>
      </w:r>
      <w:r>
        <w:rPr>
          <w:rFonts w:hint="eastAsia" w:ascii="黑体" w:eastAsia="黑体"/>
          <w:color w:val="000000"/>
          <w:sz w:val="24"/>
        </w:rPr>
        <mc:AlternateContent>
          <mc:Choice Requires="wps">
            <w:drawing>
              <wp:anchor distT="0" distB="0" distL="114300" distR="114300" simplePos="0" relativeHeight="251760640" behindDoc="0" locked="0" layoutInCell="1" allowOverlap="1">
                <wp:simplePos x="0" y="0"/>
                <wp:positionH relativeFrom="column">
                  <wp:posOffset>7412355</wp:posOffset>
                </wp:positionH>
                <wp:positionV relativeFrom="paragraph">
                  <wp:posOffset>1941195</wp:posOffset>
                </wp:positionV>
                <wp:extent cx="283210" cy="222885"/>
                <wp:effectExtent l="0" t="0" r="0" b="0"/>
                <wp:wrapNone/>
                <wp:docPr id="386" name="文本框 386"/>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7</w:t>
                            </w:r>
                            <w:r>
                              <w:rPr>
                                <w:rFonts w:hint="eastAsia" w:ascii="黑体"/>
                                <w:b/>
                                <w:bCs/>
                                <w:color w:val="FF0000"/>
                                <w:sz w:val="22"/>
                                <w:szCs w:val="22"/>
                              </w:rPr>
                              <w:t>#</w:t>
                            </w:r>
                          </w:p>
                        </w:txbxContent>
                      </wps:txbx>
                      <wps:bodyPr lIns="0" tIns="0" rIns="0" bIns="0" upright="1"/>
                    </wps:wsp>
                  </a:graphicData>
                </a:graphic>
              </wp:anchor>
            </w:drawing>
          </mc:Choice>
          <mc:Fallback>
            <w:pict>
              <v:shape id="_x0000_s1026" o:spid="_x0000_s1026" o:spt="202" type="#_x0000_t202" style="position:absolute;left:0pt;margin-left:583.65pt;margin-top:152.85pt;height:17.55pt;width:22.3pt;z-index:251760640;mso-width-relative:page;mso-height-relative:page;" filled="f" stroked="f" coordsize="21600,21600" o:gfxdata="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PlBPDfbAAAADQEAAA8AAAAA&#10;AAAAAQAgAAAAIgAAAGRycy9kb3ducmV2LnhtbFBLAQIUABQAAAAIAIdO4kDY7iCqnwEAACcDAAAO&#10;AAAAAAAAAAEAIAAAACoBAABkcnMvZTJvRG9jLnhtbFBLBQYAAAAABgAGAFkBAAA7BQ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7</w:t>
                      </w:r>
                      <w:r>
                        <w:rPr>
                          <w:rFonts w:hint="eastAsia" w:ascii="黑体"/>
                          <w:b/>
                          <w:bCs/>
                          <w:color w:val="FF0000"/>
                          <w:sz w:val="22"/>
                          <w:szCs w:val="22"/>
                        </w:rPr>
                        <w:t>#</w:t>
                      </w:r>
                    </w:p>
                  </w:txbxContent>
                </v:textbox>
              </v:shape>
            </w:pict>
          </mc:Fallback>
        </mc:AlternateContent>
      </w:r>
      <w:r>
        <w:rPr>
          <w:rFonts w:hint="eastAsia" w:ascii="黑体" w:eastAsia="黑体"/>
          <w:color w:val="000000"/>
          <w:sz w:val="24"/>
        </w:rPr>
        <mc:AlternateContent>
          <mc:Choice Requires="wps">
            <w:drawing>
              <wp:anchor distT="0" distB="0" distL="114300" distR="114300" simplePos="0" relativeHeight="251758592" behindDoc="0" locked="0" layoutInCell="1" allowOverlap="1">
                <wp:simplePos x="0" y="0"/>
                <wp:positionH relativeFrom="column">
                  <wp:posOffset>6790055</wp:posOffset>
                </wp:positionH>
                <wp:positionV relativeFrom="paragraph">
                  <wp:posOffset>2385695</wp:posOffset>
                </wp:positionV>
                <wp:extent cx="283210" cy="222885"/>
                <wp:effectExtent l="0" t="0" r="0" b="0"/>
                <wp:wrapNone/>
                <wp:docPr id="385" name="文本框 385"/>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6</w:t>
                            </w:r>
                            <w:r>
                              <w:rPr>
                                <w:rFonts w:hint="eastAsia" w:ascii="黑体"/>
                                <w:b/>
                                <w:bCs/>
                                <w:color w:val="FF0000"/>
                                <w:sz w:val="22"/>
                                <w:szCs w:val="22"/>
                              </w:rPr>
                              <w:t>#</w:t>
                            </w:r>
                          </w:p>
                        </w:txbxContent>
                      </wps:txbx>
                      <wps:bodyPr lIns="0" tIns="0" rIns="0" bIns="0" upright="1"/>
                    </wps:wsp>
                  </a:graphicData>
                </a:graphic>
              </wp:anchor>
            </w:drawing>
          </mc:Choice>
          <mc:Fallback>
            <w:pict>
              <v:shape id="_x0000_s1026" o:spid="_x0000_s1026" o:spt="202" type="#_x0000_t202" style="position:absolute;left:0pt;margin-left:534.65pt;margin-top:187.85pt;height:17.55pt;width:22.3pt;z-index:251758592;mso-width-relative:page;mso-height-relative:page;" filled="f" stroked="f" coordsize="21600,21600" o:gfxdata="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GiTt8/bAAAADQEAAA8AAAAA&#10;AAAAAQAgAAAAIgAAAGRycy9kb3ducmV2LnhtbFBLAQIUABQAAAAIAIdO4kC1BPVynwEAACcDAAAO&#10;AAAAAAAAAAEAIAAAACoBAABkcnMvZTJvRG9jLnhtbFBLBQYAAAAABgAGAFkBAAA7BQ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6</w:t>
                      </w:r>
                      <w:r>
                        <w:rPr>
                          <w:rFonts w:hint="eastAsia" w:ascii="黑体"/>
                          <w:b/>
                          <w:bCs/>
                          <w:color w:val="FF0000"/>
                          <w:sz w:val="22"/>
                          <w:szCs w:val="22"/>
                        </w:rPr>
                        <w:t>#</w:t>
                      </w:r>
                    </w:p>
                  </w:txbxContent>
                </v:textbox>
              </v:shape>
            </w:pict>
          </mc:Fallback>
        </mc:AlternateContent>
      </w:r>
      <w:r>
        <w:rPr>
          <w:rFonts w:hint="eastAsia" w:ascii="黑体" w:eastAsia="黑体"/>
          <w:color w:val="000000"/>
          <w:sz w:val="24"/>
        </w:rPr>
        <mc:AlternateContent>
          <mc:Choice Requires="wps">
            <w:drawing>
              <wp:anchor distT="0" distB="0" distL="114300" distR="114300" simplePos="0" relativeHeight="251751424" behindDoc="0" locked="0" layoutInCell="1" allowOverlap="1">
                <wp:simplePos x="0" y="0"/>
                <wp:positionH relativeFrom="column">
                  <wp:posOffset>5786755</wp:posOffset>
                </wp:positionH>
                <wp:positionV relativeFrom="paragraph">
                  <wp:posOffset>3496945</wp:posOffset>
                </wp:positionV>
                <wp:extent cx="283210" cy="222885"/>
                <wp:effectExtent l="0" t="0" r="0" b="0"/>
                <wp:wrapNone/>
                <wp:docPr id="384" name="文本框 384"/>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5</w:t>
                            </w:r>
                            <w:r>
                              <w:rPr>
                                <w:rFonts w:hint="eastAsia" w:ascii="黑体"/>
                                <w:b/>
                                <w:bCs/>
                                <w:color w:val="FF0000"/>
                                <w:sz w:val="22"/>
                                <w:szCs w:val="22"/>
                              </w:rPr>
                              <w:t>#</w:t>
                            </w:r>
                          </w:p>
                        </w:txbxContent>
                      </wps:txbx>
                      <wps:bodyPr lIns="0" tIns="0" rIns="0" bIns="0" upright="1"/>
                    </wps:wsp>
                  </a:graphicData>
                </a:graphic>
              </wp:anchor>
            </w:drawing>
          </mc:Choice>
          <mc:Fallback>
            <w:pict>
              <v:shape id="_x0000_s1026" o:spid="_x0000_s1026" o:spt="202" type="#_x0000_t202" style="position:absolute;left:0pt;margin-left:455.65pt;margin-top:275.35pt;height:17.55pt;width:22.3pt;z-index:251751424;mso-width-relative:page;mso-height-relative:page;" filled="f" stroked="f" coordsize="21600,21600" o:gfxdata="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D/0oy9kAAAALAQAADwAAAAAA&#10;AAABACAAAAAiAAAAZHJzL2Rvd25yZXYueG1sUEsBAhQAFAAAAAgAh07iQFFfaYygAQAAJwMAAA4A&#10;AAAAAAAAAQAgAAAAKAEAAGRycy9lMm9Eb2MueG1sUEsFBgAAAAAGAAYAWQEAADoFA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5</w:t>
                      </w:r>
                      <w:r>
                        <w:rPr>
                          <w:rFonts w:hint="eastAsia" w:ascii="黑体"/>
                          <w:b/>
                          <w:bCs/>
                          <w:color w:val="FF0000"/>
                          <w:sz w:val="22"/>
                          <w:szCs w:val="22"/>
                        </w:rPr>
                        <w:t>#</w:t>
                      </w:r>
                    </w:p>
                  </w:txbxContent>
                </v:textbox>
              </v:shape>
            </w:pict>
          </mc:Fallback>
        </mc:AlternateContent>
      </w:r>
      <w:r>
        <w:rPr>
          <w:rFonts w:hint="eastAsia" w:ascii="黑体" w:eastAsia="黑体"/>
          <w:color w:val="000000"/>
          <w:sz w:val="24"/>
        </w:rPr>
        <mc:AlternateContent>
          <mc:Choice Requires="wps">
            <w:drawing>
              <wp:anchor distT="0" distB="0" distL="114300" distR="114300" simplePos="0" relativeHeight="251753472" behindDoc="0" locked="0" layoutInCell="1" allowOverlap="1">
                <wp:simplePos x="0" y="0"/>
                <wp:positionH relativeFrom="column">
                  <wp:posOffset>5056505</wp:posOffset>
                </wp:positionH>
                <wp:positionV relativeFrom="paragraph">
                  <wp:posOffset>2766695</wp:posOffset>
                </wp:positionV>
                <wp:extent cx="283210" cy="222885"/>
                <wp:effectExtent l="0" t="0" r="0" b="0"/>
                <wp:wrapNone/>
                <wp:docPr id="383" name="文本框 383"/>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4</w:t>
                            </w:r>
                            <w:r>
                              <w:rPr>
                                <w:rFonts w:hint="eastAsia" w:ascii="黑体"/>
                                <w:b/>
                                <w:bCs/>
                                <w:color w:val="FF0000"/>
                                <w:sz w:val="22"/>
                                <w:szCs w:val="22"/>
                              </w:rPr>
                              <w:t>#</w:t>
                            </w:r>
                          </w:p>
                        </w:txbxContent>
                      </wps:txbx>
                      <wps:bodyPr lIns="0" tIns="0" rIns="0" bIns="0" upright="1"/>
                    </wps:wsp>
                  </a:graphicData>
                </a:graphic>
              </wp:anchor>
            </w:drawing>
          </mc:Choice>
          <mc:Fallback>
            <w:pict>
              <v:shape id="_x0000_s1026" o:spid="_x0000_s1026" o:spt="202" type="#_x0000_t202" style="position:absolute;left:0pt;margin-left:398.15pt;margin-top:217.85pt;height:17.55pt;width:22.3pt;z-index:251753472;mso-width-relative:page;mso-height-relative:page;" filled="f" stroked="f" coordsize="21600,21600" o:gfxdata="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pg5/f9oAAAALAQAADwAAAAAA&#10;AAABACAAAAAiAAAAZHJzL2Rvd25yZXYueG1sUEsBAhQAFAAAAAgAh07iQC7WLxifAQAAJwMAAA4A&#10;AAAAAAAAAQAgAAAAKQEAAGRycy9lMm9Eb2MueG1sUEsFBgAAAAAGAAYAWQEAADoFA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4</w:t>
                      </w:r>
                      <w:r>
                        <w:rPr>
                          <w:rFonts w:hint="eastAsia" w:ascii="黑体"/>
                          <w:b/>
                          <w:bCs/>
                          <w:color w:val="FF0000"/>
                          <w:sz w:val="22"/>
                          <w:szCs w:val="22"/>
                        </w:rPr>
                        <w:t>#</w:t>
                      </w:r>
                    </w:p>
                  </w:txbxContent>
                </v:textbox>
              </v:shape>
            </w:pict>
          </mc:Fallback>
        </mc:AlternateContent>
      </w:r>
      <w:r>
        <w:rPr>
          <w:rFonts w:hint="eastAsia" w:ascii="黑体" w:eastAsia="黑体"/>
          <w:color w:val="000000"/>
          <w:sz w:val="24"/>
        </w:rPr>
        <mc:AlternateContent>
          <mc:Choice Requires="wps">
            <w:drawing>
              <wp:anchor distT="0" distB="0" distL="114300" distR="114300" simplePos="0" relativeHeight="251755520" behindDoc="0" locked="0" layoutInCell="1" allowOverlap="1">
                <wp:simplePos x="0" y="0"/>
                <wp:positionH relativeFrom="column">
                  <wp:posOffset>4510405</wp:posOffset>
                </wp:positionH>
                <wp:positionV relativeFrom="paragraph">
                  <wp:posOffset>1223645</wp:posOffset>
                </wp:positionV>
                <wp:extent cx="283210" cy="222885"/>
                <wp:effectExtent l="0" t="0" r="0" b="0"/>
                <wp:wrapNone/>
                <wp:docPr id="382" name="文本框 382"/>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3</w:t>
                            </w:r>
                            <w:r>
                              <w:rPr>
                                <w:rFonts w:hint="eastAsia" w:ascii="黑体"/>
                                <w:b/>
                                <w:bCs/>
                                <w:color w:val="FF0000"/>
                                <w:sz w:val="22"/>
                                <w:szCs w:val="22"/>
                              </w:rPr>
                              <w:t>#</w:t>
                            </w:r>
                          </w:p>
                        </w:txbxContent>
                      </wps:txbx>
                      <wps:bodyPr lIns="0" tIns="0" rIns="0" bIns="0" upright="1"/>
                    </wps:wsp>
                  </a:graphicData>
                </a:graphic>
              </wp:anchor>
            </w:drawing>
          </mc:Choice>
          <mc:Fallback>
            <w:pict>
              <v:shape id="_x0000_s1026" o:spid="_x0000_s1026" o:spt="202" type="#_x0000_t202" style="position:absolute;left:0pt;margin-left:355.15pt;margin-top:96.35pt;height:17.55pt;width:22.3pt;z-index:251755520;mso-width-relative:page;mso-height-relative:page;" filled="f" stroked="f" coordsize="21600,21600" o:gfxdata="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JRmiItoAAAALAQAADwAAAAAA&#10;AAABACAAAAAiAAAAZHJzL2Rvd25yZXYueG1sUEsBAhQAFAAAAAgAh07iQMqNs+afAQAAJwMAAA4A&#10;AAAAAAAAAQAgAAAAKQEAAGRycy9lMm9Eb2MueG1sUEsFBgAAAAAGAAYAWQEAADoFA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3</w:t>
                      </w:r>
                      <w:r>
                        <w:rPr>
                          <w:rFonts w:hint="eastAsia" w:ascii="黑体"/>
                          <w:b/>
                          <w:bCs/>
                          <w:color w:val="FF0000"/>
                          <w:sz w:val="22"/>
                          <w:szCs w:val="22"/>
                        </w:rPr>
                        <w:t>#</w:t>
                      </w:r>
                    </w:p>
                  </w:txbxContent>
                </v:textbox>
              </v:shape>
            </w:pict>
          </mc:Fallback>
        </mc:AlternateContent>
      </w:r>
      <w:r>
        <w:rPr>
          <w:rFonts w:hint="eastAsia" w:ascii="黑体" w:eastAsia="黑体"/>
          <w:color w:val="000000"/>
          <w:sz w:val="24"/>
        </w:rPr>
        <mc:AlternateContent>
          <mc:Choice Requires="wps">
            <w:drawing>
              <wp:anchor distT="0" distB="0" distL="114300" distR="114300" simplePos="0" relativeHeight="251757568" behindDoc="0" locked="0" layoutInCell="1" allowOverlap="1">
                <wp:simplePos x="0" y="0"/>
                <wp:positionH relativeFrom="column">
                  <wp:posOffset>5431155</wp:posOffset>
                </wp:positionH>
                <wp:positionV relativeFrom="paragraph">
                  <wp:posOffset>563245</wp:posOffset>
                </wp:positionV>
                <wp:extent cx="283210" cy="222885"/>
                <wp:effectExtent l="0" t="0" r="0" b="0"/>
                <wp:wrapNone/>
                <wp:docPr id="381" name="文本框 381"/>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2</w:t>
                            </w:r>
                            <w:r>
                              <w:rPr>
                                <w:rFonts w:hint="eastAsia" w:ascii="黑体"/>
                                <w:b/>
                                <w:bCs/>
                                <w:color w:val="FF0000"/>
                                <w:sz w:val="22"/>
                                <w:szCs w:val="22"/>
                              </w:rPr>
                              <w:t>#</w:t>
                            </w:r>
                          </w:p>
                        </w:txbxContent>
                      </wps:txbx>
                      <wps:bodyPr lIns="0" tIns="0" rIns="0" bIns="0" upright="1"/>
                    </wps:wsp>
                  </a:graphicData>
                </a:graphic>
              </wp:anchor>
            </w:drawing>
          </mc:Choice>
          <mc:Fallback>
            <w:pict>
              <v:shape id="_x0000_s1026" o:spid="_x0000_s1026" o:spt="202" type="#_x0000_t202" style="position:absolute;left:0pt;margin-left:427.65pt;margin-top:44.35pt;height:17.55pt;width:22.3pt;z-index:251757568;mso-width-relative:page;mso-height-relative:page;" filled="f" stroked="f" coordsize="21600,21600" o:gfxdata="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B/DRvt2QAAAAoBAAAPAAAAAAAA&#10;AAEAIAAAACIAAABkcnMvZG93bnJldi54bWxQSwECFAAUAAAACACHTuJAp2dmPp8BAAAnAwAADgAA&#10;AAAAAAABACAAAAAoAQAAZHJzL2Uyb0RvYy54bWxQSwUGAAAAAAYABgBZAQAAOQU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2</w:t>
                      </w:r>
                      <w:r>
                        <w:rPr>
                          <w:rFonts w:hint="eastAsia" w:ascii="黑体"/>
                          <w:b/>
                          <w:bCs/>
                          <w:color w:val="FF0000"/>
                          <w:sz w:val="22"/>
                          <w:szCs w:val="22"/>
                        </w:rPr>
                        <w:t>#</w:t>
                      </w:r>
                    </w:p>
                  </w:txbxContent>
                </v:textbox>
              </v:shape>
            </w:pict>
          </mc:Fallback>
        </mc:AlternateContent>
      </w:r>
      <w:r>
        <w:rPr>
          <w:sz w:val="24"/>
        </w:rPr>
        <mc:AlternateContent>
          <mc:Choice Requires="wps">
            <w:drawing>
              <wp:anchor distT="0" distB="0" distL="114300" distR="114300" simplePos="0" relativeHeight="251752448" behindDoc="0" locked="0" layoutInCell="1" allowOverlap="1">
                <wp:simplePos x="0" y="0"/>
                <wp:positionH relativeFrom="column">
                  <wp:posOffset>8205470</wp:posOffset>
                </wp:positionH>
                <wp:positionV relativeFrom="paragraph">
                  <wp:posOffset>986155</wp:posOffset>
                </wp:positionV>
                <wp:extent cx="85725" cy="87630"/>
                <wp:effectExtent l="13335" t="13335" r="15240" b="32385"/>
                <wp:wrapNone/>
                <wp:docPr id="380" name="菱形 380"/>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646.1pt;margin-top:77.65pt;height:6.9pt;width:6.75pt;z-index:251752448;mso-width-relative:page;mso-height-relative:page;" fillcolor="#FFFF00" filled="t" stroked="t" coordsize="21600,21600" o:gfxdata="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0ZiEjdAAAADQEAAA8AAAAAAAAAAQAgAAAAIgAAAGRycy9kb3ducmV2LnhtbFBLAQIUABQAAAAI&#10;AIdO4kDe3KLL6AEAANUDAAAOAAAAAAAAAAEAIAAAACwBAABkcnMvZTJvRG9jLnhtbFBLBQYAAAAA&#10;BgAGAFkBAACGBQAAAAA=&#10;">
                <v:fill on="t" focussize="0,0"/>
                <v:stroke weight="1.5pt" color="#FF0000" joinstyle="miter"/>
                <v:imagedata o:title=""/>
                <o:lock v:ext="edit" aspectratio="f"/>
              </v:shape>
            </w:pict>
          </mc:Fallback>
        </mc:AlternateContent>
      </w:r>
      <w:r>
        <w:rPr>
          <w:sz w:val="24"/>
        </w:rPr>
        <mc:AlternateContent>
          <mc:Choice Requires="wps">
            <w:drawing>
              <wp:anchor distT="0" distB="0" distL="114300" distR="114300" simplePos="0" relativeHeight="251754496" behindDoc="0" locked="0" layoutInCell="1" allowOverlap="1">
                <wp:simplePos x="0" y="0"/>
                <wp:positionH relativeFrom="column">
                  <wp:posOffset>7456170</wp:posOffset>
                </wp:positionH>
                <wp:positionV relativeFrom="paragraph">
                  <wp:posOffset>1805305</wp:posOffset>
                </wp:positionV>
                <wp:extent cx="85725" cy="87630"/>
                <wp:effectExtent l="13335" t="13335" r="15240" b="32385"/>
                <wp:wrapNone/>
                <wp:docPr id="379" name="菱形 379"/>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587.1pt;margin-top:142.15pt;height:6.9pt;width:6.75pt;z-index:251754496;mso-width-relative:page;mso-height-relative:page;" fillcolor="#FFFF00" filled="t" stroked="t" coordsize="21600,21600" o:gfxdata="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DlQR/d0AAAANAQAADwAAAAAAAAABACAAAAAiAAAAZHJzL2Rvd25yZXYueG1sUEsBAhQAFAAA&#10;AAgAh07iQMmuwxPqAQAA1QMAAA4AAAAAAAAAAQAgAAAALAEAAGRycy9lMm9Eb2MueG1sUEsFBgAA&#10;AAAGAAYAWQEAAIgFAAAAAA==&#10;">
                <v:fill on="t" focussize="0,0"/>
                <v:stroke weight="1.5pt" color="#FF0000" joinstyle="miter"/>
                <v:imagedata o:title=""/>
                <o:lock v:ext="edit" aspectratio="f"/>
              </v:shape>
            </w:pict>
          </mc:Fallback>
        </mc:AlternateContent>
      </w:r>
      <w:r>
        <w:rPr>
          <w:sz w:val="24"/>
        </w:rPr>
        <mc:AlternateContent>
          <mc:Choice Requires="wps">
            <w:drawing>
              <wp:anchor distT="0" distB="0" distL="114300" distR="114300" simplePos="0" relativeHeight="251756544" behindDoc="0" locked="0" layoutInCell="1" allowOverlap="1">
                <wp:simplePos x="0" y="0"/>
                <wp:positionH relativeFrom="column">
                  <wp:posOffset>6656070</wp:posOffset>
                </wp:positionH>
                <wp:positionV relativeFrom="paragraph">
                  <wp:posOffset>2332355</wp:posOffset>
                </wp:positionV>
                <wp:extent cx="85725" cy="87630"/>
                <wp:effectExtent l="13335" t="13335" r="15240" b="32385"/>
                <wp:wrapNone/>
                <wp:docPr id="378" name="菱形 378"/>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524.1pt;margin-top:183.65pt;height:6.9pt;width:6.75pt;z-index:251756544;mso-width-relative:page;mso-height-relative:page;" fillcolor="#FFFF00" filled="t" stroked="t" coordsize="21600,21600" o:gfxdata="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84/q53QAAAA0BAAAPAAAAAAAAAAEAIAAAACIAAABkcnMvZG93bnJldi54bWxQSwECFAAUAAAA&#10;CACHTuJADaRpi+kBAADVAwAADgAAAAAAAAABACAAAAAsAQAAZHJzL2Uyb0RvYy54bWxQSwUGAAAA&#10;AAYABgBZAQAAhwUAAAAA&#10;">
                <v:fill on="t" focussize="0,0"/>
                <v:stroke weight="1.5pt" color="#FF0000" joinstyle="miter"/>
                <v:imagedata o:title=""/>
                <o:lock v:ext="edit" aspectratio="f"/>
              </v:shape>
            </w:pict>
          </mc:Fallback>
        </mc:AlternateContent>
      </w:r>
      <w:r>
        <w:rPr>
          <w:sz w:val="24"/>
        </w:rPr>
        <mc:AlternateContent>
          <mc:Choice Requires="wps">
            <w:drawing>
              <wp:anchor distT="0" distB="0" distL="114300" distR="114300" simplePos="0" relativeHeight="251750400" behindDoc="0" locked="0" layoutInCell="1" allowOverlap="1">
                <wp:simplePos x="0" y="0"/>
                <wp:positionH relativeFrom="column">
                  <wp:posOffset>5836920</wp:posOffset>
                </wp:positionH>
                <wp:positionV relativeFrom="paragraph">
                  <wp:posOffset>3386455</wp:posOffset>
                </wp:positionV>
                <wp:extent cx="85725" cy="87630"/>
                <wp:effectExtent l="13335" t="13335" r="15240" b="32385"/>
                <wp:wrapNone/>
                <wp:docPr id="377" name="菱形 377"/>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459.6pt;margin-top:266.65pt;height:6.9pt;width:6.75pt;z-index:251750400;mso-width-relative:page;mso-height-relative:page;" fillcolor="#FFFF00" filled="t" stroked="t" coordsize="21600,21600" o:gfxdata="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UByBPcAAAACwEAAA8AAAAAAAAAAQAgAAAAIgAAAGRycy9kb3ducmV2LnhtbFBLAQIUABQAAAAI&#10;AIdO4kB136vo6QEAANUDAAAOAAAAAAAAAAEAIAAAACsBAABkcnMvZTJvRG9jLnhtbFBLBQYAAAAA&#10;BgAGAFkBAACGBQAAAAA=&#10;">
                <v:fill on="t" focussize="0,0"/>
                <v:stroke weight="1.5pt" color="#FF0000" joinstyle="miter"/>
                <v:imagedata o:title=""/>
                <o:lock v:ext="edit" aspectratio="f"/>
              </v:shape>
            </w:pict>
          </mc:Fallback>
        </mc:AlternateContent>
      </w:r>
      <w:r>
        <w:rPr>
          <w:sz w:val="24"/>
        </w:rPr>
        <mc:AlternateContent>
          <mc:Choice Requires="wps">
            <w:drawing>
              <wp:anchor distT="0" distB="0" distL="114300" distR="114300" simplePos="0" relativeHeight="251749376" behindDoc="0" locked="0" layoutInCell="1" allowOverlap="1">
                <wp:simplePos x="0" y="0"/>
                <wp:positionH relativeFrom="column">
                  <wp:posOffset>5360670</wp:posOffset>
                </wp:positionH>
                <wp:positionV relativeFrom="paragraph">
                  <wp:posOffset>2859405</wp:posOffset>
                </wp:positionV>
                <wp:extent cx="85725" cy="87630"/>
                <wp:effectExtent l="13335" t="13335" r="15240" b="32385"/>
                <wp:wrapNone/>
                <wp:docPr id="376" name="菱形 376"/>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422.1pt;margin-top:225.15pt;height:6.9pt;width:6.75pt;z-index:251749376;mso-width-relative:page;mso-height-relative:page;" fillcolor="#FFFF00" filled="t" stroked="t" coordsize="21600,21600" o:gfxdata="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kmkLM3QAAAAsBAAAPAAAAAAAAAAEAIAAAACIAAABkcnMvZG93bnJldi54bWxQSwECFAAUAAAA&#10;CACHTuJAsdUBcOkBAADVAwAADgAAAAAAAAABACAAAAAsAQAAZHJzL2Uyb0RvYy54bWxQSwUGAAAA&#10;AAYABgBZAQAAhwUAAAAA&#10;">
                <v:fill on="t" focussize="0,0"/>
                <v:stroke weight="1.5pt" color="#FF0000" joinstyle="miter"/>
                <v:imagedata o:title=""/>
                <o:lock v:ext="edit" aspectratio="f"/>
              </v:shape>
            </w:pict>
          </mc:Fallback>
        </mc:AlternateContent>
      </w:r>
      <w:r>
        <w:rPr>
          <w:sz w:val="24"/>
        </w:rPr>
        <mc:AlternateContent>
          <mc:Choice Requires="wps">
            <w:drawing>
              <wp:anchor distT="0" distB="0" distL="114300" distR="114300" simplePos="0" relativeHeight="251748352" behindDoc="0" locked="0" layoutInCell="1" allowOverlap="1">
                <wp:simplePos x="0" y="0"/>
                <wp:positionH relativeFrom="column">
                  <wp:posOffset>4751070</wp:posOffset>
                </wp:positionH>
                <wp:positionV relativeFrom="paragraph">
                  <wp:posOffset>1494155</wp:posOffset>
                </wp:positionV>
                <wp:extent cx="85725" cy="87630"/>
                <wp:effectExtent l="13335" t="13335" r="15240" b="32385"/>
                <wp:wrapNone/>
                <wp:docPr id="375" name="菱形 375"/>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374.1pt;margin-top:117.65pt;height:6.9pt;width:6.75pt;z-index:251748352;mso-width-relative:page;mso-height-relative:page;" fillcolor="#FFFF00" filled="t" stroked="t" coordsize="21600,21600" o:gfxdata="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eYFqh3QAAAAsBAAAPAAAAAAAAAAEAIAAAACIAAABkcnMvZG93bnJldi54bWxQSwECFAAUAAAA&#10;CACHTuJAvMyOAukBAADVAwAADgAAAAAAAAABACAAAAAsAQAAZHJzL2Uyb0RvYy54bWxQSwUGAAAA&#10;AAYABgBZAQAAhwUAAAAA&#10;">
                <v:fill on="t" focussize="0,0"/>
                <v:stroke weight="1.5pt" color="#FF0000" joinstyle="miter"/>
                <v:imagedata o:title=""/>
                <o:lock v:ext="edit" aspectratio="f"/>
              </v:shape>
            </w:pict>
          </mc:Fallback>
        </mc:AlternateContent>
      </w:r>
      <w:r>
        <w:rPr>
          <w:sz w:val="24"/>
        </w:rPr>
        <mc:AlternateContent>
          <mc:Choice Requires="wps">
            <w:drawing>
              <wp:anchor distT="0" distB="0" distL="114300" distR="114300" simplePos="0" relativeHeight="251747328" behindDoc="0" locked="0" layoutInCell="1" allowOverlap="1">
                <wp:simplePos x="0" y="0"/>
                <wp:positionH relativeFrom="column">
                  <wp:posOffset>5335270</wp:posOffset>
                </wp:positionH>
                <wp:positionV relativeFrom="paragraph">
                  <wp:posOffset>770255</wp:posOffset>
                </wp:positionV>
                <wp:extent cx="85725" cy="87630"/>
                <wp:effectExtent l="13335" t="13335" r="15240" b="32385"/>
                <wp:wrapNone/>
                <wp:docPr id="374" name="菱形 374"/>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420.1pt;margin-top:60.65pt;height:6.9pt;width:6.75pt;z-index:251747328;mso-width-relative:page;mso-height-relative:page;" fillcolor="#FFFF00" filled="t" stroked="t" coordsize="21600,21600" o:gfxdata="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KeA94bcAAAACwEAAA8AAAAAAAAAAQAgAAAAIgAAAGRycy9kb3ducmV2LnhtbFBLAQIUABQAAAAI&#10;AIdO4kB4xiSa6QEAANUDAAAOAAAAAAAAAAEAIAAAACsBAABkcnMvZTJvRG9jLnhtbFBLBQYAAAAA&#10;BgAGAFkBAACGBQAAAAA=&#10;">
                <v:fill on="t" focussize="0,0"/>
                <v:stroke weight="1.5pt" color="#FF0000" joinstyle="miter"/>
                <v:imagedata o:title=""/>
                <o:lock v:ext="edit" aspectratio="f"/>
              </v:shape>
            </w:pict>
          </mc:Fallback>
        </mc:AlternateContent>
      </w:r>
      <w:r>
        <w:rPr>
          <w:rFonts w:hint="eastAsia" w:ascii="黑体" w:eastAsia="黑体"/>
          <w:color w:val="000000"/>
          <w:sz w:val="24"/>
        </w:rPr>
        <mc:AlternateContent>
          <mc:Choice Requires="wps">
            <w:drawing>
              <wp:anchor distT="0" distB="0" distL="114300" distR="114300" simplePos="0" relativeHeight="251746304" behindDoc="0" locked="0" layoutInCell="1" allowOverlap="1">
                <wp:simplePos x="0" y="0"/>
                <wp:positionH relativeFrom="column">
                  <wp:posOffset>7279005</wp:posOffset>
                </wp:positionH>
                <wp:positionV relativeFrom="paragraph">
                  <wp:posOffset>175895</wp:posOffset>
                </wp:positionV>
                <wp:extent cx="283210" cy="222885"/>
                <wp:effectExtent l="0" t="0" r="0" b="0"/>
                <wp:wrapNone/>
                <wp:docPr id="373" name="文本框 373"/>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rPr>
                              <w:t>1#</w:t>
                            </w:r>
                          </w:p>
                        </w:txbxContent>
                      </wps:txbx>
                      <wps:bodyPr lIns="0" tIns="0" rIns="0" bIns="0" upright="1"/>
                    </wps:wsp>
                  </a:graphicData>
                </a:graphic>
              </wp:anchor>
            </w:drawing>
          </mc:Choice>
          <mc:Fallback>
            <w:pict>
              <v:shape id="_x0000_s1026" o:spid="_x0000_s1026" o:spt="202" type="#_x0000_t202" style="position:absolute;left:0pt;margin-left:573.15pt;margin-top:13.85pt;height:17.55pt;width:22.3pt;z-index:251746304;mso-width-relative:page;mso-height-relative:page;" filled="f" stroked="f" coordsize="21600,21600" o:gfxdata="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7V8vXdkAAAALAQAADwAAAAAA&#10;AAABACAAAAAiAAAAZHJzL2Rvd25yZXYueG1sUEsBAhQAFAAAAAgAh07iQB0+m+SgAQAAJwMAAA4A&#10;AAAAAAAAAQAgAAAAKAEAAGRycy9lMm9Eb2MueG1sUEsFBgAAAAAGAAYAWQEAADoFA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rPr>
                        <w:t>1#</w:t>
                      </w:r>
                    </w:p>
                  </w:txbxContent>
                </v:textbox>
              </v:shape>
            </w:pict>
          </mc:Fallback>
        </mc:AlternateContent>
      </w:r>
      <w:r>
        <w:rPr>
          <w:sz w:val="24"/>
        </w:rPr>
        <mc:AlternateContent>
          <mc:Choice Requires="wps">
            <w:drawing>
              <wp:anchor distT="0" distB="0" distL="114300" distR="114300" simplePos="0" relativeHeight="251745280" behindDoc="0" locked="0" layoutInCell="1" allowOverlap="1">
                <wp:simplePos x="0" y="0"/>
                <wp:positionH relativeFrom="column">
                  <wp:posOffset>7608570</wp:posOffset>
                </wp:positionH>
                <wp:positionV relativeFrom="paragraph">
                  <wp:posOffset>224155</wp:posOffset>
                </wp:positionV>
                <wp:extent cx="85725" cy="87630"/>
                <wp:effectExtent l="13335" t="13335" r="15240" b="32385"/>
                <wp:wrapNone/>
                <wp:docPr id="372" name="菱形 372"/>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599.1pt;margin-top:17.65pt;height:6.9pt;width:6.75pt;z-index:251745280;mso-width-relative:page;mso-height-relative:page;" fillcolor="#FFFF00" filled="t" stroked="t" coordsize="21600,21600" o:gfxdata="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PCkB6/cAAAACwEAAA8AAAAAAAAAAQAgAAAAIgAAAGRycy9kb3ducmV2LnhtbFBLAQIUABQAAAAI&#10;AIdO4kBi9Dp/6QEAANUDAAAOAAAAAAAAAAEAIAAAACsBAABkcnMvZTJvRG9jLnhtbFBLBQYAAAAA&#10;BgAGAFkBAACGBQAAAAA=&#10;">
                <v:fill on="t" focussize="0,0"/>
                <v:stroke weight="1.5pt" color="#FF0000" joinstyle="miter"/>
                <v:imagedata o:title=""/>
                <o:lock v:ext="edit" aspectratio="f"/>
              </v:shape>
            </w:pict>
          </mc:Fallback>
        </mc:AlternateContent>
      </w:r>
      <w:r>
        <w:rPr>
          <w:rFonts w:hint="eastAsia" w:ascii="黑体" w:eastAsia="黑体"/>
          <w:color w:val="000000"/>
          <w:sz w:val="24"/>
        </w:rPr>
        <mc:AlternateContent>
          <mc:Choice Requires="wps">
            <w:drawing>
              <wp:anchor distT="0" distB="0" distL="114300" distR="114300" simplePos="0" relativeHeight="251744256" behindDoc="0" locked="0" layoutInCell="1" allowOverlap="1">
                <wp:simplePos x="0" y="0"/>
                <wp:positionH relativeFrom="column">
                  <wp:posOffset>1906905</wp:posOffset>
                </wp:positionH>
                <wp:positionV relativeFrom="paragraph">
                  <wp:posOffset>1471295</wp:posOffset>
                </wp:positionV>
                <wp:extent cx="283210" cy="222885"/>
                <wp:effectExtent l="0" t="0" r="0" b="0"/>
                <wp:wrapNone/>
                <wp:docPr id="371" name="文本框 371"/>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6</w:t>
                            </w:r>
                            <w:r>
                              <w:rPr>
                                <w:rFonts w:hint="eastAsia" w:ascii="黑体"/>
                                <w:b/>
                                <w:bCs/>
                                <w:color w:val="FF0000"/>
                                <w:sz w:val="22"/>
                                <w:szCs w:val="22"/>
                              </w:rPr>
                              <w:t>#</w:t>
                            </w:r>
                          </w:p>
                        </w:txbxContent>
                      </wps:txbx>
                      <wps:bodyPr lIns="0" tIns="0" rIns="0" bIns="0" upright="1"/>
                    </wps:wsp>
                  </a:graphicData>
                </a:graphic>
              </wp:anchor>
            </w:drawing>
          </mc:Choice>
          <mc:Fallback>
            <w:pict>
              <v:shape id="_x0000_s1026" o:spid="_x0000_s1026" o:spt="202" type="#_x0000_t202" style="position:absolute;left:0pt;margin-left:150.15pt;margin-top:115.85pt;height:17.55pt;width:22.3pt;z-index:251744256;mso-width-relative:page;mso-height-relative:page;" filled="f" stroked="f" coordsize="21600,21600" o:gfxdata="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PHMHNzaAAAACwEAAA8AAAAA&#10;AAAAAQAgAAAAIgAAAGRycy9kb3ducmV2LnhtbFBLAQIUABQAAAAIAIdO4kCUj9LCoAEAACcDAAAO&#10;AAAAAAAAAAEAIAAAACkBAABkcnMvZTJvRG9jLnhtbFBLBQYAAAAABgAGAFkBAAA7BQ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6</w:t>
                      </w:r>
                      <w:r>
                        <w:rPr>
                          <w:rFonts w:hint="eastAsia" w:ascii="黑体"/>
                          <w:b/>
                          <w:bCs/>
                          <w:color w:val="FF0000"/>
                          <w:sz w:val="22"/>
                          <w:szCs w:val="22"/>
                        </w:rPr>
                        <w:t>#</w:t>
                      </w:r>
                    </w:p>
                  </w:txbxContent>
                </v:textbox>
              </v:shape>
            </w:pict>
          </mc:Fallback>
        </mc:AlternateContent>
      </w:r>
      <w:r>
        <w:rPr>
          <w:rFonts w:hint="eastAsia" w:ascii="黑体" w:eastAsia="黑体"/>
          <w:color w:val="000000"/>
          <w:sz w:val="24"/>
        </w:rPr>
        <mc:AlternateContent>
          <mc:Choice Requires="wps">
            <w:drawing>
              <wp:anchor distT="0" distB="0" distL="114300" distR="114300" simplePos="0" relativeHeight="251743232" behindDoc="0" locked="0" layoutInCell="1" allowOverlap="1">
                <wp:simplePos x="0" y="0"/>
                <wp:positionH relativeFrom="column">
                  <wp:posOffset>1951355</wp:posOffset>
                </wp:positionH>
                <wp:positionV relativeFrom="paragraph">
                  <wp:posOffset>2474595</wp:posOffset>
                </wp:positionV>
                <wp:extent cx="283210" cy="222885"/>
                <wp:effectExtent l="0" t="0" r="0" b="0"/>
                <wp:wrapNone/>
                <wp:docPr id="370" name="文本框 370"/>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5</w:t>
                            </w:r>
                            <w:r>
                              <w:rPr>
                                <w:rFonts w:hint="eastAsia" w:ascii="黑体"/>
                                <w:b/>
                                <w:bCs/>
                                <w:color w:val="FF0000"/>
                                <w:sz w:val="22"/>
                                <w:szCs w:val="22"/>
                              </w:rPr>
                              <w:t>#</w:t>
                            </w:r>
                          </w:p>
                        </w:txbxContent>
                      </wps:txbx>
                      <wps:bodyPr lIns="0" tIns="0" rIns="0" bIns="0" upright="1"/>
                    </wps:wsp>
                  </a:graphicData>
                </a:graphic>
              </wp:anchor>
            </w:drawing>
          </mc:Choice>
          <mc:Fallback>
            <w:pict>
              <v:shape id="_x0000_s1026" o:spid="_x0000_s1026" o:spt="202" type="#_x0000_t202" style="position:absolute;left:0pt;margin-left:153.65pt;margin-top:194.85pt;height:17.55pt;width:22.3pt;z-index:251743232;mso-width-relative:page;mso-height-relative:page;" filled="f" stroked="f" coordsize="21600,21600" o:gfxdata="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GCpqGnbAAAACwEAAA8AAAAA&#10;AAAAAQAgAAAAIgAAAGRycy9kb3ducmV2LnhtbFBLAQIUABQAAAAIAIdO4kBw1E48nwEAACcDAAAO&#10;AAAAAAAAAAEAIAAAACoBAABkcnMvZTJvRG9jLnhtbFBLBQYAAAAABgAGAFkBAAA7BQ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5</w:t>
                      </w:r>
                      <w:r>
                        <w:rPr>
                          <w:rFonts w:hint="eastAsia" w:ascii="黑体"/>
                          <w:b/>
                          <w:bCs/>
                          <w:color w:val="FF0000"/>
                          <w:sz w:val="22"/>
                          <w:szCs w:val="22"/>
                        </w:rPr>
                        <w:t>#</w:t>
                      </w:r>
                    </w:p>
                  </w:txbxContent>
                </v:textbox>
              </v:shape>
            </w:pict>
          </mc:Fallback>
        </mc:AlternateContent>
      </w:r>
      <w:r>
        <w:rPr>
          <w:rFonts w:hint="eastAsia" w:ascii="黑体" w:eastAsia="黑体"/>
          <w:color w:val="000000"/>
          <w:sz w:val="24"/>
        </w:rPr>
        <mc:AlternateContent>
          <mc:Choice Requires="wps">
            <w:drawing>
              <wp:anchor distT="0" distB="0" distL="114300" distR="114300" simplePos="0" relativeHeight="251742208" behindDoc="0" locked="0" layoutInCell="1" allowOverlap="1">
                <wp:simplePos x="0" y="0"/>
                <wp:positionH relativeFrom="column">
                  <wp:posOffset>1144905</wp:posOffset>
                </wp:positionH>
                <wp:positionV relativeFrom="paragraph">
                  <wp:posOffset>3554095</wp:posOffset>
                </wp:positionV>
                <wp:extent cx="283210" cy="222885"/>
                <wp:effectExtent l="0" t="0" r="0" b="0"/>
                <wp:wrapNone/>
                <wp:docPr id="369" name="文本框 369"/>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4</w:t>
                            </w:r>
                            <w:r>
                              <w:rPr>
                                <w:rFonts w:hint="eastAsia" w:ascii="黑体"/>
                                <w:b/>
                                <w:bCs/>
                                <w:color w:val="FF0000"/>
                                <w:sz w:val="22"/>
                                <w:szCs w:val="22"/>
                              </w:rPr>
                              <w:t>#</w:t>
                            </w:r>
                          </w:p>
                        </w:txbxContent>
                      </wps:txbx>
                      <wps:bodyPr lIns="0" tIns="0" rIns="0" bIns="0" upright="1"/>
                    </wps:wsp>
                  </a:graphicData>
                </a:graphic>
              </wp:anchor>
            </w:drawing>
          </mc:Choice>
          <mc:Fallback>
            <w:pict>
              <v:shape id="_x0000_s1026" o:spid="_x0000_s1026" o:spt="202" type="#_x0000_t202" style="position:absolute;left:0pt;margin-left:90.15pt;margin-top:279.85pt;height:17.55pt;width:22.3pt;z-index:251742208;mso-width-relative:page;mso-height-relative:page;" filled="f" stroked="f" coordsize="21600,21600" o:gfxdata="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EKnn3raAAAACwEAAA8AAAAA&#10;AAAAAQAgAAAAIgAAAGRycy9kb3ducmV2LnhtbFBLAQIUABQAAAAIAIdO4kCK8238oAEAACcDAAAO&#10;AAAAAAAAAAEAIAAAACkBAABkcnMvZTJvRG9jLnhtbFBLBQYAAAAABgAGAFkBAAA7BQ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4</w:t>
                      </w:r>
                      <w:r>
                        <w:rPr>
                          <w:rFonts w:hint="eastAsia" w:ascii="黑体"/>
                          <w:b/>
                          <w:bCs/>
                          <w:color w:val="FF0000"/>
                          <w:sz w:val="22"/>
                          <w:szCs w:val="22"/>
                        </w:rPr>
                        <w:t>#</w:t>
                      </w:r>
                    </w:p>
                  </w:txbxContent>
                </v:textbox>
              </v:shape>
            </w:pict>
          </mc:Fallback>
        </mc:AlternateContent>
      </w:r>
      <w:r>
        <w:rPr>
          <w:rFonts w:hint="eastAsia" w:ascii="黑体" w:eastAsia="黑体"/>
          <w:color w:val="000000"/>
          <w:sz w:val="24"/>
        </w:rPr>
        <mc:AlternateContent>
          <mc:Choice Requires="wps">
            <w:drawing>
              <wp:anchor distT="0" distB="0" distL="114300" distR="114300" simplePos="0" relativeHeight="251741184" behindDoc="0" locked="0" layoutInCell="1" allowOverlap="1">
                <wp:simplePos x="0" y="0"/>
                <wp:positionH relativeFrom="column">
                  <wp:posOffset>751205</wp:posOffset>
                </wp:positionH>
                <wp:positionV relativeFrom="paragraph">
                  <wp:posOffset>2449195</wp:posOffset>
                </wp:positionV>
                <wp:extent cx="283210" cy="222885"/>
                <wp:effectExtent l="0" t="0" r="0" b="0"/>
                <wp:wrapNone/>
                <wp:docPr id="368" name="文本框 368"/>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3</w:t>
                            </w:r>
                            <w:r>
                              <w:rPr>
                                <w:rFonts w:hint="eastAsia" w:ascii="黑体"/>
                                <w:b/>
                                <w:bCs/>
                                <w:color w:val="FF0000"/>
                                <w:sz w:val="22"/>
                                <w:szCs w:val="22"/>
                              </w:rPr>
                              <w:t>#</w:t>
                            </w:r>
                          </w:p>
                        </w:txbxContent>
                      </wps:txbx>
                      <wps:bodyPr lIns="0" tIns="0" rIns="0" bIns="0" upright="1"/>
                    </wps:wsp>
                  </a:graphicData>
                </a:graphic>
              </wp:anchor>
            </w:drawing>
          </mc:Choice>
          <mc:Fallback>
            <w:pict>
              <v:shape id="_x0000_s1026" o:spid="_x0000_s1026" o:spt="202" type="#_x0000_t202" style="position:absolute;left:0pt;margin-left:59.15pt;margin-top:192.85pt;height:17.55pt;width:22.3pt;z-index:251741184;mso-width-relative:page;mso-height-relative:page;" filled="f" stroked="f" coordsize="21600,21600" o:gfxdata="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BZD7b32QAAAAsBAAAPAAAAAAAA&#10;AAEAIAAAACIAAABkcnMvZG93bnJldi54bWxQSwECFAAUAAAACACHTuJAbqjxAp8BAAAnAwAADgAA&#10;AAAAAAABACAAAAAoAQAAZHJzL2Uyb0RvYy54bWxQSwUGAAAAAAYABgBZAQAAOQU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3</w:t>
                      </w:r>
                      <w:r>
                        <w:rPr>
                          <w:rFonts w:hint="eastAsia" w:ascii="黑体"/>
                          <w:b/>
                          <w:bCs/>
                          <w:color w:val="FF0000"/>
                          <w:sz w:val="22"/>
                          <w:szCs w:val="22"/>
                        </w:rPr>
                        <w:t>#</w:t>
                      </w:r>
                    </w:p>
                  </w:txbxContent>
                </v:textbox>
              </v:shape>
            </w:pict>
          </mc:Fallback>
        </mc:AlternateContent>
      </w:r>
      <w:r>
        <w:rPr>
          <w:rFonts w:hint="eastAsia" w:ascii="黑体" w:eastAsia="黑体"/>
          <w:color w:val="000000"/>
          <w:sz w:val="24"/>
        </w:rPr>
        <mc:AlternateContent>
          <mc:Choice Requires="wps">
            <w:drawing>
              <wp:anchor distT="0" distB="0" distL="114300" distR="114300" simplePos="0" relativeHeight="251740160" behindDoc="0" locked="0" layoutInCell="1" allowOverlap="1">
                <wp:simplePos x="0" y="0"/>
                <wp:positionH relativeFrom="column">
                  <wp:posOffset>814705</wp:posOffset>
                </wp:positionH>
                <wp:positionV relativeFrom="paragraph">
                  <wp:posOffset>1547495</wp:posOffset>
                </wp:positionV>
                <wp:extent cx="283210" cy="222885"/>
                <wp:effectExtent l="0" t="0" r="0" b="0"/>
                <wp:wrapNone/>
                <wp:docPr id="367" name="文本框 367"/>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2</w:t>
                            </w:r>
                            <w:r>
                              <w:rPr>
                                <w:rFonts w:hint="eastAsia" w:ascii="黑体"/>
                                <w:b/>
                                <w:bCs/>
                                <w:color w:val="FF0000"/>
                                <w:sz w:val="22"/>
                                <w:szCs w:val="22"/>
                              </w:rPr>
                              <w:t>#</w:t>
                            </w:r>
                          </w:p>
                        </w:txbxContent>
                      </wps:txbx>
                      <wps:bodyPr lIns="0" tIns="0" rIns="0" bIns="0" upright="1"/>
                    </wps:wsp>
                  </a:graphicData>
                </a:graphic>
              </wp:anchor>
            </w:drawing>
          </mc:Choice>
          <mc:Fallback>
            <w:pict>
              <v:shape id="_x0000_s1026" o:spid="_x0000_s1026" o:spt="202" type="#_x0000_t202" style="position:absolute;left:0pt;margin-left:64.15pt;margin-top:121.85pt;height:17.55pt;width:22.3pt;z-index:251740160;mso-width-relative:page;mso-height-relative:page;" filled="f" stroked="f" coordsize="21600,21600" o:gfxdata="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MU/FyPaAAAACwEAAA8AAAAA&#10;AAAAAQAgAAAAIgAAAGRycy9kb3ducmV2LnhtbFBLAQIUABQAAAAIAIdO4kA155EPoAEAACcDAAAO&#10;AAAAAAAAAAEAIAAAACkBAABkcnMvZTJvRG9jLnhtbFBLBQYAAAAABgAGAFkBAAA7BQ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lang w:val="en-US" w:eastAsia="zh-CN"/>
                        </w:rPr>
                        <w:t>2</w:t>
                      </w:r>
                      <w:r>
                        <w:rPr>
                          <w:rFonts w:hint="eastAsia" w:ascii="黑体"/>
                          <w:b/>
                          <w:bCs/>
                          <w:color w:val="FF0000"/>
                          <w:sz w:val="22"/>
                          <w:szCs w:val="22"/>
                        </w:rPr>
                        <w:t>#</w:t>
                      </w:r>
                    </w:p>
                  </w:txbxContent>
                </v:textbox>
              </v:shape>
            </w:pict>
          </mc:Fallback>
        </mc:AlternateContent>
      </w:r>
      <w:r>
        <w:rPr>
          <w:rFonts w:hint="eastAsia" w:ascii="黑体" w:eastAsia="黑体"/>
          <w:color w:val="000000"/>
          <w:sz w:val="24"/>
        </w:rPr>
        <mc:AlternateContent>
          <mc:Choice Requires="wps">
            <w:drawing>
              <wp:anchor distT="0" distB="0" distL="114300" distR="114300" simplePos="0" relativeHeight="251737088" behindDoc="0" locked="0" layoutInCell="1" allowOverlap="1">
                <wp:simplePos x="0" y="0"/>
                <wp:positionH relativeFrom="column">
                  <wp:posOffset>1310005</wp:posOffset>
                </wp:positionH>
                <wp:positionV relativeFrom="paragraph">
                  <wp:posOffset>1090295</wp:posOffset>
                </wp:positionV>
                <wp:extent cx="283210" cy="222885"/>
                <wp:effectExtent l="0" t="0" r="0" b="0"/>
                <wp:wrapNone/>
                <wp:docPr id="366" name="文本框 366"/>
                <wp:cNvGraphicFramePr/>
                <a:graphic xmlns:a="http://schemas.openxmlformats.org/drawingml/2006/main">
                  <a:graphicData uri="http://schemas.microsoft.com/office/word/2010/wordprocessingShape">
                    <wps:wsp>
                      <wps:cNvSpPr txBox="1"/>
                      <wps:spPr>
                        <a:xfrm>
                          <a:off x="0" y="0"/>
                          <a:ext cx="283210" cy="222885"/>
                        </a:xfrm>
                        <a:prstGeom prst="rect">
                          <a:avLst/>
                        </a:prstGeom>
                        <a:noFill/>
                        <a:ln>
                          <a:noFill/>
                        </a:ln>
                      </wps:spPr>
                      <wps:txbx>
                        <w:txbxContent>
                          <w:p>
                            <w:pPr>
                              <w:snapToGrid w:val="0"/>
                              <w:jc w:val="center"/>
                              <w:rPr>
                                <w:rFonts w:hint="eastAsia" w:ascii="黑体"/>
                                <w:b/>
                                <w:bCs/>
                                <w:color w:val="FF0000"/>
                                <w:sz w:val="22"/>
                                <w:szCs w:val="22"/>
                              </w:rPr>
                            </w:pPr>
                            <w:r>
                              <w:rPr>
                                <w:rFonts w:hint="eastAsia" w:ascii="黑体"/>
                                <w:b/>
                                <w:bCs/>
                                <w:color w:val="FF0000"/>
                                <w:sz w:val="22"/>
                                <w:szCs w:val="22"/>
                              </w:rPr>
                              <w:t>1#</w:t>
                            </w:r>
                          </w:p>
                        </w:txbxContent>
                      </wps:txbx>
                      <wps:bodyPr lIns="0" tIns="0" rIns="0" bIns="0" upright="1"/>
                    </wps:wsp>
                  </a:graphicData>
                </a:graphic>
              </wp:anchor>
            </w:drawing>
          </mc:Choice>
          <mc:Fallback>
            <w:pict>
              <v:shape id="_x0000_s1026" o:spid="_x0000_s1026" o:spt="202" type="#_x0000_t202" style="position:absolute;left:0pt;margin-left:103.15pt;margin-top:85.85pt;height:17.55pt;width:22.3pt;z-index:251737088;mso-width-relative:page;mso-height-relative:page;" filled="f" stroked="f" coordsize="21600,21600" o:gfxdata="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BeKh6n2AAAAAsBAAAPAAAAAAAA&#10;AAEAIAAAACIAAABkcnMvZG93bnJldi54bWxQSwECFAAUAAAACACHTuJA0bwN8aABAAAnAwAADgAA&#10;AAAAAAABACAAAAAnAQAAZHJzL2Uyb0RvYy54bWxQSwUGAAAAAAYABgBZAQAAOQUAAAAA&#10;">
                <v:fill on="f" focussize="0,0"/>
                <v:stroke on="f"/>
                <v:imagedata o:title=""/>
                <o:lock v:ext="edit" aspectratio="f"/>
                <v:textbox inset="0mm,0mm,0mm,0mm">
                  <w:txbxContent>
                    <w:p>
                      <w:pPr>
                        <w:snapToGrid w:val="0"/>
                        <w:jc w:val="center"/>
                        <w:rPr>
                          <w:rFonts w:hint="eastAsia" w:ascii="黑体"/>
                          <w:b/>
                          <w:bCs/>
                          <w:color w:val="FF0000"/>
                          <w:sz w:val="22"/>
                          <w:szCs w:val="22"/>
                        </w:rPr>
                      </w:pPr>
                      <w:r>
                        <w:rPr>
                          <w:rFonts w:hint="eastAsia" w:ascii="黑体"/>
                          <w:b/>
                          <w:bCs/>
                          <w:color w:val="FF0000"/>
                          <w:sz w:val="22"/>
                          <w:szCs w:val="22"/>
                        </w:rPr>
                        <w:t>1#</w:t>
                      </w:r>
                    </w:p>
                  </w:txbxContent>
                </v:textbox>
              </v:shape>
            </w:pict>
          </mc:Fallback>
        </mc:AlternateContent>
      </w:r>
      <w:r>
        <w:rPr>
          <w:sz w:val="24"/>
        </w:rPr>
        <mc:AlternateContent>
          <mc:Choice Requires="wps">
            <w:drawing>
              <wp:anchor distT="0" distB="0" distL="114300" distR="114300" simplePos="0" relativeHeight="251736064" behindDoc="0" locked="0" layoutInCell="1" allowOverlap="1">
                <wp:simplePos x="0" y="0"/>
                <wp:positionH relativeFrom="column">
                  <wp:posOffset>1811020</wp:posOffset>
                </wp:positionH>
                <wp:positionV relativeFrom="paragraph">
                  <wp:posOffset>1564005</wp:posOffset>
                </wp:positionV>
                <wp:extent cx="85725" cy="87630"/>
                <wp:effectExtent l="13335" t="13335" r="15240" b="32385"/>
                <wp:wrapNone/>
                <wp:docPr id="365" name="菱形 365"/>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142.6pt;margin-top:123.15pt;height:6.9pt;width:6.75pt;z-index:251736064;mso-width-relative:page;mso-height-relative:page;" fillcolor="#FFFF00" filled="t" stroked="t" coordsize="21600,21600" o:gfxdata="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Nlp0LcAAAACwEAAA8AAAAAAAAAAQAgAAAAIgAAAGRycy9kb3ducmV2LnhtbFBLAQIUABQAAAAI&#10;AIdO4kAfYB+e6QEAANUDAAAOAAAAAAAAAAEAIAAAACsBAABkcnMvZTJvRG9jLnhtbFBLBQYAAAAA&#10;BgAGAFkBAACGBQAAAAA=&#10;">
                <v:fill on="t" focussize="0,0"/>
                <v:stroke weight="1.5pt" color="#FF0000" joinstyle="miter"/>
                <v:imagedata o:title=""/>
                <o:lock v:ext="edit" aspectratio="f"/>
              </v:shape>
            </w:pict>
          </mc:Fallback>
        </mc:AlternateContent>
      </w:r>
      <w:r>
        <w:rPr>
          <w:sz w:val="24"/>
        </w:rPr>
        <mc:AlternateContent>
          <mc:Choice Requires="wps">
            <w:drawing>
              <wp:anchor distT="0" distB="0" distL="114300" distR="114300" simplePos="0" relativeHeight="251732992" behindDoc="0" locked="0" layoutInCell="1" allowOverlap="1">
                <wp:simplePos x="0" y="0"/>
                <wp:positionH relativeFrom="column">
                  <wp:posOffset>1811020</wp:posOffset>
                </wp:positionH>
                <wp:positionV relativeFrom="paragraph">
                  <wp:posOffset>2481580</wp:posOffset>
                </wp:positionV>
                <wp:extent cx="85725" cy="87630"/>
                <wp:effectExtent l="13335" t="13335" r="15240" b="32385"/>
                <wp:wrapNone/>
                <wp:docPr id="364" name="菱形 364"/>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142.6pt;margin-top:195.4pt;height:6.9pt;width:6.75pt;z-index:251732992;mso-width-relative:page;mso-height-relative:page;" fillcolor="#FFFF00" filled="t" stroked="t" coordsize="21600,21600" o:gfxdata="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XLuzG3QAAAAsBAAAPAAAAAAAAAAEAIAAAACIAAABkcnMvZG93bnJldi54bWxQSwECFAAUAAAA&#10;CACHTuJA22q1BukBAADVAwAADgAAAAAAAAABACAAAAAsAQAAZHJzL2Uyb0RvYy54bWxQSwUGAAAA&#10;AAYABgBZAQAAhwUAAAAA&#10;">
                <v:fill on="t" focussize="0,0"/>
                <v:stroke weight="1.5pt" color="#FF0000" joinstyle="miter"/>
                <v:imagedata o:title=""/>
                <o:lock v:ext="edit" aspectratio="f"/>
              </v:shape>
            </w:pict>
          </mc:Fallback>
        </mc:AlternateContent>
      </w:r>
      <w:r>
        <w:rPr>
          <w:sz w:val="24"/>
        </w:rPr>
        <mc:AlternateContent>
          <mc:Choice Requires="wps">
            <w:drawing>
              <wp:anchor distT="0" distB="0" distL="114300" distR="114300" simplePos="0" relativeHeight="251729920" behindDoc="0" locked="0" layoutInCell="1" allowOverlap="1">
                <wp:simplePos x="0" y="0"/>
                <wp:positionH relativeFrom="column">
                  <wp:posOffset>1428115</wp:posOffset>
                </wp:positionH>
                <wp:positionV relativeFrom="paragraph">
                  <wp:posOffset>3477260</wp:posOffset>
                </wp:positionV>
                <wp:extent cx="85725" cy="87630"/>
                <wp:effectExtent l="13335" t="13335" r="15240" b="32385"/>
                <wp:wrapNone/>
                <wp:docPr id="363" name="菱形 363"/>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112.45pt;margin-top:273.8pt;height:6.9pt;width:6.75pt;z-index:251729920;mso-width-relative:page;mso-height-relative:page;" fillcolor="#FFFF00" filled="t" stroked="t" coordsize="21600,21600" o:gfxdata="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fs/xL3AAAAAsBAAAPAAAAAAAAAAEAIAAAACIAAABkcnMvZG93bnJldi54bWxQSwECFAAUAAAA&#10;CACHTuJABVIBe+oBAADVAwAADgAAAAAAAAABACAAAAArAQAAZHJzL2Uyb0RvYy54bWxQSwUGAAAA&#10;AAYABgBZAQAAhwUAAAAA&#10;">
                <v:fill on="t" focussize="0,0"/>
                <v:stroke weight="1.5pt" color="#FF0000" joinstyle="miter"/>
                <v:imagedata o:title=""/>
                <o:lock v:ext="edit" aspectratio="f"/>
              </v:shape>
            </w:pict>
          </mc:Fallback>
        </mc:AlternateContent>
      </w:r>
      <w:r>
        <w:rPr>
          <w:sz w:val="24"/>
        </w:rPr>
        <mc:AlternateContent>
          <mc:Choice Requires="wps">
            <w:drawing>
              <wp:anchor distT="0" distB="0" distL="114300" distR="114300" simplePos="0" relativeHeight="251726848" behindDoc="0" locked="0" layoutInCell="1" allowOverlap="1">
                <wp:simplePos x="0" y="0"/>
                <wp:positionH relativeFrom="column">
                  <wp:posOffset>1080135</wp:posOffset>
                </wp:positionH>
                <wp:positionV relativeFrom="paragraph">
                  <wp:posOffset>2532380</wp:posOffset>
                </wp:positionV>
                <wp:extent cx="85725" cy="87630"/>
                <wp:effectExtent l="13335" t="13335" r="15240" b="32385"/>
                <wp:wrapNone/>
                <wp:docPr id="362" name="菱形 362"/>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85.05pt;margin-top:199.4pt;height:6.9pt;width:6.75pt;z-index:251726848;mso-width-relative:page;mso-height-relative:page;" fillcolor="#FFFF00" filled="t" stroked="t" coordsize="21600,21600" o:gfxdata="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KZemRTcAAAACwEAAA8AAAAAAAAAAQAgAAAAIgAAAGRycy9kb3ducmV2LnhtbFBLAQIUABQAAAAI&#10;AIdO4kDBWKvj6QEAANUDAAAOAAAAAAAAAAEAIAAAACsBAABkcnMvZTJvRG9jLnhtbFBLBQYAAAAA&#10;BgAGAFkBAACGBQAAAAA=&#10;">
                <v:fill on="t" focussize="0,0"/>
                <v:stroke weight="1.5pt" color="#FF0000" joinstyle="miter"/>
                <v:imagedata o:title=""/>
                <o:lock v:ext="edit" aspectratio="f"/>
              </v:shape>
            </w:pict>
          </mc:Fallback>
        </mc:AlternateContent>
      </w:r>
      <w:r>
        <w:rPr>
          <w:sz w:val="24"/>
        </w:rPr>
        <mc:AlternateContent>
          <mc:Choice Requires="wps">
            <w:drawing>
              <wp:anchor distT="0" distB="0" distL="114300" distR="114300" simplePos="0" relativeHeight="251723776" behindDoc="0" locked="0" layoutInCell="1" allowOverlap="1">
                <wp:simplePos x="0" y="0"/>
                <wp:positionH relativeFrom="column">
                  <wp:posOffset>1113155</wp:posOffset>
                </wp:positionH>
                <wp:positionV relativeFrom="paragraph">
                  <wp:posOffset>1608455</wp:posOffset>
                </wp:positionV>
                <wp:extent cx="85725" cy="87630"/>
                <wp:effectExtent l="13335" t="13335" r="15240" b="32385"/>
                <wp:wrapNone/>
                <wp:docPr id="361" name="菱形 361"/>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87.65pt;margin-top:126.65pt;height:6.9pt;width:6.75pt;z-index:251723776;mso-width-relative:page;mso-height-relative:page;" fillcolor="#FFFF00" filled="t" stroked="t" coordsize="21600,21600" o:gfxdata="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IDB67cAAAACwEAAA8AAAAAAAAAAQAgAAAAIgAAAGRycy9kb3ducmV2LnhtbFBLAQIUABQAAAAI&#10;AIdO4kDMQSSR6QEAANUDAAAOAAAAAAAAAAEAIAAAACsBAABkcnMvZTJvRG9jLnhtbFBLBQYAAAAA&#10;BgAGAFkBAACGBQAAAAA=&#10;">
                <v:fill on="t" focussize="0,0"/>
                <v:stroke weight="1.5pt" color="#FF0000" joinstyle="miter"/>
                <v:imagedata o:title=""/>
                <o:lock v:ext="edit" aspectratio="f"/>
              </v:shape>
            </w:pict>
          </mc:Fallback>
        </mc:AlternateContent>
      </w:r>
      <w:r>
        <w:rPr>
          <w:sz w:val="24"/>
        </w:rPr>
        <mc:AlternateContent>
          <mc:Choice Requires="wps">
            <w:drawing>
              <wp:anchor distT="0" distB="0" distL="114300" distR="114300" simplePos="0" relativeHeight="251720704" behindDoc="0" locked="0" layoutInCell="1" allowOverlap="1">
                <wp:simplePos x="0" y="0"/>
                <wp:positionH relativeFrom="column">
                  <wp:posOffset>1287145</wp:posOffset>
                </wp:positionH>
                <wp:positionV relativeFrom="paragraph">
                  <wp:posOffset>1275715</wp:posOffset>
                </wp:positionV>
                <wp:extent cx="85725" cy="87630"/>
                <wp:effectExtent l="13335" t="13335" r="15240" b="32385"/>
                <wp:wrapNone/>
                <wp:docPr id="360" name="菱形 360"/>
                <wp:cNvGraphicFramePr/>
                <a:graphic xmlns:a="http://schemas.openxmlformats.org/drawingml/2006/main">
                  <a:graphicData uri="http://schemas.microsoft.com/office/word/2010/wordprocessingShape">
                    <wps:wsp>
                      <wps:cNvSpPr/>
                      <wps:spPr>
                        <a:xfrm>
                          <a:off x="0" y="0"/>
                          <a:ext cx="85725" cy="87630"/>
                        </a:xfrm>
                        <a:prstGeom prst="diamond">
                          <a:avLst/>
                        </a:prstGeom>
                        <a:solidFill>
                          <a:srgbClr val="FFFF00"/>
                        </a:solidFill>
                        <a:ln w="19050"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o:spt="4" type="#_x0000_t4" style="position:absolute;left:0pt;margin-left:101.35pt;margin-top:100.45pt;height:6.9pt;width:6.75pt;z-index:251720704;mso-width-relative:page;mso-height-relative:page;" fillcolor="#FFFF00" filled="t" stroked="t" coordsize="21600,21600" o:gfxdata="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9&#10;CRQs2gAAAAsBAAAPAAAAAAAAAAEAIAAAACIAAABkcnMvZG93bnJldi54bWxQSwECFAAUAAAACACH&#10;TuJACEuOCekBAADVAwAADgAAAAAAAAABACAAAAApAQAAZHJzL2Uyb0RvYy54bWxQSwUGAAAAAAYA&#10;BgBZAQAAhAUAAAAA&#10;">
                <v:fill on="t" focussize="0,0"/>
                <v:stroke weight="1.5pt" color="#FF0000" joinstyle="miter"/>
                <v:imagedata o:title=""/>
                <o:lock v:ext="edit" aspectratio="f"/>
              </v:shape>
            </w:pict>
          </mc:Fallback>
        </mc:AlternateContent>
      </w:r>
      <w:r>
        <w:rPr>
          <w:sz w:val="21"/>
        </w:rPr>
        <mc:AlternateContent>
          <mc:Choice Requires="wps">
            <w:drawing>
              <wp:anchor distT="0" distB="0" distL="114300" distR="114300" simplePos="0" relativeHeight="251719680" behindDoc="0" locked="0" layoutInCell="1" allowOverlap="1">
                <wp:simplePos x="0" y="0"/>
                <wp:positionH relativeFrom="column">
                  <wp:posOffset>4819015</wp:posOffset>
                </wp:positionH>
                <wp:positionV relativeFrom="paragraph">
                  <wp:posOffset>153670</wp:posOffset>
                </wp:positionV>
                <wp:extent cx="3850005" cy="3227705"/>
                <wp:effectExtent l="6985" t="7620" r="10160" b="22225"/>
                <wp:wrapNone/>
                <wp:docPr id="359" name="任意多边形 359"/>
                <wp:cNvGraphicFramePr/>
                <a:graphic xmlns:a="http://schemas.openxmlformats.org/drawingml/2006/main">
                  <a:graphicData uri="http://schemas.microsoft.com/office/word/2010/wordprocessingShape">
                    <wps:wsp>
                      <wps:cNvSpPr/>
                      <wps:spPr>
                        <a:xfrm>
                          <a:off x="5733415" y="1296670"/>
                          <a:ext cx="3850005" cy="3227705"/>
                        </a:xfrm>
                        <a:custGeom>
                          <a:avLst/>
                          <a:gdLst>
                            <a:gd name="connisteX0" fmla="*/ 0 w 3850005"/>
                            <a:gd name="connsiteY0" fmla="*/ 861695 h 3227705"/>
                            <a:gd name="connisteX1" fmla="*/ 110490 w 3850005"/>
                            <a:gd name="connsiteY1" fmla="*/ 2185670 h 3227705"/>
                            <a:gd name="connisteX2" fmla="*/ 481330 w 3850005"/>
                            <a:gd name="connsiteY2" fmla="*/ 2179955 h 3227705"/>
                            <a:gd name="connisteX3" fmla="*/ 661670 w 3850005"/>
                            <a:gd name="connsiteY3" fmla="*/ 2436495 h 3227705"/>
                            <a:gd name="connisteX4" fmla="*/ 626745 w 3850005"/>
                            <a:gd name="connsiteY4" fmla="*/ 3182620 h 3227705"/>
                            <a:gd name="connisteX5" fmla="*/ 1624330 w 3850005"/>
                            <a:gd name="connsiteY5" fmla="*/ 3227705 h 3227705"/>
                            <a:gd name="connisteX6" fmla="*/ 1644015 w 3850005"/>
                            <a:gd name="connsiteY6" fmla="*/ 2852420 h 3227705"/>
                            <a:gd name="connisteX7" fmla="*/ 1759585 w 3850005"/>
                            <a:gd name="connsiteY7" fmla="*/ 2846705 h 3227705"/>
                            <a:gd name="connisteX8" fmla="*/ 1854835 w 3850005"/>
                            <a:gd name="connsiteY8" fmla="*/ 1699260 h 3227705"/>
                            <a:gd name="connisteX9" fmla="*/ 3439160 w 3850005"/>
                            <a:gd name="connsiteY9" fmla="*/ 1493520 h 3227705"/>
                            <a:gd name="connisteX10" fmla="*/ 3288665 w 3850005"/>
                            <a:gd name="connsiteY10" fmla="*/ 641985 h 3227705"/>
                            <a:gd name="connisteX11" fmla="*/ 3850005 w 3850005"/>
                            <a:gd name="connsiteY11" fmla="*/ 575945 h 3227705"/>
                            <a:gd name="connisteX12" fmla="*/ 3724910 w 3850005"/>
                            <a:gd name="connsiteY12" fmla="*/ 0 h 3227705"/>
                            <a:gd name="connisteX13" fmla="*/ 2782570 w 3850005"/>
                            <a:gd name="connsiteY13" fmla="*/ 170180 h 3227705"/>
                            <a:gd name="connisteX14" fmla="*/ 1934845 w 3850005"/>
                            <a:gd name="connsiteY14" fmla="*/ 977900 h 3227705"/>
                            <a:gd name="connisteX15" fmla="*/ 1318260 w 3850005"/>
                            <a:gd name="connsiteY15" fmla="*/ 1233170 h 3227705"/>
                            <a:gd name="connisteX16" fmla="*/ 1068070 w 3850005"/>
                            <a:gd name="connsiteY16" fmla="*/ 621030 h 3227705"/>
                            <a:gd name="connisteX17" fmla="*/ 0 w 3850005"/>
                            <a:gd name="connsiteY17" fmla="*/ 861695 h 32277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3850005" h="3227705">
                              <a:moveTo>
                                <a:pt x="0" y="861695"/>
                              </a:moveTo>
                              <a:lnTo>
                                <a:pt x="110490" y="2185670"/>
                              </a:lnTo>
                              <a:lnTo>
                                <a:pt x="481330" y="2179955"/>
                              </a:lnTo>
                              <a:lnTo>
                                <a:pt x="661670" y="2436495"/>
                              </a:lnTo>
                              <a:lnTo>
                                <a:pt x="626745" y="3182620"/>
                              </a:lnTo>
                              <a:lnTo>
                                <a:pt x="1624330" y="3227705"/>
                              </a:lnTo>
                              <a:lnTo>
                                <a:pt x="1644015" y="2852420"/>
                              </a:lnTo>
                              <a:lnTo>
                                <a:pt x="1759585" y="2846705"/>
                              </a:lnTo>
                              <a:lnTo>
                                <a:pt x="1854835" y="1699260"/>
                              </a:lnTo>
                              <a:lnTo>
                                <a:pt x="3439160" y="1493520"/>
                              </a:lnTo>
                              <a:lnTo>
                                <a:pt x="3288665" y="641985"/>
                              </a:lnTo>
                              <a:lnTo>
                                <a:pt x="3850005" y="575945"/>
                              </a:lnTo>
                              <a:lnTo>
                                <a:pt x="3724910" y="0"/>
                              </a:lnTo>
                              <a:lnTo>
                                <a:pt x="2782570" y="170180"/>
                              </a:lnTo>
                              <a:lnTo>
                                <a:pt x="1934845" y="977900"/>
                              </a:lnTo>
                              <a:lnTo>
                                <a:pt x="1318260" y="1233170"/>
                              </a:lnTo>
                              <a:lnTo>
                                <a:pt x="1068070" y="621030"/>
                              </a:lnTo>
                              <a:lnTo>
                                <a:pt x="0" y="86169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79.45pt;margin-top:12.1pt;height:254.15pt;width:303.15pt;z-index:251719680;mso-width-relative:page;mso-height-relative:page;" filled="f" stroked="t" coordsize="3850005,3227705" o:gfxdata="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" path="m0,861695l110490,2185670,481330,2179955,661670,2436495,626745,3182620,1624330,3227705,1644015,2852420,1759585,2846705,1854835,1699260,3439160,1493520,3288665,641985,3850005,575945,3724910,0,2782570,170180,1934845,977900,1318260,1233170,1068070,621030,0,861695xe">
                <v:path o:connectlocs="0,861695;110490,2185670;481330,2179955;661670,2436495;626745,3182620;1624330,3227705;1644015,2852420;1759585,2846705;1854835,1699260;3439160,1493520;3288665,641985;3850005,575945;3724910,0;2782570,170180;1934845,977900;1318260,1233170;1068070,621030;0,861695" o:connectangles="0,0,0,0,0,0,0,0,0,0,0,0,0,0,0,0,0,0"/>
                <v:fill on="f" focussize="0,0"/>
                <v:stroke weight="1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251718656" behindDoc="0" locked="0" layoutInCell="1" allowOverlap="1">
                <wp:simplePos x="0" y="0"/>
                <wp:positionH relativeFrom="column">
                  <wp:posOffset>1165860</wp:posOffset>
                </wp:positionH>
                <wp:positionV relativeFrom="paragraph">
                  <wp:posOffset>1363345</wp:posOffset>
                </wp:positionV>
                <wp:extent cx="587375" cy="2084705"/>
                <wp:effectExtent l="6350" t="6985" r="15875" b="22860"/>
                <wp:wrapNone/>
                <wp:docPr id="358" name="任意多边形 358"/>
                <wp:cNvGraphicFramePr/>
                <a:graphic xmlns:a="http://schemas.openxmlformats.org/drawingml/2006/main">
                  <a:graphicData uri="http://schemas.microsoft.com/office/word/2010/wordprocessingShape">
                    <wps:wsp>
                      <wps:cNvSpPr/>
                      <wps:spPr>
                        <a:xfrm>
                          <a:off x="2080260" y="2506345"/>
                          <a:ext cx="587375" cy="2084705"/>
                        </a:xfrm>
                        <a:custGeom>
                          <a:avLst/>
                          <a:gdLst>
                            <a:gd name="connisteX0" fmla="*/ 47625 w 587375"/>
                            <a:gd name="connsiteY0" fmla="*/ 36830 h 2084705"/>
                            <a:gd name="connisteX1" fmla="*/ 587375 w 587375"/>
                            <a:gd name="connsiteY1" fmla="*/ 0 h 2084705"/>
                            <a:gd name="connisteX2" fmla="*/ 544830 w 587375"/>
                            <a:gd name="connsiteY2" fmla="*/ 2084705 h 2084705"/>
                            <a:gd name="connisteX3" fmla="*/ 0 w 587375"/>
                            <a:gd name="connsiteY3" fmla="*/ 2068830 h 2084705"/>
                            <a:gd name="connisteX4" fmla="*/ 47625 w 587375"/>
                            <a:gd name="connsiteY4" fmla="*/ 36830 h 208470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87375" h="2084705">
                              <a:moveTo>
                                <a:pt x="47625" y="36830"/>
                              </a:moveTo>
                              <a:lnTo>
                                <a:pt x="587375" y="0"/>
                              </a:lnTo>
                              <a:lnTo>
                                <a:pt x="544830" y="2084705"/>
                              </a:lnTo>
                              <a:lnTo>
                                <a:pt x="0" y="2068830"/>
                              </a:lnTo>
                              <a:lnTo>
                                <a:pt x="47625" y="3683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91.8pt;margin-top:107.35pt;height:164.15pt;width:46.25pt;z-index:251718656;mso-width-relative:page;mso-height-relative:page;" filled="f" stroked="t" coordsize="587375,2084705" o:gfxdata="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" path="m47625,36830l587375,0,544830,2084705,0,2068830,47625,36830xe">
                <v:path o:connectlocs="47625,36830;587375,0;544830,2084705;0,2068830;47625,36830" o:connectangles="0,0,0,0,0"/>
                <v:fill on="f" focussize="0,0"/>
                <v:stroke weight="1pt" color="#FF0000 [3204]" miterlimit="8" joinstyle="miter"/>
                <v:imagedata o:title=""/>
                <o:lock v:ext="edit" aspectratio="f"/>
              </v:shape>
            </w:pict>
          </mc:Fallback>
        </mc:AlternateContent>
      </w:r>
      <w:r>
        <w:rPr>
          <w:szCs w:val="21"/>
        </w:rPr>
        <w:drawing>
          <wp:anchor distT="0" distB="0" distL="114300" distR="114300" simplePos="0" relativeHeight="251717632" behindDoc="0" locked="0" layoutInCell="1" allowOverlap="1">
            <wp:simplePos x="0" y="0"/>
            <wp:positionH relativeFrom="column">
              <wp:posOffset>100965</wp:posOffset>
            </wp:positionH>
            <wp:positionV relativeFrom="paragraph">
              <wp:posOffset>153035</wp:posOffset>
            </wp:positionV>
            <wp:extent cx="593090" cy="539115"/>
            <wp:effectExtent l="0" t="0" r="16510" b="13335"/>
            <wp:wrapNone/>
            <wp:docPr id="3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2"/>
                    <pic:cNvPicPr>
                      <a:picLocks noChangeAspect="1"/>
                    </pic:cNvPicPr>
                  </pic:nvPicPr>
                  <pic:blipFill>
                    <a:blip r:embed="rId96"/>
                    <a:stretch>
                      <a:fillRect/>
                    </a:stretch>
                  </pic:blipFill>
                  <pic:spPr>
                    <a:xfrm>
                      <a:off x="0" y="0"/>
                      <a:ext cx="593090" cy="539115"/>
                    </a:xfrm>
                    <a:prstGeom prst="rect">
                      <a:avLst/>
                    </a:prstGeom>
                    <a:noFill/>
                    <a:ln>
                      <a:noFill/>
                    </a:ln>
                  </pic:spPr>
                </pic:pic>
              </a:graphicData>
            </a:graphic>
          </wp:anchor>
        </w:drawing>
      </w:r>
      <w:r>
        <w:rPr>
          <w:rFonts w:hint="default"/>
          <w:lang w:val="en-US" w:eastAsia="zh-CN"/>
        </w:rPr>
        <w:drawing>
          <wp:inline distT="0" distB="0" distL="114300" distR="114300">
            <wp:extent cx="8863330" cy="4338955"/>
            <wp:effectExtent l="12700" t="12700" r="20320" b="29845"/>
            <wp:docPr id="354" name="图片 354" descr="C:\Users\Administrator\Desktop\111.jpg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C:\Users\Administrator\Desktop\111.jpg111"/>
                    <pic:cNvPicPr>
                      <a:picLocks noChangeAspect="1"/>
                    </pic:cNvPicPr>
                  </pic:nvPicPr>
                  <pic:blipFill>
                    <a:blip r:embed="rId109"/>
                    <a:srcRect/>
                    <a:stretch>
                      <a:fillRect/>
                    </a:stretch>
                  </pic:blipFill>
                  <pic:spPr>
                    <a:xfrm>
                      <a:off x="0" y="0"/>
                      <a:ext cx="8863330" cy="4338955"/>
                    </a:xfrm>
                    <a:prstGeom prst="rect">
                      <a:avLst/>
                    </a:prstGeom>
                    <a:ln w="12700">
                      <a:solidFill>
                        <a:schemeClr val="tx1"/>
                      </a:solidFill>
                    </a:ln>
                  </pic:spPr>
                </pic:pic>
              </a:graphicData>
            </a:graphic>
          </wp:inline>
        </w:drawing>
      </w:r>
    </w:p>
    <w:p>
      <w:pPr>
        <w:jc w:val="center"/>
        <w:rPr>
          <w:rFonts w:hint="default"/>
          <w:lang w:val="en-US" w:eastAsia="zh-CN"/>
        </w:rPr>
        <w:sectPr>
          <w:headerReference r:id="rId29" w:type="default"/>
          <w:footerReference r:id="rId30"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b/>
          <w:bCs/>
          <w:sz w:val="24"/>
          <w:szCs w:val="24"/>
          <w:lang w:val="en-US" w:eastAsia="zh-CN"/>
        </w:rPr>
        <w:t>图</w:t>
      </w:r>
      <w:r>
        <w:rPr>
          <w:rFonts w:hint="eastAsia" w:ascii="Times New Roman" w:hAnsi="Times New Roman"/>
          <w:b/>
          <w:bCs/>
          <w:sz w:val="24"/>
          <w:szCs w:val="24"/>
          <w:lang w:val="en-US" w:eastAsia="zh-CN"/>
        </w:rPr>
        <w:t>5.7</w:t>
      </w:r>
      <w:r>
        <w:rPr>
          <w:rFonts w:hint="default" w:ascii="Times New Roman" w:hAnsi="Times New Roman"/>
          <w:b/>
          <w:bCs/>
          <w:sz w:val="24"/>
          <w:szCs w:val="24"/>
          <w:lang w:val="en-US" w:eastAsia="zh-CN"/>
        </w:rPr>
        <w:t>-1</w:t>
      </w:r>
      <w:r>
        <w:rPr>
          <w:rFonts w:hint="eastAsia" w:ascii="Times New Roman" w:hAnsi="Times New Roman"/>
          <w:b/>
          <w:bCs/>
          <w:sz w:val="24"/>
          <w:szCs w:val="24"/>
          <w:lang w:val="en-US" w:eastAsia="zh-CN"/>
        </w:rPr>
        <w:t xml:space="preserve"> 噪声监测布点图</w:t>
      </w:r>
    </w:p>
    <w:p>
      <w:pPr>
        <w:pStyle w:val="5"/>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default"/>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7</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 xml:space="preserve">4 </w:t>
      </w:r>
      <w:r>
        <w:rPr>
          <w:rFonts w:hint="eastAsia" w:ascii="Times New Roman" w:hAnsi="Times New Roman"/>
          <w:b/>
          <w:bCs/>
          <w:sz w:val="24"/>
          <w:szCs w:val="24"/>
          <w:lang w:val="en-US" w:eastAsia="zh-CN"/>
        </w:rPr>
        <w:t>监测结果</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监测结果见表</w:t>
      </w:r>
      <w:r>
        <w:rPr>
          <w:rFonts w:hint="eastAsia" w:ascii="Times New Roman" w:hAnsi="Times New Roman" w:cs="Times New Roman"/>
          <w:color w:val="000000"/>
          <w:kern w:val="2"/>
          <w:sz w:val="24"/>
          <w:szCs w:val="24"/>
          <w:lang w:val="en-US" w:eastAsia="zh-CN" w:bidi="ar-SA"/>
        </w:rPr>
        <w:t>5.7</w:t>
      </w:r>
      <w:r>
        <w:rPr>
          <w:rFonts w:hint="default" w:ascii="Times New Roman" w:hAnsi="Times New Roman" w:eastAsia="宋体" w:cs="Times New Roman"/>
          <w:color w:val="000000"/>
          <w:kern w:val="2"/>
          <w:sz w:val="24"/>
          <w:szCs w:val="24"/>
          <w:lang w:val="en-US" w:eastAsia="zh-CN" w:bidi="ar-SA"/>
        </w:rPr>
        <w:t>-2。</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b/>
          <w:bCs/>
          <w:sz w:val="24"/>
          <w:szCs w:val="24"/>
          <w:lang w:val="en-US" w:eastAsia="zh-CN"/>
        </w:rPr>
      </w:pPr>
      <w:r>
        <w:rPr>
          <w:rFonts w:hint="eastAsia" w:ascii="宋体" w:hAnsi="宋体" w:eastAsia="宋体" w:cs="宋体"/>
          <w:b/>
          <w:bCs/>
          <w:color w:val="000000"/>
          <w:sz w:val="24"/>
        </w:rPr>
        <w:t>表</w:t>
      </w:r>
      <w:r>
        <w:rPr>
          <w:rFonts w:hint="default" w:ascii="Times New Roman" w:hAnsi="Times New Roman" w:cs="Times New Roman"/>
          <w:b/>
          <w:bCs/>
          <w:color w:val="000000"/>
          <w:sz w:val="24"/>
          <w:lang w:val="en-US" w:eastAsia="zh-CN"/>
        </w:rPr>
        <w:t>5.7-2</w:t>
      </w:r>
      <w:r>
        <w:rPr>
          <w:rFonts w:hint="eastAsia" w:ascii="Times New Roman" w:hAnsi="Times New Roman" w:cs="Times New Roman"/>
          <w:b/>
          <w:bCs/>
          <w:color w:val="000000"/>
          <w:sz w:val="24"/>
          <w:lang w:val="en-US" w:eastAsia="zh-CN"/>
        </w:rPr>
        <w:t>（1）</w:t>
      </w:r>
      <w:r>
        <w:rPr>
          <w:rFonts w:hint="eastAsia" w:cs="Times New Roman"/>
          <w:b/>
          <w:bCs/>
          <w:color w:val="000000"/>
          <w:sz w:val="24"/>
          <w:lang w:val="en-US" w:eastAsia="zh-CN"/>
        </w:rPr>
        <w:t xml:space="preserve"> </w:t>
      </w:r>
      <w:r>
        <w:rPr>
          <w:rFonts w:hint="eastAsia" w:ascii="宋体" w:hAnsi="宋体" w:eastAsia="宋体" w:cs="宋体"/>
          <w:b/>
          <w:bCs/>
          <w:color w:val="000000"/>
          <w:sz w:val="24"/>
        </w:rPr>
        <w:t xml:space="preserve"> 厂界噪声环境监测结果表 [单位：</w:t>
      </w:r>
      <w:r>
        <w:rPr>
          <w:rFonts w:hint="default" w:ascii="Times New Roman" w:hAnsi="Times New Roman" w:eastAsia="宋体" w:cs="Times New Roman"/>
          <w:b/>
          <w:bCs/>
          <w:color w:val="000000"/>
          <w:sz w:val="24"/>
        </w:rPr>
        <w:t>dB(A)</w:t>
      </w:r>
      <w:r>
        <w:rPr>
          <w:rFonts w:hint="eastAsia" w:ascii="宋体" w:hAnsi="宋体" w:eastAsia="宋体" w:cs="宋体"/>
          <w:b/>
          <w:bCs/>
          <w:color w:val="000000"/>
          <w:sz w:val="24"/>
        </w:rPr>
        <w:t>]</w:t>
      </w:r>
    </w:p>
    <w:tbl>
      <w:tblPr>
        <w:tblStyle w:val="19"/>
        <w:tblW w:w="8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3"/>
        <w:gridCol w:w="966"/>
        <w:gridCol w:w="1552"/>
        <w:gridCol w:w="1500"/>
        <w:gridCol w:w="1400"/>
        <w:gridCol w:w="1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restart"/>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厂区</w:t>
            </w:r>
          </w:p>
        </w:tc>
        <w:tc>
          <w:tcPr>
            <w:tcW w:w="966" w:type="dxa"/>
            <w:vMerge w:val="restart"/>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编号</w:t>
            </w:r>
          </w:p>
        </w:tc>
        <w:tc>
          <w:tcPr>
            <w:tcW w:w="5822" w:type="dxa"/>
            <w:gridSpan w:val="4"/>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监测时间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Merge w:val="continue"/>
            <w:vAlign w:val="center"/>
          </w:tcPr>
          <w:p>
            <w:pPr>
              <w:spacing w:line="280" w:lineRule="exact"/>
              <w:jc w:val="center"/>
              <w:rPr>
                <w:rFonts w:hint="eastAsia" w:ascii="Times New Roman" w:hAnsi="Times New Roman" w:eastAsia="宋体" w:cs="Times New Roman"/>
                <w:b w:val="0"/>
                <w:bCs w:val="0"/>
                <w:shd w:val="clear" w:color="auto" w:fill="auto"/>
                <w:lang w:val="en-US" w:eastAsia="zh-CN"/>
              </w:rPr>
            </w:pPr>
          </w:p>
        </w:tc>
        <w:tc>
          <w:tcPr>
            <w:tcW w:w="3052" w:type="dxa"/>
            <w:gridSpan w:val="2"/>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2021.07.20</w:t>
            </w:r>
          </w:p>
        </w:tc>
        <w:tc>
          <w:tcPr>
            <w:tcW w:w="2770" w:type="dxa"/>
            <w:gridSpan w:val="2"/>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2021.07.21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Merge w:val="continue"/>
            <w:vAlign w:val="center"/>
          </w:tcPr>
          <w:p>
            <w:pPr>
              <w:spacing w:line="280" w:lineRule="exact"/>
              <w:jc w:val="center"/>
              <w:rPr>
                <w:rFonts w:hint="eastAsia" w:ascii="Times New Roman" w:hAnsi="Times New Roman" w:eastAsia="宋体" w:cs="Times New Roman"/>
                <w:b w:val="0"/>
                <w:bCs w:val="0"/>
                <w:shd w:val="clear" w:color="auto" w:fill="auto"/>
                <w:lang w:val="en-US" w:eastAsia="zh-CN"/>
              </w:rPr>
            </w:pP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昼间</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夜间</w:t>
            </w:r>
          </w:p>
        </w:tc>
        <w:tc>
          <w:tcPr>
            <w:tcW w:w="140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昼间</w:t>
            </w:r>
          </w:p>
        </w:tc>
        <w:tc>
          <w:tcPr>
            <w:tcW w:w="137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restart"/>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博汇纸业西厂区厂界</w:t>
            </w:r>
          </w:p>
        </w:tc>
        <w:tc>
          <w:tcPr>
            <w:tcW w:w="966"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1</w:t>
            </w:r>
            <w:r>
              <w:rPr>
                <w:rFonts w:hint="default" w:ascii="Times New Roman" w:hAnsi="Times New Roman" w:eastAsia="宋体" w:cs="Times New Roman"/>
                <w:shd w:val="clear" w:color="auto" w:fill="auto"/>
                <w:vertAlign w:val="baseline"/>
              </w:rPr>
              <w:t>#</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55.7</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46.0</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54.3</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2</w:t>
            </w:r>
            <w:r>
              <w:rPr>
                <w:rFonts w:hint="default" w:ascii="Times New Roman" w:hAnsi="Times New Roman" w:eastAsia="宋体" w:cs="Times New Roman"/>
                <w:shd w:val="clear" w:color="auto" w:fill="auto"/>
                <w:vertAlign w:val="baseline"/>
              </w:rPr>
              <w:t>#</w:t>
            </w:r>
          </w:p>
        </w:tc>
        <w:tc>
          <w:tcPr>
            <w:tcW w:w="1552"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59.5</w:t>
            </w:r>
          </w:p>
        </w:tc>
        <w:tc>
          <w:tcPr>
            <w:tcW w:w="150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54.4</w:t>
            </w:r>
          </w:p>
        </w:tc>
        <w:tc>
          <w:tcPr>
            <w:tcW w:w="140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57.8</w:t>
            </w:r>
          </w:p>
        </w:tc>
        <w:tc>
          <w:tcPr>
            <w:tcW w:w="137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3</w:t>
            </w:r>
            <w:r>
              <w:rPr>
                <w:rFonts w:hint="default" w:ascii="Times New Roman" w:hAnsi="Times New Roman" w:eastAsia="宋体" w:cs="Times New Roman"/>
                <w:shd w:val="clear" w:color="auto" w:fill="auto"/>
                <w:vertAlign w:val="baseline"/>
              </w:rPr>
              <w:t>#</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64.4</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54.8</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64.6</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4</w:t>
            </w:r>
            <w:r>
              <w:rPr>
                <w:rFonts w:hint="default" w:ascii="Times New Roman" w:hAnsi="Times New Roman" w:eastAsia="宋体" w:cs="Times New Roman"/>
                <w:shd w:val="clear" w:color="auto" w:fill="auto"/>
                <w:vertAlign w:val="baseline"/>
              </w:rPr>
              <w:t>#</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59.5</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53.2</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57.2</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5</w:t>
            </w:r>
            <w:r>
              <w:rPr>
                <w:rFonts w:hint="default" w:ascii="Times New Roman" w:hAnsi="Times New Roman" w:eastAsia="宋体" w:cs="Times New Roman"/>
                <w:shd w:val="clear" w:color="auto" w:fill="auto"/>
                <w:vertAlign w:val="baseline"/>
              </w:rPr>
              <w:t>#</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52.9</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47.5</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54.5</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48.8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6#</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56.2</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44.3</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55.8</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45.8</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jc w:val="center"/>
        <w:textAlignment w:val="auto"/>
        <w:rPr>
          <w:rFonts w:hint="default"/>
          <w:b/>
          <w:bCs/>
          <w:sz w:val="24"/>
          <w:szCs w:val="24"/>
          <w:lang w:val="en-US" w:eastAsia="zh-CN"/>
        </w:rPr>
      </w:pPr>
      <w:r>
        <w:rPr>
          <w:rFonts w:hint="eastAsia" w:ascii="宋体" w:hAnsi="宋体" w:eastAsia="宋体" w:cs="宋体"/>
          <w:b/>
          <w:bCs/>
          <w:color w:val="000000"/>
          <w:sz w:val="24"/>
        </w:rPr>
        <w:t>表</w:t>
      </w:r>
      <w:r>
        <w:rPr>
          <w:rFonts w:hint="default" w:ascii="Times New Roman" w:hAnsi="Times New Roman" w:cs="Times New Roman"/>
          <w:b/>
          <w:bCs/>
          <w:color w:val="000000"/>
          <w:sz w:val="24"/>
          <w:lang w:val="en-US" w:eastAsia="zh-CN"/>
        </w:rPr>
        <w:t>5.7-2</w:t>
      </w:r>
      <w:r>
        <w:rPr>
          <w:rFonts w:hint="eastAsia" w:ascii="Times New Roman" w:hAnsi="Times New Roman" w:cs="Times New Roman"/>
          <w:b/>
          <w:bCs/>
          <w:color w:val="000000"/>
          <w:sz w:val="24"/>
          <w:lang w:val="en-US" w:eastAsia="zh-CN"/>
        </w:rPr>
        <w:t>（2）</w:t>
      </w:r>
      <w:r>
        <w:rPr>
          <w:rFonts w:hint="eastAsia" w:cs="Times New Roman"/>
          <w:b/>
          <w:bCs/>
          <w:color w:val="000000"/>
          <w:sz w:val="24"/>
          <w:lang w:val="en-US" w:eastAsia="zh-CN"/>
        </w:rPr>
        <w:t xml:space="preserve"> </w:t>
      </w:r>
      <w:r>
        <w:rPr>
          <w:rFonts w:hint="eastAsia" w:ascii="宋体" w:hAnsi="宋体" w:eastAsia="宋体" w:cs="宋体"/>
          <w:b/>
          <w:bCs/>
          <w:color w:val="000000"/>
          <w:sz w:val="24"/>
        </w:rPr>
        <w:t xml:space="preserve"> 厂界噪声环境监测结果表 [单位：</w:t>
      </w:r>
      <w:r>
        <w:rPr>
          <w:rFonts w:hint="default" w:ascii="Times New Roman" w:hAnsi="Times New Roman" w:eastAsia="宋体" w:cs="Times New Roman"/>
          <w:b/>
          <w:bCs/>
          <w:color w:val="000000"/>
          <w:sz w:val="24"/>
        </w:rPr>
        <w:t>dB(A)</w:t>
      </w:r>
      <w:r>
        <w:rPr>
          <w:rFonts w:hint="eastAsia" w:ascii="宋体" w:hAnsi="宋体" w:eastAsia="宋体" w:cs="宋体"/>
          <w:b/>
          <w:bCs/>
          <w:color w:val="000000"/>
          <w:sz w:val="24"/>
        </w:rPr>
        <w:t>]</w:t>
      </w:r>
    </w:p>
    <w:tbl>
      <w:tblPr>
        <w:tblStyle w:val="19"/>
        <w:tblW w:w="8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3"/>
        <w:gridCol w:w="966"/>
        <w:gridCol w:w="1552"/>
        <w:gridCol w:w="1500"/>
        <w:gridCol w:w="1400"/>
        <w:gridCol w:w="1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restart"/>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厂区</w:t>
            </w:r>
          </w:p>
        </w:tc>
        <w:tc>
          <w:tcPr>
            <w:tcW w:w="966" w:type="dxa"/>
            <w:vMerge w:val="restart"/>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编号</w:t>
            </w:r>
          </w:p>
        </w:tc>
        <w:tc>
          <w:tcPr>
            <w:tcW w:w="5822" w:type="dxa"/>
            <w:gridSpan w:val="4"/>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监测时间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Merge w:val="continue"/>
            <w:vAlign w:val="center"/>
          </w:tcPr>
          <w:p>
            <w:pPr>
              <w:spacing w:line="280" w:lineRule="exact"/>
              <w:jc w:val="center"/>
              <w:rPr>
                <w:rFonts w:hint="eastAsia" w:ascii="Times New Roman" w:hAnsi="Times New Roman" w:eastAsia="宋体" w:cs="Times New Roman"/>
                <w:b w:val="0"/>
                <w:bCs w:val="0"/>
                <w:shd w:val="clear" w:color="auto" w:fill="auto"/>
                <w:lang w:val="en-US" w:eastAsia="zh-CN"/>
              </w:rPr>
            </w:pPr>
          </w:p>
        </w:tc>
        <w:tc>
          <w:tcPr>
            <w:tcW w:w="3052" w:type="dxa"/>
            <w:gridSpan w:val="2"/>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2021.05.09</w:t>
            </w:r>
          </w:p>
        </w:tc>
        <w:tc>
          <w:tcPr>
            <w:tcW w:w="2770" w:type="dxa"/>
            <w:gridSpan w:val="2"/>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2021.05.10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Merge w:val="continue"/>
            <w:vAlign w:val="center"/>
          </w:tcPr>
          <w:p>
            <w:pPr>
              <w:spacing w:line="280" w:lineRule="exact"/>
              <w:jc w:val="center"/>
              <w:rPr>
                <w:rFonts w:hint="eastAsia" w:ascii="Times New Roman" w:hAnsi="Times New Roman" w:eastAsia="宋体" w:cs="Times New Roman"/>
                <w:b w:val="0"/>
                <w:bCs w:val="0"/>
                <w:shd w:val="clear" w:color="auto" w:fill="auto"/>
                <w:lang w:val="en-US" w:eastAsia="zh-CN"/>
              </w:rPr>
            </w:pP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昼间</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夜间</w:t>
            </w:r>
          </w:p>
        </w:tc>
        <w:tc>
          <w:tcPr>
            <w:tcW w:w="140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昼间</w:t>
            </w:r>
          </w:p>
        </w:tc>
        <w:tc>
          <w:tcPr>
            <w:tcW w:w="1370"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restart"/>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博汇纸业东厂区厂界</w:t>
            </w:r>
          </w:p>
        </w:tc>
        <w:tc>
          <w:tcPr>
            <w:tcW w:w="966"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1</w:t>
            </w:r>
            <w:r>
              <w:rPr>
                <w:rFonts w:hint="default" w:ascii="Times New Roman" w:hAnsi="Times New Roman" w:eastAsia="宋体" w:cs="Times New Roman"/>
                <w:shd w:val="clear" w:color="auto" w:fill="auto"/>
                <w:vertAlign w:val="baseline"/>
              </w:rPr>
              <w:t>#</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64</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52</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61</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2</w:t>
            </w:r>
            <w:r>
              <w:rPr>
                <w:rFonts w:hint="default" w:ascii="Times New Roman" w:hAnsi="Times New Roman" w:eastAsia="宋体" w:cs="Times New Roman"/>
                <w:shd w:val="clear" w:color="auto" w:fill="auto"/>
                <w:vertAlign w:val="baseline"/>
              </w:rPr>
              <w:t>#</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61</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52</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61</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3</w:t>
            </w:r>
            <w:r>
              <w:rPr>
                <w:rFonts w:hint="default" w:ascii="Times New Roman" w:hAnsi="Times New Roman" w:eastAsia="宋体" w:cs="Times New Roman"/>
                <w:shd w:val="clear" w:color="auto" w:fill="auto"/>
                <w:vertAlign w:val="baseline"/>
              </w:rPr>
              <w:t>#</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56</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50</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57</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4</w:t>
            </w:r>
            <w:r>
              <w:rPr>
                <w:rFonts w:hint="default" w:ascii="Times New Roman" w:hAnsi="Times New Roman" w:eastAsia="宋体" w:cs="Times New Roman"/>
                <w:shd w:val="clear" w:color="auto" w:fill="auto"/>
                <w:vertAlign w:val="baseline"/>
              </w:rPr>
              <w:t>#</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61</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52</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63</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5</w:t>
            </w:r>
            <w:r>
              <w:rPr>
                <w:rFonts w:hint="default" w:ascii="Times New Roman" w:hAnsi="Times New Roman" w:eastAsia="宋体" w:cs="Times New Roman"/>
                <w:shd w:val="clear" w:color="auto" w:fill="auto"/>
                <w:vertAlign w:val="baseline"/>
              </w:rPr>
              <w:t>#</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61</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50</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62</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Align w:val="center"/>
          </w:tcPr>
          <w:p>
            <w:pPr>
              <w:spacing w:line="280" w:lineRule="exact"/>
              <w:jc w:val="center"/>
              <w:rPr>
                <w:rFonts w:hint="eastAsia" w:ascii="Times New Roman" w:hAnsi="Times New Roman" w:cs="Times New Roman"/>
                <w:b w:val="0"/>
                <w:bCs w:val="0"/>
                <w:sz w:val="21"/>
                <w:szCs w:val="21"/>
                <w:vertAlign w:val="baseline"/>
                <w:lang w:val="en-US" w:eastAsia="zh-CN"/>
              </w:rPr>
            </w:pPr>
            <w:r>
              <w:rPr>
                <w:rFonts w:hint="eastAsia" w:ascii="Times New Roman" w:hAnsi="Times New Roman" w:eastAsia="宋体" w:cs="Times New Roman"/>
                <w:shd w:val="clear" w:color="auto" w:fill="auto"/>
                <w:lang w:val="en-US" w:eastAsia="zh-CN"/>
              </w:rPr>
              <w:t>6#</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57</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49</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56</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Align w:val="center"/>
          </w:tcPr>
          <w:p>
            <w:pPr>
              <w:spacing w:line="280" w:lineRule="exact"/>
              <w:jc w:val="center"/>
              <w:rPr>
                <w:rFonts w:hint="eastAsia" w:ascii="Times New Roman" w:hAnsi="Times New Roman" w:eastAsia="宋体" w:cs="Times New Roman"/>
                <w:shd w:val="clear" w:color="auto" w:fill="auto"/>
                <w:lang w:val="en-US" w:eastAsia="zh-CN"/>
              </w:rPr>
            </w:pPr>
            <w:r>
              <w:rPr>
                <w:rFonts w:hint="eastAsia" w:ascii="Times New Roman" w:hAnsi="Times New Roman" w:eastAsia="宋体" w:cs="Times New Roman"/>
                <w:shd w:val="clear" w:color="auto" w:fill="auto"/>
                <w:lang w:val="en-US" w:eastAsia="zh-CN"/>
              </w:rPr>
              <w:t>7#</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61</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52</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63</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3" w:type="dxa"/>
            <w:vMerge w:val="continue"/>
            <w:vAlign w:val="center"/>
          </w:tcPr>
          <w:p>
            <w:pPr>
              <w:pStyle w:val="5"/>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sz w:val="21"/>
                <w:szCs w:val="21"/>
                <w:vertAlign w:val="baseline"/>
                <w:lang w:val="en-US" w:eastAsia="zh-CN"/>
              </w:rPr>
            </w:pPr>
          </w:p>
        </w:tc>
        <w:tc>
          <w:tcPr>
            <w:tcW w:w="966" w:type="dxa"/>
            <w:vAlign w:val="center"/>
          </w:tcPr>
          <w:p>
            <w:pPr>
              <w:spacing w:line="280" w:lineRule="exact"/>
              <w:jc w:val="center"/>
              <w:rPr>
                <w:rFonts w:hint="eastAsia" w:ascii="Times New Roman" w:hAnsi="Times New Roman" w:eastAsia="宋体" w:cs="Times New Roman"/>
                <w:shd w:val="clear" w:color="auto" w:fill="auto"/>
                <w:lang w:val="en-US" w:eastAsia="zh-CN"/>
              </w:rPr>
            </w:pPr>
            <w:r>
              <w:rPr>
                <w:rFonts w:hint="eastAsia" w:ascii="Times New Roman" w:hAnsi="Times New Roman" w:eastAsia="宋体" w:cs="Times New Roman"/>
                <w:shd w:val="clear" w:color="auto" w:fill="auto"/>
                <w:lang w:val="en-US" w:eastAsia="zh-CN"/>
              </w:rPr>
              <w:t>8#</w:t>
            </w:r>
          </w:p>
        </w:tc>
        <w:tc>
          <w:tcPr>
            <w:tcW w:w="1552"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58</w:t>
            </w:r>
          </w:p>
        </w:tc>
        <w:tc>
          <w:tcPr>
            <w:tcW w:w="15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48</w:t>
            </w:r>
          </w:p>
        </w:tc>
        <w:tc>
          <w:tcPr>
            <w:tcW w:w="140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59</w:t>
            </w:r>
          </w:p>
        </w:tc>
        <w:tc>
          <w:tcPr>
            <w:tcW w:w="1370" w:type="dxa"/>
            <w:vAlign w:val="center"/>
          </w:tcPr>
          <w:p>
            <w:pPr>
              <w:spacing w:line="280" w:lineRule="exact"/>
              <w:jc w:val="center"/>
              <w:rPr>
                <w:rFonts w:hint="default" w:ascii="Times New Roman" w:hAnsi="Times New Roman" w:cs="Times New Roman"/>
                <w:b w:val="0"/>
                <w:bCs w:val="0"/>
                <w:sz w:val="21"/>
                <w:szCs w:val="21"/>
                <w:vertAlign w:val="baseline"/>
                <w:lang w:val="en-US" w:eastAsia="zh-CN"/>
              </w:rPr>
            </w:pPr>
            <w:r>
              <w:rPr>
                <w:rFonts w:hint="eastAsia" w:ascii="Times New Roman" w:hAnsi="Times New Roman" w:cs="Times New Roman"/>
                <w:b w:val="0"/>
                <w:bCs w:val="0"/>
                <w:sz w:val="21"/>
                <w:szCs w:val="21"/>
                <w:vertAlign w:val="baseline"/>
                <w:lang w:val="en-US" w:eastAsia="zh-CN"/>
              </w:rPr>
              <w:t>48</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7</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b/>
          <w:bCs/>
          <w:sz w:val="24"/>
          <w:szCs w:val="24"/>
          <w:lang w:val="en-US" w:eastAsia="zh-CN"/>
        </w:rPr>
        <w:t>声环境质量现状评价</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7</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 xml:space="preserve">1 </w:t>
      </w:r>
      <w:r>
        <w:rPr>
          <w:rFonts w:hint="eastAsia" w:ascii="Times New Roman" w:hAnsi="Times New Roman"/>
          <w:b/>
          <w:bCs/>
          <w:sz w:val="24"/>
          <w:szCs w:val="24"/>
          <w:lang w:val="en-US" w:eastAsia="zh-CN"/>
        </w:rPr>
        <w:t>评价标准</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lang w:val="en-US" w:eastAsia="zh-CN"/>
        </w:rPr>
      </w:pPr>
      <w:r>
        <w:rPr>
          <w:rFonts w:hint="default" w:ascii="Times New Roman" w:hAnsi="Times New Roman" w:eastAsia="宋体"/>
          <w:sz w:val="24"/>
          <w:szCs w:val="24"/>
          <w:lang w:val="en-US" w:eastAsia="zh-CN"/>
        </w:rPr>
        <w:t>公司厂界噪声执行《工业企业厂界环境噪声排放标准》</w:t>
      </w:r>
      <w:r>
        <w:rPr>
          <w:rFonts w:hint="default" w:ascii="Times New Roman" w:hAnsi="Times New Roman" w:eastAsia="宋体" w:cs="Times New Roman"/>
          <w:sz w:val="24"/>
          <w:szCs w:val="24"/>
          <w:lang w:val="en-US" w:eastAsia="zh-CN"/>
        </w:rPr>
        <w:t>（GB12348-2008）</w:t>
      </w:r>
      <w:r>
        <w:rPr>
          <w:rFonts w:hint="default" w:ascii="Times New Roman" w:hAnsi="Times New Roman" w:eastAsia="宋体"/>
          <w:sz w:val="24"/>
          <w:szCs w:val="24"/>
          <w:lang w:val="en-US" w:eastAsia="zh-CN"/>
        </w:rPr>
        <w:t>中的</w:t>
      </w:r>
      <w:r>
        <w:rPr>
          <w:rFonts w:hint="default" w:ascii="Times New Roman" w:hAnsi="Times New Roman" w:eastAsia="宋体" w:cs="Times New Roman"/>
          <w:sz w:val="24"/>
          <w:szCs w:val="24"/>
          <w:lang w:val="en-US" w:eastAsia="zh-CN"/>
        </w:rPr>
        <w:t>3</w:t>
      </w:r>
      <w:r>
        <w:rPr>
          <w:rFonts w:hint="default" w:ascii="Times New Roman" w:hAnsi="Times New Roman" w:eastAsia="宋体"/>
          <w:sz w:val="24"/>
          <w:szCs w:val="24"/>
          <w:lang w:val="en-US" w:eastAsia="zh-CN"/>
        </w:rPr>
        <w:t>类标准。</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7</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 xml:space="preserve">2 </w:t>
      </w:r>
      <w:r>
        <w:rPr>
          <w:rFonts w:hint="eastAsia" w:ascii="Times New Roman" w:hAnsi="Times New Roman"/>
          <w:b/>
          <w:bCs/>
          <w:sz w:val="24"/>
          <w:szCs w:val="24"/>
          <w:lang w:val="en-US" w:eastAsia="zh-CN"/>
        </w:rPr>
        <w:t>评价方法</w:t>
      </w:r>
    </w:p>
    <w:p>
      <w:pPr>
        <w:pStyle w:val="2"/>
        <w:keepNext w:val="0"/>
        <w:keepLines w:val="0"/>
        <w:pageBreakBefore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根据监测结果统计出的各点昼间和夜间的等效连续 A声级[Leq(A)]，采用超标值法进行噪声环境现状评价。计算公式为：</w:t>
      </w:r>
    </w:p>
    <w:p>
      <w:pPr>
        <w:pStyle w:val="2"/>
        <w:keepNext w:val="0"/>
        <w:keepLines w:val="0"/>
        <w:pageBreakBefore w:val="0"/>
        <w:kinsoku/>
        <w:wordWrap/>
        <w:overflowPunct/>
        <w:topLinePunct w:val="0"/>
        <w:autoSpaceDE/>
        <w:autoSpaceDN/>
        <w:bidi w:val="0"/>
        <w:adjustRightInd/>
        <w:snapToGrid w:val="0"/>
        <w:spacing w:line="360" w:lineRule="auto"/>
        <w:ind w:left="0" w:leftChars="0" w:firstLine="0" w:firstLineChars="0"/>
        <w:jc w:val="center"/>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P=Leq-L</w:t>
      </w:r>
      <w:r>
        <w:rPr>
          <w:rFonts w:hint="default" w:ascii="Times New Roman" w:hAnsi="Times New Roman" w:eastAsia="宋体"/>
          <w:sz w:val="24"/>
          <w:szCs w:val="24"/>
          <w:vertAlign w:val="subscript"/>
          <w:lang w:val="en-US" w:eastAsia="zh-CN"/>
        </w:rPr>
        <w:t>b</w:t>
      </w:r>
    </w:p>
    <w:p>
      <w:pPr>
        <w:pStyle w:val="2"/>
        <w:keepNext w:val="0"/>
        <w:keepLines w:val="0"/>
        <w:pageBreakBefore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式中：P —超标值，dB(A)；</w:t>
      </w:r>
    </w:p>
    <w:p>
      <w:pPr>
        <w:pStyle w:val="2"/>
        <w:keepNext w:val="0"/>
        <w:keepLines w:val="0"/>
        <w:pageBreakBefore w:val="0"/>
        <w:kinsoku/>
        <w:wordWrap/>
        <w:overflowPunct/>
        <w:topLinePunct w:val="0"/>
        <w:autoSpaceDE/>
        <w:autoSpaceDN/>
        <w:bidi w:val="0"/>
        <w:adjustRightInd/>
        <w:snapToGrid w:val="0"/>
        <w:spacing w:line="360" w:lineRule="auto"/>
        <w:ind w:left="0" w:leftChars="0" w:firstLine="1200" w:firstLineChars="5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Leq—测点等效连续 A 声级，dB(A)；</w:t>
      </w:r>
    </w:p>
    <w:p>
      <w:pPr>
        <w:pStyle w:val="2"/>
        <w:keepNext w:val="0"/>
        <w:keepLines w:val="0"/>
        <w:pageBreakBefore w:val="0"/>
        <w:kinsoku/>
        <w:wordWrap/>
        <w:overflowPunct/>
        <w:topLinePunct w:val="0"/>
        <w:autoSpaceDE/>
        <w:autoSpaceDN/>
        <w:bidi w:val="0"/>
        <w:adjustRightInd/>
        <w:snapToGrid w:val="0"/>
        <w:spacing w:line="360" w:lineRule="auto"/>
        <w:ind w:left="0" w:leftChars="0" w:firstLine="1200" w:firstLineChars="5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L</w:t>
      </w:r>
      <w:r>
        <w:rPr>
          <w:rFonts w:hint="default" w:ascii="Times New Roman" w:hAnsi="Times New Roman" w:eastAsia="宋体"/>
          <w:sz w:val="24"/>
          <w:szCs w:val="24"/>
          <w:vertAlign w:val="subscript"/>
          <w:lang w:val="en-US" w:eastAsia="zh-CN"/>
        </w:rPr>
        <w:t>b</w:t>
      </w:r>
      <w:r>
        <w:rPr>
          <w:rFonts w:hint="default" w:ascii="Times New Roman" w:hAnsi="Times New Roman" w:eastAsia="宋体"/>
          <w:sz w:val="24"/>
          <w:szCs w:val="24"/>
          <w:lang w:val="en-US" w:eastAsia="zh-CN"/>
        </w:rPr>
        <w:t>—评价标准，dB(A)。</w:t>
      </w:r>
    </w:p>
    <w:p>
      <w:pPr>
        <w:pStyle w:val="2"/>
        <w:keepNext w:val="0"/>
        <w:keepLines w:val="0"/>
        <w:pageBreakBefore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差值为正为超标，差值为负说明达标。</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lang w:val="en-US" w:eastAsia="zh-CN"/>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7</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 xml:space="preserve">3 </w:t>
      </w:r>
      <w:r>
        <w:rPr>
          <w:rFonts w:hint="eastAsia" w:ascii="Times New Roman" w:hAnsi="Times New Roman"/>
          <w:b/>
          <w:bCs/>
          <w:sz w:val="24"/>
          <w:szCs w:val="24"/>
          <w:lang w:val="en-US" w:eastAsia="zh-CN"/>
        </w:rPr>
        <w:t>评价结果</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ascii="Times New Roman" w:hAnsi="Times New Roman" w:eastAsia="宋体"/>
          <w:sz w:val="24"/>
          <w:szCs w:val="24"/>
        </w:rPr>
      </w:pPr>
      <w:r>
        <w:rPr>
          <w:rFonts w:hint="eastAsia" w:ascii="Times New Roman" w:hAnsi="Times New Roman" w:eastAsia="宋体" w:cs="宋体"/>
          <w:color w:val="000000"/>
          <w:kern w:val="0"/>
          <w:sz w:val="24"/>
          <w:szCs w:val="24"/>
          <w:lang w:val="en-US" w:eastAsia="zh-CN" w:bidi="ar"/>
        </w:rPr>
        <w:t>采用超标法对企业厂界噪声进行评价，评价结果见表5.7-3。</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eastAsia="宋体" w:cs="宋体"/>
          <w:b/>
          <w:bCs/>
          <w:color w:val="000000"/>
          <w:sz w:val="24"/>
          <w:szCs w:val="24"/>
        </w:rPr>
      </w:pPr>
      <w:r>
        <w:rPr>
          <w:rFonts w:hint="eastAsia" w:ascii="Times New Roman" w:hAnsi="Times New Roman" w:eastAsia="宋体" w:cs="宋体"/>
          <w:b/>
          <w:bCs/>
          <w:color w:val="000000"/>
          <w:sz w:val="24"/>
          <w:szCs w:val="24"/>
        </w:rPr>
        <w:t>表</w:t>
      </w:r>
      <w:r>
        <w:rPr>
          <w:rFonts w:hint="eastAsia" w:ascii="Times New Roman" w:hAnsi="Times New Roman" w:eastAsia="宋体" w:cs="Times New Roman"/>
          <w:b/>
          <w:bCs/>
          <w:color w:val="000000"/>
          <w:sz w:val="24"/>
          <w:szCs w:val="24"/>
          <w:lang w:val="en-US" w:eastAsia="zh-CN"/>
        </w:rPr>
        <w:t>5.7</w:t>
      </w:r>
      <w:r>
        <w:rPr>
          <w:rFonts w:hint="default" w:ascii="Times New Roman" w:hAnsi="Times New Roman" w:eastAsia="宋体" w:cs="Times New Roman"/>
          <w:b/>
          <w:bCs/>
          <w:color w:val="000000"/>
          <w:sz w:val="24"/>
          <w:szCs w:val="24"/>
          <w:lang w:val="en-US" w:eastAsia="zh-CN"/>
        </w:rPr>
        <w:t>-</w:t>
      </w:r>
      <w:r>
        <w:rPr>
          <w:rFonts w:hint="eastAsia" w:ascii="Times New Roman" w:hAnsi="Times New Roman" w:eastAsia="宋体" w:cs="Times New Roman"/>
          <w:b/>
          <w:bCs/>
          <w:color w:val="000000"/>
          <w:sz w:val="24"/>
          <w:szCs w:val="24"/>
          <w:lang w:val="en-US" w:eastAsia="zh-CN"/>
        </w:rPr>
        <w:t xml:space="preserve">3（1） </w:t>
      </w:r>
      <w:r>
        <w:rPr>
          <w:rFonts w:hint="eastAsia" w:ascii="Times New Roman" w:hAnsi="Times New Roman" w:eastAsia="宋体" w:cs="宋体"/>
          <w:b/>
          <w:bCs/>
          <w:color w:val="000000"/>
          <w:sz w:val="24"/>
          <w:szCs w:val="24"/>
        </w:rPr>
        <w:t xml:space="preserve"> </w:t>
      </w:r>
      <w:r>
        <w:rPr>
          <w:rFonts w:hint="eastAsia" w:ascii="Times New Roman" w:hAnsi="Times New Roman" w:eastAsia="宋体" w:cs="宋体"/>
          <w:b/>
          <w:bCs/>
          <w:color w:val="000000"/>
          <w:sz w:val="24"/>
          <w:szCs w:val="24"/>
          <w:lang w:val="en-US" w:eastAsia="zh-CN"/>
        </w:rPr>
        <w:t>西</w:t>
      </w:r>
      <w:r>
        <w:rPr>
          <w:rFonts w:hint="eastAsia" w:ascii="Times New Roman" w:hAnsi="Times New Roman" w:cs="宋体"/>
          <w:b/>
          <w:bCs/>
          <w:color w:val="000000"/>
          <w:sz w:val="24"/>
          <w:szCs w:val="24"/>
          <w:lang w:val="en-US" w:eastAsia="zh-CN"/>
        </w:rPr>
        <w:t>厂区</w:t>
      </w:r>
      <w:r>
        <w:rPr>
          <w:rFonts w:hint="eastAsia" w:ascii="Times New Roman" w:hAnsi="Times New Roman" w:eastAsia="宋体" w:cs="宋体"/>
          <w:b/>
          <w:bCs/>
          <w:color w:val="000000"/>
          <w:sz w:val="24"/>
          <w:szCs w:val="24"/>
        </w:rPr>
        <w:t>厂界声环境现状监测与评价结果表[单位：dB(A)]</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925"/>
        <w:gridCol w:w="925"/>
        <w:gridCol w:w="900"/>
        <w:gridCol w:w="1100"/>
        <w:gridCol w:w="925"/>
        <w:gridCol w:w="887"/>
        <w:gridCol w:w="963"/>
        <w:gridCol w:w="11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52"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编号</w:t>
            </w:r>
          </w:p>
        </w:tc>
        <w:tc>
          <w:tcPr>
            <w:tcW w:w="7727" w:type="dxa"/>
            <w:gridSpan w:val="8"/>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vertAlign w:val="baseline"/>
                <w:lang w:val="en-US" w:eastAsia="zh-CN"/>
              </w:rPr>
              <w:t>2021.07.20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5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3850" w:type="dxa"/>
            <w:gridSpan w:val="4"/>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昼间</w:t>
            </w:r>
          </w:p>
        </w:tc>
        <w:tc>
          <w:tcPr>
            <w:tcW w:w="3877" w:type="dxa"/>
            <w:gridSpan w:val="4"/>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jc w:val="center"/>
        </w:trPr>
        <w:tc>
          <w:tcPr>
            <w:tcW w:w="65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现状值</w:t>
            </w:r>
          </w:p>
        </w:tc>
        <w:tc>
          <w:tcPr>
            <w:tcW w:w="9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标准值</w:t>
            </w:r>
          </w:p>
        </w:tc>
        <w:tc>
          <w:tcPr>
            <w:tcW w:w="9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超标致</w:t>
            </w:r>
          </w:p>
        </w:tc>
        <w:tc>
          <w:tcPr>
            <w:tcW w:w="11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达标情况</w:t>
            </w:r>
          </w:p>
        </w:tc>
        <w:tc>
          <w:tcPr>
            <w:tcW w:w="9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现状值</w:t>
            </w:r>
          </w:p>
        </w:tc>
        <w:tc>
          <w:tcPr>
            <w:tcW w:w="88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标准值</w:t>
            </w:r>
          </w:p>
        </w:tc>
        <w:tc>
          <w:tcPr>
            <w:tcW w:w="96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超标致</w:t>
            </w:r>
          </w:p>
        </w:tc>
        <w:tc>
          <w:tcPr>
            <w:tcW w:w="110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s="Times New Roman"/>
                <w:sz w:val="21"/>
                <w:szCs w:val="21"/>
                <w:shd w:val="clear" w:color="auto" w:fill="auto"/>
                <w:lang w:val="en-US" w:eastAsia="zh-CN"/>
              </w:rPr>
              <w:t>1</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55.7</w:t>
            </w:r>
          </w:p>
        </w:tc>
        <w:tc>
          <w:tcPr>
            <w:tcW w:w="925"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65</w:t>
            </w: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-9.3</w:t>
            </w:r>
          </w:p>
        </w:tc>
        <w:tc>
          <w:tcPr>
            <w:tcW w:w="11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46.0</w:t>
            </w:r>
          </w:p>
        </w:tc>
        <w:tc>
          <w:tcPr>
            <w:tcW w:w="887"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55</w:t>
            </w: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s="Times New Roman"/>
                <w:sz w:val="21"/>
                <w:szCs w:val="21"/>
                <w:shd w:val="clear" w:color="auto" w:fill="auto"/>
                <w:lang w:val="en-US" w:eastAsia="zh-CN"/>
              </w:rPr>
              <w:t>2</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59.5</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-5.5</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54.4</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-0.6</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s="Times New Roman"/>
                <w:sz w:val="21"/>
                <w:szCs w:val="21"/>
                <w:shd w:val="clear" w:color="auto" w:fill="auto"/>
                <w:lang w:val="en-US" w:eastAsia="zh-CN"/>
              </w:rPr>
              <w:t>3</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64.4</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-0.6</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54.8</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s="Times New Roman"/>
                <w:sz w:val="21"/>
                <w:szCs w:val="21"/>
                <w:shd w:val="clear" w:color="auto" w:fill="auto"/>
                <w:lang w:val="en-US" w:eastAsia="zh-CN"/>
              </w:rPr>
              <w:t>4</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59.5</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-5.5</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53.2</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s="Times New Roman"/>
                <w:sz w:val="21"/>
                <w:szCs w:val="21"/>
                <w:shd w:val="clear" w:color="auto" w:fill="auto"/>
                <w:lang w:val="en-US" w:eastAsia="zh-CN"/>
              </w:rPr>
              <w:t>5</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52.9</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-12.1</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47.5</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s="Times New Roman"/>
                <w:sz w:val="21"/>
                <w:szCs w:val="21"/>
                <w:shd w:val="clear" w:color="auto" w:fill="auto"/>
                <w:lang w:val="en-US" w:eastAsia="zh-CN"/>
              </w:rPr>
              <w:t>6</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56.2</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-8.8</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44.3</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-10.7</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52"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vertAlign w:val="baseline"/>
                <w:lang w:val="en-US" w:eastAsia="zh-CN"/>
              </w:rPr>
              <w:t>编号</w:t>
            </w:r>
          </w:p>
        </w:tc>
        <w:tc>
          <w:tcPr>
            <w:tcW w:w="7727" w:type="dxa"/>
            <w:gridSpan w:val="8"/>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vertAlign w:val="baseline"/>
                <w:lang w:val="en-US" w:eastAsia="zh-CN"/>
              </w:rPr>
              <w:t>2021.07.21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5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cs="Times New Roman"/>
                <w:sz w:val="21"/>
                <w:szCs w:val="21"/>
                <w:shd w:val="clear" w:color="auto" w:fill="auto"/>
                <w:lang w:val="en-US" w:eastAsia="zh-CN"/>
              </w:rPr>
            </w:pPr>
          </w:p>
        </w:tc>
        <w:tc>
          <w:tcPr>
            <w:tcW w:w="3850" w:type="dxa"/>
            <w:gridSpan w:val="4"/>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昼间</w:t>
            </w:r>
          </w:p>
        </w:tc>
        <w:tc>
          <w:tcPr>
            <w:tcW w:w="3877" w:type="dxa"/>
            <w:gridSpan w:val="4"/>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65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cs="Times New Roman"/>
                <w:sz w:val="21"/>
                <w:szCs w:val="21"/>
                <w:shd w:val="clear" w:color="auto" w:fill="auto"/>
                <w:lang w:val="en-US" w:eastAsia="zh-CN"/>
              </w:rPr>
            </w:pPr>
          </w:p>
        </w:tc>
        <w:tc>
          <w:tcPr>
            <w:tcW w:w="9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现状值</w:t>
            </w:r>
          </w:p>
        </w:tc>
        <w:tc>
          <w:tcPr>
            <w:tcW w:w="9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标准值</w:t>
            </w:r>
          </w:p>
        </w:tc>
        <w:tc>
          <w:tcPr>
            <w:tcW w:w="9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超标致</w:t>
            </w:r>
          </w:p>
        </w:tc>
        <w:tc>
          <w:tcPr>
            <w:tcW w:w="11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达标情况</w:t>
            </w:r>
          </w:p>
        </w:tc>
        <w:tc>
          <w:tcPr>
            <w:tcW w:w="9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现状值</w:t>
            </w:r>
          </w:p>
        </w:tc>
        <w:tc>
          <w:tcPr>
            <w:tcW w:w="88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标准值</w:t>
            </w:r>
          </w:p>
        </w:tc>
        <w:tc>
          <w:tcPr>
            <w:tcW w:w="96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超标致</w:t>
            </w:r>
          </w:p>
        </w:tc>
        <w:tc>
          <w:tcPr>
            <w:tcW w:w="110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1</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54.3</w:t>
            </w:r>
          </w:p>
        </w:tc>
        <w:tc>
          <w:tcPr>
            <w:tcW w:w="925"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65</w:t>
            </w: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-10.7</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46.7</w:t>
            </w:r>
          </w:p>
        </w:tc>
        <w:tc>
          <w:tcPr>
            <w:tcW w:w="887"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55</w:t>
            </w: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-8.3</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2</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57.8</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54.0</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3</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64.6</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-0.4</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54.7</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4</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57.2</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-7.8</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54.1</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5</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54.5</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-10.5</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48.8</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-6.2</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6</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55.8</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45.8</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jc w:val="center"/>
        <w:textAlignment w:val="auto"/>
        <w:rPr>
          <w:rFonts w:hint="eastAsia" w:ascii="Times New Roman" w:hAnsi="Times New Roman" w:eastAsia="宋体" w:cs="宋体"/>
          <w:b/>
          <w:bCs/>
          <w:color w:val="000000"/>
          <w:sz w:val="24"/>
          <w:szCs w:val="24"/>
        </w:rPr>
      </w:pPr>
      <w:r>
        <w:rPr>
          <w:rFonts w:hint="eastAsia" w:ascii="Times New Roman" w:hAnsi="Times New Roman" w:eastAsia="宋体" w:cs="宋体"/>
          <w:b/>
          <w:bCs/>
          <w:color w:val="000000"/>
          <w:sz w:val="24"/>
          <w:szCs w:val="24"/>
        </w:rPr>
        <w:t>表</w:t>
      </w:r>
      <w:r>
        <w:rPr>
          <w:rFonts w:hint="eastAsia" w:ascii="Times New Roman" w:hAnsi="Times New Roman" w:eastAsia="宋体" w:cs="Times New Roman"/>
          <w:b/>
          <w:bCs/>
          <w:color w:val="000000"/>
          <w:sz w:val="24"/>
          <w:szCs w:val="24"/>
          <w:lang w:val="en-US" w:eastAsia="zh-CN"/>
        </w:rPr>
        <w:t>5.7</w:t>
      </w:r>
      <w:r>
        <w:rPr>
          <w:rFonts w:hint="default" w:ascii="Times New Roman" w:hAnsi="Times New Roman" w:eastAsia="宋体" w:cs="Times New Roman"/>
          <w:b/>
          <w:bCs/>
          <w:color w:val="000000"/>
          <w:sz w:val="24"/>
          <w:szCs w:val="24"/>
          <w:lang w:val="en-US" w:eastAsia="zh-CN"/>
        </w:rPr>
        <w:t>-</w:t>
      </w:r>
      <w:r>
        <w:rPr>
          <w:rFonts w:hint="eastAsia" w:ascii="Times New Roman" w:hAnsi="Times New Roman" w:eastAsia="宋体" w:cs="Times New Roman"/>
          <w:b/>
          <w:bCs/>
          <w:color w:val="000000"/>
          <w:sz w:val="24"/>
          <w:szCs w:val="24"/>
          <w:lang w:val="en-US" w:eastAsia="zh-CN"/>
        </w:rPr>
        <w:t xml:space="preserve">3（2） </w:t>
      </w:r>
      <w:r>
        <w:rPr>
          <w:rFonts w:hint="eastAsia" w:ascii="Times New Roman" w:hAnsi="Times New Roman" w:eastAsia="宋体" w:cs="宋体"/>
          <w:b/>
          <w:bCs/>
          <w:color w:val="000000"/>
          <w:sz w:val="24"/>
          <w:szCs w:val="24"/>
        </w:rPr>
        <w:t xml:space="preserve"> </w:t>
      </w:r>
      <w:r>
        <w:rPr>
          <w:rFonts w:hint="eastAsia" w:ascii="Times New Roman" w:hAnsi="Times New Roman" w:eastAsia="宋体" w:cs="宋体"/>
          <w:b/>
          <w:bCs/>
          <w:color w:val="000000"/>
          <w:sz w:val="24"/>
          <w:szCs w:val="24"/>
          <w:lang w:val="en-US" w:eastAsia="zh-CN"/>
        </w:rPr>
        <w:t>东</w:t>
      </w:r>
      <w:r>
        <w:rPr>
          <w:rFonts w:hint="eastAsia" w:ascii="Times New Roman" w:hAnsi="Times New Roman" w:cs="宋体"/>
          <w:b/>
          <w:bCs/>
          <w:color w:val="000000"/>
          <w:sz w:val="24"/>
          <w:szCs w:val="24"/>
          <w:lang w:val="en-US" w:eastAsia="zh-CN"/>
        </w:rPr>
        <w:t>厂区</w:t>
      </w:r>
      <w:r>
        <w:rPr>
          <w:rFonts w:hint="eastAsia" w:ascii="Times New Roman" w:hAnsi="Times New Roman" w:eastAsia="宋体" w:cs="宋体"/>
          <w:b/>
          <w:bCs/>
          <w:color w:val="000000"/>
          <w:sz w:val="24"/>
          <w:szCs w:val="24"/>
        </w:rPr>
        <w:t>厂界声环境现状监测与评价结果表[单位：dB(A)]</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925"/>
        <w:gridCol w:w="925"/>
        <w:gridCol w:w="900"/>
        <w:gridCol w:w="1100"/>
        <w:gridCol w:w="925"/>
        <w:gridCol w:w="887"/>
        <w:gridCol w:w="963"/>
        <w:gridCol w:w="11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52"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编号</w:t>
            </w:r>
          </w:p>
        </w:tc>
        <w:tc>
          <w:tcPr>
            <w:tcW w:w="7727" w:type="dxa"/>
            <w:gridSpan w:val="8"/>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2021.05.09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5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3850" w:type="dxa"/>
            <w:gridSpan w:val="4"/>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昼间</w:t>
            </w:r>
          </w:p>
        </w:tc>
        <w:tc>
          <w:tcPr>
            <w:tcW w:w="3877" w:type="dxa"/>
            <w:gridSpan w:val="4"/>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jc w:val="center"/>
        </w:trPr>
        <w:tc>
          <w:tcPr>
            <w:tcW w:w="65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现状值</w:t>
            </w:r>
          </w:p>
        </w:tc>
        <w:tc>
          <w:tcPr>
            <w:tcW w:w="9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标准值</w:t>
            </w:r>
          </w:p>
        </w:tc>
        <w:tc>
          <w:tcPr>
            <w:tcW w:w="9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超标致</w:t>
            </w:r>
          </w:p>
        </w:tc>
        <w:tc>
          <w:tcPr>
            <w:tcW w:w="11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达标情况</w:t>
            </w:r>
          </w:p>
        </w:tc>
        <w:tc>
          <w:tcPr>
            <w:tcW w:w="9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现状值</w:t>
            </w:r>
          </w:p>
        </w:tc>
        <w:tc>
          <w:tcPr>
            <w:tcW w:w="88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标准值</w:t>
            </w:r>
          </w:p>
        </w:tc>
        <w:tc>
          <w:tcPr>
            <w:tcW w:w="96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超标致</w:t>
            </w:r>
          </w:p>
        </w:tc>
        <w:tc>
          <w:tcPr>
            <w:tcW w:w="110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s="Times New Roman"/>
                <w:sz w:val="21"/>
                <w:szCs w:val="21"/>
                <w:shd w:val="clear" w:color="auto" w:fill="auto"/>
                <w:lang w:val="en-US" w:eastAsia="zh-CN"/>
              </w:rPr>
              <w:t>1</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64</w:t>
            </w:r>
          </w:p>
        </w:tc>
        <w:tc>
          <w:tcPr>
            <w:tcW w:w="925"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65</w:t>
            </w: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1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52</w:t>
            </w:r>
          </w:p>
        </w:tc>
        <w:tc>
          <w:tcPr>
            <w:tcW w:w="887"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55</w:t>
            </w: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s="Times New Roman"/>
                <w:sz w:val="21"/>
                <w:szCs w:val="21"/>
                <w:shd w:val="clear" w:color="auto" w:fill="auto"/>
                <w:lang w:val="en-US" w:eastAsia="zh-CN"/>
              </w:rPr>
              <w:t>2</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61</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52</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s="Times New Roman"/>
                <w:sz w:val="21"/>
                <w:szCs w:val="21"/>
                <w:shd w:val="clear" w:color="auto" w:fill="auto"/>
                <w:lang w:val="en-US" w:eastAsia="zh-CN"/>
              </w:rPr>
              <w:t>3</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56</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50</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b w:val="0"/>
                <w:bCs w:val="0"/>
                <w:i w:val="0"/>
                <w:iCs w:val="0"/>
                <w:color w:val="000000"/>
                <w:kern w:val="0"/>
                <w:sz w:val="21"/>
                <w:szCs w:val="21"/>
                <w:u w:val="none"/>
                <w:lang w:val="en-US" w:eastAsia="zh-CN" w:bidi="ar"/>
              </w:rPr>
              <w:t>-</w:t>
            </w:r>
            <w:r>
              <w:rPr>
                <w:rFonts w:hint="default" w:ascii="Times New Roman" w:hAnsi="Times New Roman" w:eastAsia="宋体" w:cs="Times New Roman"/>
                <w:b w:val="0"/>
                <w:bCs w:val="0"/>
                <w:i w:val="0"/>
                <w:iCs w:val="0"/>
                <w:color w:val="000000"/>
                <w:kern w:val="0"/>
                <w:sz w:val="21"/>
                <w:szCs w:val="21"/>
                <w:u w:val="none"/>
                <w:lang w:val="en-US" w:eastAsia="zh-CN" w:bidi="ar"/>
              </w:rPr>
              <w:t>5</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s="Times New Roman"/>
                <w:sz w:val="21"/>
                <w:szCs w:val="21"/>
                <w:shd w:val="clear" w:color="auto" w:fill="auto"/>
                <w:lang w:val="en-US" w:eastAsia="zh-CN"/>
              </w:rPr>
              <w:t>4</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61</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52</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s="Times New Roman"/>
                <w:sz w:val="21"/>
                <w:szCs w:val="21"/>
                <w:shd w:val="clear" w:color="auto" w:fill="auto"/>
                <w:lang w:val="en-US" w:eastAsia="zh-CN"/>
              </w:rPr>
              <w:t>5</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61</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50</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s="Times New Roman"/>
                <w:sz w:val="21"/>
                <w:szCs w:val="21"/>
                <w:shd w:val="clear" w:color="auto" w:fill="auto"/>
                <w:lang w:val="en-US" w:eastAsia="zh-CN"/>
              </w:rPr>
              <w:t>6</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57</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49</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7</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61</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52</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8</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58</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48</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52"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vertAlign w:val="baseline"/>
                <w:lang w:val="en-US" w:eastAsia="zh-CN"/>
              </w:rPr>
              <w:t>编号</w:t>
            </w:r>
          </w:p>
        </w:tc>
        <w:tc>
          <w:tcPr>
            <w:tcW w:w="7727" w:type="dxa"/>
            <w:gridSpan w:val="8"/>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2021.05.10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5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cs="Times New Roman"/>
                <w:sz w:val="21"/>
                <w:szCs w:val="21"/>
                <w:shd w:val="clear" w:color="auto" w:fill="auto"/>
                <w:lang w:val="en-US" w:eastAsia="zh-CN"/>
              </w:rPr>
            </w:pPr>
          </w:p>
        </w:tc>
        <w:tc>
          <w:tcPr>
            <w:tcW w:w="3850" w:type="dxa"/>
            <w:gridSpan w:val="4"/>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昼间</w:t>
            </w:r>
          </w:p>
        </w:tc>
        <w:tc>
          <w:tcPr>
            <w:tcW w:w="3877" w:type="dxa"/>
            <w:gridSpan w:val="4"/>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65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cs="Times New Roman"/>
                <w:sz w:val="21"/>
                <w:szCs w:val="21"/>
                <w:shd w:val="clear" w:color="auto" w:fill="auto"/>
                <w:lang w:val="en-US" w:eastAsia="zh-CN"/>
              </w:rPr>
            </w:pPr>
          </w:p>
        </w:tc>
        <w:tc>
          <w:tcPr>
            <w:tcW w:w="9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现状值</w:t>
            </w:r>
          </w:p>
        </w:tc>
        <w:tc>
          <w:tcPr>
            <w:tcW w:w="9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标准值</w:t>
            </w:r>
          </w:p>
        </w:tc>
        <w:tc>
          <w:tcPr>
            <w:tcW w:w="9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超标致</w:t>
            </w:r>
          </w:p>
        </w:tc>
        <w:tc>
          <w:tcPr>
            <w:tcW w:w="11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达标情况</w:t>
            </w:r>
          </w:p>
        </w:tc>
        <w:tc>
          <w:tcPr>
            <w:tcW w:w="9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现状值</w:t>
            </w:r>
          </w:p>
        </w:tc>
        <w:tc>
          <w:tcPr>
            <w:tcW w:w="88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标准值</w:t>
            </w:r>
          </w:p>
        </w:tc>
        <w:tc>
          <w:tcPr>
            <w:tcW w:w="96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超标致</w:t>
            </w:r>
          </w:p>
        </w:tc>
        <w:tc>
          <w:tcPr>
            <w:tcW w:w="110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1</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61</w:t>
            </w:r>
          </w:p>
        </w:tc>
        <w:tc>
          <w:tcPr>
            <w:tcW w:w="925"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65</w:t>
            </w: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-4</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52</w:t>
            </w:r>
          </w:p>
        </w:tc>
        <w:tc>
          <w:tcPr>
            <w:tcW w:w="887"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55</w:t>
            </w: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-3</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2</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61</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-4</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53</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-2</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3</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57</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-8</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49</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-6</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4</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63</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-2</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53</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-2</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5</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62</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-3</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50</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-5</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6</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56</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-9</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48</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-7</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7</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63</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-2</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52</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-3</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sz w:val="21"/>
                <w:szCs w:val="21"/>
                <w:shd w:val="clear" w:color="auto" w:fill="auto"/>
                <w:lang w:val="en-US" w:eastAsia="zh-CN"/>
              </w:rPr>
            </w:pPr>
            <w:r>
              <w:rPr>
                <w:rFonts w:hint="eastAsia" w:ascii="Times New Roman" w:hAnsi="Times New Roman" w:eastAsia="宋体" w:cs="Times New Roman"/>
                <w:sz w:val="21"/>
                <w:szCs w:val="21"/>
                <w:shd w:val="clear" w:color="auto" w:fill="auto"/>
                <w:lang w:val="en-US" w:eastAsia="zh-CN"/>
              </w:rPr>
              <w:t>8</w:t>
            </w:r>
            <w:r>
              <w:rPr>
                <w:rFonts w:hint="default" w:ascii="Times New Roman" w:hAnsi="Times New Roman" w:eastAsia="宋体" w:cs="Times New Roman"/>
                <w:sz w:val="21"/>
                <w:szCs w:val="21"/>
                <w:shd w:val="clear" w:color="auto" w:fill="auto"/>
                <w:vertAlign w:val="baseline"/>
              </w:rPr>
              <w:t>#</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59</w:t>
            </w:r>
          </w:p>
        </w:tc>
        <w:tc>
          <w:tcPr>
            <w:tcW w:w="925"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00"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-6</w:t>
            </w:r>
          </w:p>
        </w:tc>
        <w:tc>
          <w:tcPr>
            <w:tcW w:w="1100"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c>
          <w:tcPr>
            <w:tcW w:w="925" w:type="dxa"/>
            <w:noWrap w:val="0"/>
            <w:vAlign w:val="center"/>
          </w:tcPr>
          <w:p>
            <w:pPr>
              <w:spacing w:line="280" w:lineRule="exact"/>
              <w:jc w:val="center"/>
              <w:rPr>
                <w:rFonts w:hint="default" w:ascii="Times New Roman" w:hAnsi="Times New Roman" w:eastAsia="宋体"/>
                <w:vertAlign w:val="baseline"/>
                <w:lang w:val="en-US" w:eastAsia="zh-CN"/>
              </w:rPr>
            </w:pPr>
            <w:r>
              <w:rPr>
                <w:rFonts w:hint="eastAsia" w:ascii="Times New Roman" w:hAnsi="Times New Roman" w:cs="Times New Roman"/>
                <w:b w:val="0"/>
                <w:bCs w:val="0"/>
                <w:sz w:val="21"/>
                <w:szCs w:val="21"/>
                <w:vertAlign w:val="baseline"/>
                <w:lang w:val="en-US" w:eastAsia="zh-CN"/>
              </w:rPr>
              <w:t>48</w:t>
            </w:r>
          </w:p>
        </w:tc>
        <w:tc>
          <w:tcPr>
            <w:tcW w:w="887"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p>
        </w:tc>
        <w:tc>
          <w:tcPr>
            <w:tcW w:w="963" w:type="dxa"/>
            <w:noWrap w:val="0"/>
            <w:vAlign w:val="center"/>
          </w:tcPr>
          <w:p>
            <w:pPr>
              <w:keepNext w:val="0"/>
              <w:keepLines w:val="0"/>
              <w:widowControl/>
              <w:suppressLineNumbers w:val="0"/>
              <w:jc w:val="center"/>
              <w:textAlignment w:val="center"/>
              <w:rPr>
                <w:rFonts w:hint="default" w:ascii="Times New Roman" w:hAnsi="Times New Roman" w:eastAsia="宋体"/>
                <w:sz w:val="21"/>
                <w:szCs w:val="21"/>
                <w:vertAlign w:val="baseline"/>
                <w:lang w:val="en-US" w:eastAsia="zh-CN"/>
              </w:rPr>
            </w:pPr>
            <w:r>
              <w:rPr>
                <w:rFonts w:hint="eastAsia" w:ascii="Times New Roman" w:hAnsi="Times New Roman" w:eastAsia="宋体" w:cs="宋体"/>
                <w:i w:val="0"/>
                <w:iCs w:val="0"/>
                <w:color w:val="000000"/>
                <w:kern w:val="0"/>
                <w:sz w:val="21"/>
                <w:szCs w:val="21"/>
                <w:u w:val="none"/>
                <w:lang w:val="en-US" w:eastAsia="zh-CN" w:bidi="ar"/>
              </w:rPr>
              <w:t>-7</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达标</w:t>
            </w:r>
          </w:p>
        </w:tc>
      </w:tr>
    </w:tbl>
    <w:p>
      <w:pPr>
        <w:pStyle w:val="17"/>
        <w:keepNext w:val="0"/>
        <w:keepLines w:val="0"/>
        <w:pageBreakBefore w:val="0"/>
        <w:widowControl w:val="0"/>
        <w:kinsoku/>
        <w:wordWrap/>
        <w:overflowPunct/>
        <w:topLinePunct w:val="0"/>
        <w:autoSpaceDE/>
        <w:autoSpaceDN/>
        <w:bidi w:val="0"/>
        <w:adjustRightInd/>
        <w:snapToGrid w:val="0"/>
        <w:spacing w:before="157" w:beforeLines="50" w:after="0" w:line="360" w:lineRule="auto"/>
        <w:ind w:left="0" w:leftChars="0" w:firstLine="480" w:firstLineChars="200"/>
        <w:textAlignment w:val="auto"/>
        <w:rPr>
          <w:rFonts w:hint="default"/>
          <w:lang w:val="en-US" w:eastAsia="zh-CN"/>
        </w:rPr>
      </w:pPr>
      <w:r>
        <w:rPr>
          <w:rFonts w:hint="default" w:ascii="Times New Roman" w:hAnsi="Times New Roman"/>
          <w:sz w:val="24"/>
          <w:szCs w:val="24"/>
          <w:lang w:val="en-US" w:eastAsia="zh-CN"/>
        </w:rPr>
        <w:t>根据</w:t>
      </w:r>
      <w:r>
        <w:rPr>
          <w:rFonts w:hint="eastAsia" w:ascii="Times New Roman" w:hAnsi="Times New Roman"/>
          <w:sz w:val="24"/>
          <w:szCs w:val="24"/>
          <w:lang w:val="en-US" w:eastAsia="zh-CN"/>
        </w:rPr>
        <w:t>上表</w:t>
      </w:r>
      <w:r>
        <w:rPr>
          <w:rFonts w:hint="default" w:ascii="Times New Roman" w:hAnsi="Times New Roman"/>
          <w:sz w:val="24"/>
          <w:szCs w:val="24"/>
          <w:lang w:val="en-US" w:eastAsia="zh-CN"/>
        </w:rPr>
        <w:t>现状评价结果得知：厂界均满足《工业企业厂界环境噪声排放标准》 （GB12348-2008）中的</w:t>
      </w:r>
      <w:r>
        <w:rPr>
          <w:rFonts w:hint="eastAsia" w:ascii="Times New Roman" w:hAnsi="Times New Roman"/>
          <w:sz w:val="24"/>
          <w:szCs w:val="24"/>
          <w:lang w:val="en-US" w:eastAsia="zh-CN"/>
        </w:rPr>
        <w:t>3</w:t>
      </w:r>
      <w:r>
        <w:rPr>
          <w:rFonts w:hint="default" w:ascii="Times New Roman" w:hAnsi="Times New Roman"/>
          <w:sz w:val="24"/>
          <w:szCs w:val="24"/>
          <w:lang w:val="en-US" w:eastAsia="zh-CN"/>
        </w:rPr>
        <w:t>类标准要求。</w:t>
      </w: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16" w:name="_Toc4782"/>
      <w:bookmarkStart w:id="17" w:name="_Toc7171"/>
      <w:r>
        <w:rPr>
          <w:rFonts w:hint="eastAsia" w:ascii="Times New Roman" w:hAnsi="Times New Roman" w:eastAsia="宋体" w:cs="Times New Roman"/>
          <w:lang w:val="en-US" w:eastAsia="zh-CN"/>
        </w:rPr>
        <w:t>5</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8</w:t>
      </w:r>
      <w:r>
        <w:rPr>
          <w:rFonts w:hint="eastAsia" w:ascii="宋体" w:hAnsi="宋体" w:eastAsia="宋体" w:cs="宋体"/>
          <w:lang w:val="en-US" w:eastAsia="zh-CN"/>
        </w:rPr>
        <w:t>土壤环境质量现状调查与评价</w:t>
      </w:r>
      <w:bookmarkEnd w:id="16"/>
      <w:bookmarkEnd w:id="17"/>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b/>
          <w:color w:val="auto"/>
          <w:sz w:val="28"/>
          <w:szCs w:val="28"/>
          <w:lang w:val="en-US" w:eastAsia="zh-CN"/>
        </w:rPr>
      </w:pPr>
      <w:r>
        <w:rPr>
          <w:rFonts w:hint="eastAsia" w:ascii="Times New Roman" w:hAnsi="Times New Roman" w:cs="Times New Roman"/>
          <w:b/>
          <w:color w:val="auto"/>
          <w:sz w:val="28"/>
          <w:szCs w:val="28"/>
          <w:lang w:val="en-US" w:eastAsia="zh-CN"/>
        </w:rPr>
        <w:t>5.8</w:t>
      </w:r>
      <w:r>
        <w:rPr>
          <w:rFonts w:hint="default" w:ascii="Times New Roman" w:hAnsi="Times New Roman" w:cs="Times New Roman"/>
          <w:b/>
          <w:color w:val="auto"/>
          <w:sz w:val="28"/>
          <w:szCs w:val="28"/>
          <w:lang w:val="en-US" w:eastAsia="zh-CN"/>
        </w:rPr>
        <w:t>.1</w:t>
      </w:r>
      <w:r>
        <w:rPr>
          <w:rFonts w:hint="eastAsia"/>
          <w:b/>
          <w:color w:val="auto"/>
          <w:sz w:val="28"/>
          <w:szCs w:val="28"/>
          <w:lang w:val="en-US" w:eastAsia="zh-CN"/>
        </w:rPr>
        <w:t>土壤环境质量现状监测</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5.8</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b/>
          <w:bCs/>
          <w:sz w:val="24"/>
          <w:szCs w:val="24"/>
          <w:lang w:val="en-US" w:eastAsia="zh-CN"/>
        </w:rPr>
        <w:t>监测布点</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根据项目周边环境状况及周边敏感点分布情况，本次土壤环境现状监测主要在项目厂区及周围敏感点布设</w:t>
      </w:r>
      <w:r>
        <w:rPr>
          <w:rFonts w:hint="eastAsia" w:ascii="Times New Roman" w:hAnsi="Times New Roman"/>
          <w:sz w:val="24"/>
          <w:szCs w:val="24"/>
          <w:lang w:val="en-US" w:eastAsia="zh-CN"/>
        </w:rPr>
        <w:t>8</w:t>
      </w:r>
      <w:r>
        <w:rPr>
          <w:rFonts w:hint="default" w:ascii="Times New Roman" w:hAnsi="Times New Roman"/>
          <w:sz w:val="24"/>
          <w:szCs w:val="24"/>
          <w:lang w:val="en-US" w:eastAsia="zh-CN"/>
        </w:rPr>
        <w:t>个监测点。监测点具体的布点情况见表</w:t>
      </w:r>
      <w:r>
        <w:rPr>
          <w:rFonts w:hint="eastAsia" w:ascii="Times New Roman" w:hAnsi="Times New Roman"/>
          <w:sz w:val="24"/>
          <w:szCs w:val="24"/>
          <w:lang w:val="en-US" w:eastAsia="zh-CN"/>
        </w:rPr>
        <w:t>5.8</w:t>
      </w:r>
      <w:r>
        <w:rPr>
          <w:rFonts w:hint="default" w:ascii="Times New Roman" w:hAnsi="Times New Roman"/>
          <w:sz w:val="24"/>
          <w:szCs w:val="24"/>
          <w:lang w:val="en-US" w:eastAsia="zh-CN"/>
        </w:rPr>
        <w:t>-1。土壤监测点位分布图见图</w:t>
      </w:r>
      <w:r>
        <w:rPr>
          <w:rFonts w:hint="eastAsia" w:ascii="Times New Roman" w:hAnsi="Times New Roman"/>
          <w:sz w:val="24"/>
          <w:szCs w:val="24"/>
          <w:lang w:val="en-US" w:eastAsia="zh-CN"/>
        </w:rPr>
        <w:t>5.8</w:t>
      </w:r>
      <w:r>
        <w:rPr>
          <w:rFonts w:hint="default" w:ascii="Times New Roman" w:hAnsi="Times New Roman"/>
          <w:sz w:val="24"/>
          <w:szCs w:val="24"/>
          <w:lang w:val="en-US" w:eastAsia="zh-CN"/>
        </w:rPr>
        <w:t>-1。</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宋体" w:hAnsi="宋体" w:eastAsia="宋体" w:cs="宋体"/>
          <w:b/>
          <w:bCs/>
          <w:color w:val="000000"/>
          <w:sz w:val="24"/>
        </w:rPr>
      </w:pPr>
      <w:r>
        <w:rPr>
          <w:rFonts w:hint="eastAsia" w:ascii="宋体" w:hAnsi="宋体" w:eastAsia="宋体" w:cs="宋体"/>
          <w:b/>
          <w:bCs/>
          <w:color w:val="000000"/>
          <w:sz w:val="24"/>
        </w:rPr>
        <w:t>表</w:t>
      </w:r>
      <w:r>
        <w:rPr>
          <w:rFonts w:hint="eastAsia" w:ascii="Times New Roman" w:hAnsi="Times New Roman" w:cs="Times New Roman"/>
          <w:b/>
          <w:bCs/>
          <w:color w:val="000000"/>
          <w:sz w:val="24"/>
          <w:lang w:val="en-US" w:eastAsia="zh-CN"/>
        </w:rPr>
        <w:t>5.8-1</w:t>
      </w:r>
      <w:r>
        <w:rPr>
          <w:rFonts w:hint="eastAsia" w:ascii="宋体" w:hAnsi="宋体" w:eastAsia="宋体" w:cs="宋体"/>
          <w:b/>
          <w:bCs/>
          <w:color w:val="000000"/>
          <w:sz w:val="24"/>
        </w:rPr>
        <w:t xml:space="preserve">  土壤现状监测点</w:t>
      </w:r>
    </w:p>
    <w:tbl>
      <w:tblPr>
        <w:tblStyle w:val="18"/>
        <w:tblW w:w="81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7"/>
        <w:gridCol w:w="4556"/>
        <w:gridCol w:w="2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noWrap w:val="0"/>
            <w:vAlign w:val="center"/>
          </w:tcPr>
          <w:p>
            <w:pPr>
              <w:jc w:val="center"/>
              <w:rPr>
                <w:rFonts w:ascii="Times New Roman" w:hAnsi="Times New Roman"/>
                <w:color w:val="000000"/>
                <w:szCs w:val="21"/>
              </w:rPr>
            </w:pPr>
            <w:r>
              <w:rPr>
                <w:rFonts w:hint="eastAsia" w:ascii="Times New Roman" w:hAnsi="Times New Roman"/>
                <w:color w:val="000000"/>
                <w:szCs w:val="21"/>
              </w:rPr>
              <w:t>序号</w:t>
            </w:r>
          </w:p>
        </w:tc>
        <w:tc>
          <w:tcPr>
            <w:tcW w:w="4556" w:type="dxa"/>
            <w:noWrap w:val="0"/>
            <w:vAlign w:val="center"/>
          </w:tcPr>
          <w:p>
            <w:pPr>
              <w:jc w:val="center"/>
              <w:rPr>
                <w:rFonts w:ascii="Times New Roman" w:hAnsi="Times New Roman"/>
                <w:color w:val="000000"/>
                <w:szCs w:val="21"/>
              </w:rPr>
            </w:pPr>
            <w:r>
              <w:rPr>
                <w:rFonts w:hint="eastAsia" w:ascii="Times New Roman" w:hAnsi="Times New Roman"/>
                <w:color w:val="000000"/>
                <w:szCs w:val="21"/>
              </w:rPr>
              <w:t>点位</w:t>
            </w:r>
          </w:p>
        </w:tc>
        <w:tc>
          <w:tcPr>
            <w:tcW w:w="2837" w:type="dxa"/>
            <w:noWrap w:val="0"/>
            <w:vAlign w:val="center"/>
          </w:tcPr>
          <w:p>
            <w:pPr>
              <w:jc w:val="center"/>
              <w:rPr>
                <w:rFonts w:ascii="Times New Roman" w:hAnsi="Times New Roman"/>
                <w:color w:val="000000"/>
                <w:szCs w:val="21"/>
              </w:rPr>
            </w:pPr>
            <w:r>
              <w:rPr>
                <w:rFonts w:hint="eastAsia" w:ascii="Times New Roman" w:hAnsi="Times New Roman"/>
                <w:color w:val="000000"/>
                <w:szCs w:val="21"/>
              </w:rPr>
              <w:t>布点类型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noWrap w:val="0"/>
            <w:vAlign w:val="center"/>
          </w:tcPr>
          <w:p>
            <w:pPr>
              <w:jc w:val="center"/>
              <w:rPr>
                <w:rFonts w:ascii="Times New Roman" w:hAnsi="Times New Roman"/>
                <w:color w:val="000000"/>
                <w:szCs w:val="21"/>
              </w:rPr>
            </w:pPr>
            <w:r>
              <w:rPr>
                <w:rFonts w:hint="eastAsia" w:ascii="Times New Roman" w:hAnsi="Times New Roman"/>
                <w:color w:val="000000"/>
                <w:szCs w:val="21"/>
              </w:rPr>
              <w:t>1#</w:t>
            </w:r>
          </w:p>
        </w:tc>
        <w:tc>
          <w:tcPr>
            <w:tcW w:w="4556" w:type="dxa"/>
            <w:noWrap w:val="0"/>
            <w:vAlign w:val="center"/>
          </w:tcPr>
          <w:p>
            <w:pPr>
              <w:jc w:val="center"/>
              <w:rPr>
                <w:rFonts w:hint="default" w:ascii="Times New Roman" w:hAnsi="Times New Roman" w:eastAsia="宋体"/>
                <w:color w:val="000000"/>
                <w:szCs w:val="21"/>
                <w:lang w:val="en-US" w:eastAsia="zh-CN"/>
              </w:rPr>
            </w:pPr>
            <w:r>
              <w:rPr>
                <w:rFonts w:hint="eastAsia"/>
                <w:color w:val="000000"/>
                <w:szCs w:val="21"/>
                <w:lang w:val="en-US" w:eastAsia="zh-CN"/>
              </w:rPr>
              <w:t>厂内木片仓东侧</w:t>
            </w:r>
          </w:p>
        </w:tc>
        <w:tc>
          <w:tcPr>
            <w:tcW w:w="2837" w:type="dxa"/>
            <w:noWrap w:val="0"/>
            <w:vAlign w:val="center"/>
          </w:tcPr>
          <w:p>
            <w:pPr>
              <w:jc w:val="center"/>
              <w:rPr>
                <w:rFonts w:ascii="Times New Roman" w:hAnsi="Times New Roman"/>
                <w:color w:val="000000"/>
                <w:szCs w:val="21"/>
              </w:rPr>
            </w:pPr>
            <w:r>
              <w:rPr>
                <w:rFonts w:hint="eastAsia" w:ascii="Times New Roman" w:hAnsi="Times New Roman"/>
                <w:color w:val="000000"/>
                <w:szCs w:val="21"/>
              </w:rPr>
              <w:t>柱状样点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noWrap w:val="0"/>
            <w:vAlign w:val="center"/>
          </w:tcPr>
          <w:p>
            <w:pPr>
              <w:jc w:val="center"/>
              <w:rPr>
                <w:rFonts w:ascii="Times New Roman" w:hAnsi="Times New Roman"/>
                <w:color w:val="000000"/>
                <w:szCs w:val="21"/>
              </w:rPr>
            </w:pPr>
            <w:r>
              <w:rPr>
                <w:rFonts w:hint="eastAsia" w:ascii="Times New Roman" w:hAnsi="Times New Roman"/>
                <w:color w:val="000000"/>
                <w:szCs w:val="21"/>
              </w:rPr>
              <w:t>2#</w:t>
            </w:r>
          </w:p>
        </w:tc>
        <w:tc>
          <w:tcPr>
            <w:tcW w:w="4556" w:type="dxa"/>
            <w:noWrap w:val="0"/>
            <w:vAlign w:val="center"/>
          </w:tcPr>
          <w:p>
            <w:pPr>
              <w:jc w:val="center"/>
              <w:rPr>
                <w:rFonts w:hint="default" w:ascii="Times New Roman" w:hAnsi="Times New Roman" w:eastAsia="宋体"/>
                <w:color w:val="000000"/>
                <w:szCs w:val="21"/>
                <w:lang w:val="en-US" w:eastAsia="zh-CN"/>
              </w:rPr>
            </w:pPr>
            <w:r>
              <w:rPr>
                <w:rFonts w:hint="eastAsia"/>
                <w:color w:val="000000"/>
                <w:szCs w:val="21"/>
                <w:lang w:val="en-US" w:eastAsia="zh-CN"/>
              </w:rPr>
              <w:t>厂内堆料场</w:t>
            </w:r>
          </w:p>
        </w:tc>
        <w:tc>
          <w:tcPr>
            <w:tcW w:w="2837" w:type="dxa"/>
            <w:noWrap w:val="0"/>
            <w:vAlign w:val="center"/>
          </w:tcPr>
          <w:p>
            <w:pPr>
              <w:jc w:val="center"/>
              <w:rPr>
                <w:rFonts w:ascii="Times New Roman" w:hAnsi="Times New Roman"/>
                <w:color w:val="000000"/>
                <w:szCs w:val="21"/>
              </w:rPr>
            </w:pPr>
            <w:r>
              <w:rPr>
                <w:rFonts w:hint="eastAsia" w:ascii="Times New Roman" w:hAnsi="Times New Roman"/>
                <w:color w:val="000000"/>
                <w:szCs w:val="21"/>
              </w:rPr>
              <w:t>柱状样点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noWrap w:val="0"/>
            <w:vAlign w:val="center"/>
          </w:tcPr>
          <w:p>
            <w:pPr>
              <w:jc w:val="center"/>
              <w:rPr>
                <w:rFonts w:ascii="Times New Roman" w:hAnsi="Times New Roman"/>
                <w:color w:val="000000"/>
                <w:szCs w:val="21"/>
              </w:rPr>
            </w:pPr>
            <w:r>
              <w:rPr>
                <w:rFonts w:hint="eastAsia" w:ascii="Times New Roman" w:hAnsi="Times New Roman"/>
                <w:color w:val="000000"/>
                <w:szCs w:val="21"/>
              </w:rPr>
              <w:t>3#</w:t>
            </w:r>
          </w:p>
        </w:tc>
        <w:tc>
          <w:tcPr>
            <w:tcW w:w="4556" w:type="dxa"/>
            <w:noWrap w:val="0"/>
            <w:vAlign w:val="center"/>
          </w:tcPr>
          <w:p>
            <w:pPr>
              <w:jc w:val="center"/>
              <w:rPr>
                <w:rFonts w:hint="default" w:ascii="Times New Roman" w:hAnsi="Times New Roman" w:eastAsia="宋体"/>
                <w:color w:val="000000"/>
                <w:szCs w:val="21"/>
                <w:lang w:val="en-US" w:eastAsia="zh-CN"/>
              </w:rPr>
            </w:pPr>
            <w:r>
              <w:rPr>
                <w:rFonts w:hint="eastAsia"/>
                <w:color w:val="000000"/>
                <w:szCs w:val="21"/>
                <w:lang w:val="en-US" w:eastAsia="zh-CN"/>
              </w:rPr>
              <w:t>厂内高档包装纸项目东侧</w:t>
            </w:r>
          </w:p>
        </w:tc>
        <w:tc>
          <w:tcPr>
            <w:tcW w:w="2837" w:type="dxa"/>
            <w:noWrap w:val="0"/>
            <w:vAlign w:val="center"/>
          </w:tcPr>
          <w:p>
            <w:pPr>
              <w:jc w:val="center"/>
              <w:rPr>
                <w:rFonts w:ascii="Times New Roman" w:hAnsi="Times New Roman"/>
                <w:color w:val="000000"/>
                <w:szCs w:val="21"/>
              </w:rPr>
            </w:pPr>
            <w:r>
              <w:rPr>
                <w:rFonts w:hint="eastAsia" w:ascii="Times New Roman" w:hAnsi="Times New Roman"/>
                <w:color w:val="000000"/>
                <w:szCs w:val="21"/>
              </w:rPr>
              <w:t>柱状样点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noWrap w:val="0"/>
            <w:vAlign w:val="center"/>
          </w:tcPr>
          <w:p>
            <w:pPr>
              <w:jc w:val="center"/>
              <w:rPr>
                <w:rFonts w:hint="eastAsia" w:ascii="Times New Roman" w:hAnsi="Times New Roman"/>
                <w:color w:val="000000"/>
                <w:szCs w:val="21"/>
              </w:rPr>
            </w:pPr>
            <w:r>
              <w:rPr>
                <w:rFonts w:hint="eastAsia" w:ascii="Times New Roman" w:hAnsi="Times New Roman"/>
                <w:color w:val="000000"/>
                <w:szCs w:val="21"/>
              </w:rPr>
              <w:t>4#</w:t>
            </w:r>
          </w:p>
        </w:tc>
        <w:tc>
          <w:tcPr>
            <w:tcW w:w="4556" w:type="dxa"/>
            <w:noWrap w:val="0"/>
            <w:vAlign w:val="center"/>
          </w:tcPr>
          <w:p>
            <w:pPr>
              <w:jc w:val="center"/>
              <w:rPr>
                <w:rFonts w:hint="default" w:ascii="Times New Roman" w:hAnsi="Times New Roman" w:eastAsia="宋体"/>
                <w:color w:val="000000"/>
                <w:szCs w:val="21"/>
                <w:lang w:val="en-US" w:eastAsia="zh-CN"/>
              </w:rPr>
            </w:pPr>
            <w:r>
              <w:rPr>
                <w:rFonts w:hint="eastAsia"/>
                <w:color w:val="000000"/>
                <w:szCs w:val="21"/>
                <w:lang w:val="en-US" w:eastAsia="zh-CN"/>
              </w:rPr>
              <w:t>厂内重碳酸钙研磨项目西侧</w:t>
            </w:r>
          </w:p>
        </w:tc>
        <w:tc>
          <w:tcPr>
            <w:tcW w:w="2837" w:type="dxa"/>
            <w:noWrap w:val="0"/>
            <w:vAlign w:val="center"/>
          </w:tcPr>
          <w:p>
            <w:pPr>
              <w:jc w:val="center"/>
              <w:rPr>
                <w:rFonts w:hint="eastAsia" w:ascii="Times New Roman" w:hAnsi="Times New Roman"/>
                <w:color w:val="000000"/>
                <w:szCs w:val="21"/>
              </w:rPr>
            </w:pPr>
            <w:r>
              <w:rPr>
                <w:rFonts w:hint="eastAsia" w:ascii="Times New Roman" w:hAnsi="Times New Roman"/>
                <w:color w:val="000000"/>
                <w:szCs w:val="21"/>
              </w:rPr>
              <w:t>表层样点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noWrap w:val="0"/>
            <w:vAlign w:val="center"/>
          </w:tcPr>
          <w:p>
            <w:pPr>
              <w:jc w:val="center"/>
              <w:rPr>
                <w:rFonts w:hint="eastAsia" w:ascii="Times New Roman" w:hAnsi="Times New Roman"/>
                <w:color w:val="000000"/>
                <w:szCs w:val="21"/>
              </w:rPr>
            </w:pPr>
            <w:r>
              <w:rPr>
                <w:rFonts w:hint="eastAsia" w:ascii="Times New Roman" w:hAnsi="Times New Roman"/>
                <w:color w:val="000000"/>
                <w:szCs w:val="21"/>
                <w:lang w:val="en-US" w:eastAsia="zh-CN"/>
              </w:rPr>
              <w:t>5</w:t>
            </w:r>
            <w:r>
              <w:rPr>
                <w:rFonts w:hint="eastAsia" w:ascii="Times New Roman" w:hAnsi="Times New Roman"/>
                <w:color w:val="000000"/>
                <w:szCs w:val="21"/>
              </w:rPr>
              <w:t>#</w:t>
            </w:r>
          </w:p>
        </w:tc>
        <w:tc>
          <w:tcPr>
            <w:tcW w:w="4556" w:type="dxa"/>
            <w:noWrap w:val="0"/>
            <w:vAlign w:val="center"/>
          </w:tcPr>
          <w:p>
            <w:pPr>
              <w:jc w:val="center"/>
              <w:rPr>
                <w:rFonts w:hint="eastAsia"/>
                <w:color w:val="000000"/>
                <w:szCs w:val="21"/>
                <w:lang w:val="en-US" w:eastAsia="zh-CN"/>
              </w:rPr>
            </w:pPr>
            <w:r>
              <w:rPr>
                <w:rFonts w:hint="eastAsia"/>
                <w:color w:val="000000"/>
                <w:szCs w:val="21"/>
                <w:lang w:val="en-US" w:eastAsia="zh-CN"/>
              </w:rPr>
              <w:t>厂内高档包装纸项目西南侧</w:t>
            </w:r>
          </w:p>
        </w:tc>
        <w:tc>
          <w:tcPr>
            <w:tcW w:w="2837" w:type="dxa"/>
            <w:noWrap w:val="0"/>
            <w:vAlign w:val="center"/>
          </w:tcPr>
          <w:p>
            <w:pPr>
              <w:jc w:val="center"/>
              <w:rPr>
                <w:rFonts w:hint="eastAsia" w:ascii="Times New Roman" w:hAnsi="Times New Roman"/>
                <w:color w:val="000000"/>
                <w:szCs w:val="21"/>
              </w:rPr>
            </w:pPr>
            <w:r>
              <w:rPr>
                <w:rFonts w:hint="eastAsia" w:ascii="Times New Roman" w:hAnsi="Times New Roman"/>
                <w:color w:val="000000"/>
                <w:szCs w:val="21"/>
              </w:rPr>
              <w:t>表层样点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noWrap w:val="0"/>
            <w:vAlign w:val="center"/>
          </w:tcPr>
          <w:p>
            <w:pPr>
              <w:jc w:val="center"/>
              <w:rPr>
                <w:rFonts w:hint="eastAsia" w:ascii="Times New Roman" w:hAnsi="Times New Roman"/>
                <w:color w:val="000000"/>
                <w:szCs w:val="21"/>
              </w:rPr>
            </w:pPr>
            <w:r>
              <w:rPr>
                <w:rFonts w:hint="eastAsia"/>
                <w:color w:val="000000"/>
                <w:szCs w:val="21"/>
                <w:lang w:val="en-US" w:eastAsia="zh-CN"/>
              </w:rPr>
              <w:t>6</w:t>
            </w:r>
            <w:r>
              <w:rPr>
                <w:rFonts w:hint="eastAsia" w:ascii="Times New Roman" w:hAnsi="Times New Roman"/>
                <w:color w:val="000000"/>
                <w:szCs w:val="21"/>
              </w:rPr>
              <w:t>#</w:t>
            </w:r>
          </w:p>
        </w:tc>
        <w:tc>
          <w:tcPr>
            <w:tcW w:w="4556" w:type="dxa"/>
            <w:noWrap w:val="0"/>
            <w:vAlign w:val="center"/>
          </w:tcPr>
          <w:p>
            <w:pPr>
              <w:jc w:val="center"/>
              <w:rPr>
                <w:rFonts w:hint="default" w:ascii="Times New Roman" w:hAnsi="Times New Roman" w:eastAsia="宋体"/>
                <w:color w:val="000000"/>
                <w:szCs w:val="21"/>
                <w:lang w:val="en-US" w:eastAsia="zh-CN"/>
              </w:rPr>
            </w:pPr>
            <w:r>
              <w:rPr>
                <w:rFonts w:hint="eastAsia"/>
                <w:color w:val="000000"/>
                <w:szCs w:val="21"/>
                <w:lang w:val="en-US" w:eastAsia="zh-CN"/>
              </w:rPr>
              <w:t>厂内高档包装纸项目南侧</w:t>
            </w:r>
          </w:p>
        </w:tc>
        <w:tc>
          <w:tcPr>
            <w:tcW w:w="2837" w:type="dxa"/>
            <w:noWrap w:val="0"/>
            <w:vAlign w:val="center"/>
          </w:tcPr>
          <w:p>
            <w:pPr>
              <w:jc w:val="center"/>
              <w:rPr>
                <w:rFonts w:hint="eastAsia" w:ascii="Times New Roman" w:hAnsi="Times New Roman"/>
                <w:color w:val="000000"/>
                <w:szCs w:val="21"/>
              </w:rPr>
            </w:pPr>
            <w:r>
              <w:rPr>
                <w:rFonts w:hint="eastAsia" w:ascii="Times New Roman" w:hAnsi="Times New Roman"/>
                <w:color w:val="000000"/>
                <w:szCs w:val="21"/>
              </w:rPr>
              <w:t>表层样点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27" w:type="dxa"/>
            <w:noWrap w:val="0"/>
            <w:vAlign w:val="center"/>
          </w:tcPr>
          <w:p>
            <w:pPr>
              <w:jc w:val="center"/>
              <w:rPr>
                <w:rFonts w:ascii="Times New Roman" w:hAnsi="Times New Roman"/>
                <w:color w:val="000000"/>
                <w:szCs w:val="21"/>
              </w:rPr>
            </w:pPr>
            <w:r>
              <w:rPr>
                <w:rFonts w:hint="eastAsia"/>
                <w:color w:val="000000"/>
                <w:szCs w:val="21"/>
                <w:lang w:val="en-US" w:eastAsia="zh-CN"/>
              </w:rPr>
              <w:t>7</w:t>
            </w:r>
            <w:r>
              <w:rPr>
                <w:rFonts w:hint="eastAsia" w:ascii="Times New Roman" w:hAnsi="Times New Roman"/>
                <w:color w:val="000000"/>
                <w:szCs w:val="21"/>
              </w:rPr>
              <w:t>#</w:t>
            </w:r>
          </w:p>
        </w:tc>
        <w:tc>
          <w:tcPr>
            <w:tcW w:w="4556" w:type="dxa"/>
            <w:noWrap w:val="0"/>
            <w:vAlign w:val="center"/>
          </w:tcPr>
          <w:p>
            <w:pPr>
              <w:jc w:val="center"/>
              <w:rPr>
                <w:rFonts w:hint="default" w:ascii="Times New Roman" w:hAnsi="Times New Roman" w:eastAsia="宋体"/>
                <w:color w:val="000000"/>
                <w:szCs w:val="21"/>
                <w:lang w:val="en-US" w:eastAsia="zh-CN"/>
              </w:rPr>
            </w:pPr>
            <w:r>
              <w:rPr>
                <w:rFonts w:hint="eastAsia"/>
                <w:color w:val="000000"/>
                <w:szCs w:val="21"/>
                <w:lang w:val="en-US" w:eastAsia="zh-CN"/>
              </w:rPr>
              <w:t>厂区东侧林地</w:t>
            </w:r>
          </w:p>
        </w:tc>
        <w:tc>
          <w:tcPr>
            <w:tcW w:w="2837" w:type="dxa"/>
            <w:noWrap w:val="0"/>
            <w:vAlign w:val="center"/>
          </w:tcPr>
          <w:p>
            <w:pPr>
              <w:jc w:val="center"/>
              <w:rPr>
                <w:rFonts w:ascii="Times New Roman" w:hAnsi="Times New Roman"/>
                <w:color w:val="000000"/>
                <w:szCs w:val="21"/>
              </w:rPr>
            </w:pPr>
            <w:r>
              <w:rPr>
                <w:rFonts w:hint="eastAsia" w:ascii="Times New Roman" w:hAnsi="Times New Roman"/>
                <w:color w:val="000000"/>
                <w:szCs w:val="21"/>
              </w:rPr>
              <w:t>表层样点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noWrap w:val="0"/>
            <w:vAlign w:val="center"/>
          </w:tcPr>
          <w:p>
            <w:pPr>
              <w:jc w:val="center"/>
              <w:rPr>
                <w:rFonts w:hint="default" w:ascii="Times New Roman" w:hAnsi="Times New Roman"/>
                <w:color w:val="000000"/>
                <w:szCs w:val="21"/>
                <w:lang w:val="en-US" w:eastAsia="zh-CN"/>
              </w:rPr>
            </w:pPr>
            <w:r>
              <w:rPr>
                <w:rFonts w:hint="eastAsia"/>
                <w:color w:val="000000"/>
                <w:szCs w:val="21"/>
                <w:lang w:val="en-US" w:eastAsia="zh-CN"/>
              </w:rPr>
              <w:t>8#</w:t>
            </w:r>
          </w:p>
        </w:tc>
        <w:tc>
          <w:tcPr>
            <w:tcW w:w="4556" w:type="dxa"/>
            <w:noWrap w:val="0"/>
            <w:vAlign w:val="center"/>
          </w:tcPr>
          <w:p>
            <w:pPr>
              <w:jc w:val="center"/>
              <w:rPr>
                <w:rFonts w:hint="eastAsia"/>
                <w:color w:val="000000"/>
                <w:szCs w:val="21"/>
                <w:lang w:val="en-US" w:eastAsia="zh-CN"/>
              </w:rPr>
            </w:pPr>
            <w:r>
              <w:rPr>
                <w:rFonts w:hint="eastAsia"/>
                <w:color w:val="000000"/>
                <w:szCs w:val="21"/>
                <w:lang w:val="en-US" w:eastAsia="zh-CN"/>
              </w:rPr>
              <w:t>厂区西侧荒地</w:t>
            </w:r>
          </w:p>
        </w:tc>
        <w:tc>
          <w:tcPr>
            <w:tcW w:w="2837" w:type="dxa"/>
            <w:noWrap w:val="0"/>
            <w:vAlign w:val="center"/>
          </w:tcPr>
          <w:p>
            <w:pPr>
              <w:jc w:val="center"/>
              <w:rPr>
                <w:rFonts w:hint="eastAsia" w:ascii="Times New Roman" w:hAnsi="Times New Roman"/>
                <w:color w:val="000000"/>
                <w:szCs w:val="21"/>
              </w:rPr>
            </w:pPr>
            <w:r>
              <w:rPr>
                <w:rFonts w:hint="eastAsia" w:ascii="Times New Roman" w:hAnsi="Times New Roman"/>
                <w:color w:val="000000"/>
                <w:szCs w:val="21"/>
              </w:rPr>
              <w:t>表层样点</w:t>
            </w:r>
          </w:p>
        </w:tc>
      </w:tr>
    </w:tbl>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宋体" w:hAnsi="宋体" w:eastAsia="宋体" w:cs="宋体"/>
          <w:b/>
          <w:bCs/>
          <w:color w:val="000000"/>
          <w:sz w:val="24"/>
        </w:rPr>
        <w:sectPr>
          <w:headerReference r:id="rId31" w:type="default"/>
          <w:footerReference r:id="rId32"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spacing w:line="240" w:lineRule="auto"/>
        <w:rPr>
          <w:rFonts w:hint="eastAsia" w:eastAsia="宋体"/>
          <w:lang w:eastAsia="zh-CN"/>
        </w:rPr>
      </w:pPr>
      <w:r>
        <w:rPr>
          <w:rFonts w:hint="eastAsia" w:eastAsia="宋体"/>
          <w:lang w:eastAsia="zh-CN"/>
        </w:rPr>
        <w:drawing>
          <wp:anchor distT="0" distB="0" distL="114300" distR="114300" simplePos="0" relativeHeight="251762688" behindDoc="0" locked="0" layoutInCell="1" allowOverlap="1">
            <wp:simplePos x="0" y="0"/>
            <wp:positionH relativeFrom="column">
              <wp:posOffset>276225</wp:posOffset>
            </wp:positionH>
            <wp:positionV relativeFrom="paragraph">
              <wp:posOffset>-250825</wp:posOffset>
            </wp:positionV>
            <wp:extent cx="8199755" cy="5036820"/>
            <wp:effectExtent l="9525" t="9525" r="20320" b="20955"/>
            <wp:wrapNone/>
            <wp:docPr id="393" name="图片 393" descr="C:\Users\Administrator\Desktop\112.png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descr="C:\Users\Administrator\Desktop\112.png112"/>
                    <pic:cNvPicPr>
                      <a:picLocks noChangeAspect="1"/>
                    </pic:cNvPicPr>
                  </pic:nvPicPr>
                  <pic:blipFill>
                    <a:blip r:embed="rId110"/>
                    <a:srcRect/>
                    <a:stretch>
                      <a:fillRect/>
                    </a:stretch>
                  </pic:blipFill>
                  <pic:spPr>
                    <a:xfrm>
                      <a:off x="0" y="0"/>
                      <a:ext cx="8199755" cy="5036820"/>
                    </a:xfrm>
                    <a:prstGeom prst="rect">
                      <a:avLst/>
                    </a:prstGeom>
                    <a:ln>
                      <a:solidFill>
                        <a:schemeClr val="tx1"/>
                      </a:solidFill>
                    </a:ln>
                  </pic:spPr>
                </pic:pic>
              </a:graphicData>
            </a:graphic>
          </wp:anchor>
        </w:drawing>
      </w: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2"/>
        <w:spacing w:line="240" w:lineRule="auto"/>
        <w:rPr>
          <w:rFonts w:hint="eastAsia" w:eastAsia="宋体"/>
          <w:lang w:eastAsia="zh-CN"/>
        </w:rPr>
      </w:pPr>
    </w:p>
    <w:p>
      <w:pPr>
        <w:pStyle w:val="17"/>
        <w:jc w:val="center"/>
        <w:rPr>
          <w:rFonts w:hint="eastAsia"/>
          <w:lang w:eastAsia="zh-CN"/>
        </w:rPr>
        <w:sectPr>
          <w:headerReference r:id="rId33" w:type="default"/>
          <w:footerReference r:id="rId34"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bCs/>
          <w:sz w:val="24"/>
        </w:rPr>
        <w:t>图</w:t>
      </w:r>
      <w:r>
        <w:rPr>
          <w:rFonts w:hint="eastAsia" w:ascii="Times New Roman" w:hAnsi="Times New Roman" w:cs="Times New Roman"/>
          <w:b/>
          <w:bCs/>
          <w:sz w:val="24"/>
          <w:lang w:val="en-US" w:eastAsia="zh-CN"/>
        </w:rPr>
        <w:t>5.8-1</w:t>
      </w:r>
      <w:r>
        <w:rPr>
          <w:rFonts w:hint="default" w:ascii="Times New Roman" w:hAnsi="Times New Roman" w:eastAsia="宋体" w:cs="Times New Roman"/>
          <w:b/>
          <w:bCs/>
          <w:sz w:val="24"/>
        </w:rPr>
        <w:t xml:space="preserve">   土壤现状监测布点示意图</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5.8</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ascii="Times New Roman" w:hAnsi="Times New Roman"/>
          <w:b/>
          <w:bCs/>
          <w:sz w:val="24"/>
          <w:szCs w:val="24"/>
          <w:lang w:val="en-US" w:eastAsia="zh-CN"/>
        </w:rPr>
        <w:t>监测项目</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-4#监测点土壤现状监测因子选取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 h]蒽、茚并[1,2,3-cd]芘、萘共45项基本因子。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5#-</w:t>
      </w:r>
      <w:r>
        <w:rPr>
          <w:rFonts w:hint="eastAsia" w:ascii="Times New Roman" w:hAnsi="Times New Roman"/>
          <w:sz w:val="24"/>
          <w:szCs w:val="24"/>
          <w:lang w:val="en-US" w:eastAsia="zh-CN"/>
        </w:rPr>
        <w:t>8</w:t>
      </w:r>
      <w:r>
        <w:rPr>
          <w:rFonts w:hint="default" w:ascii="Times New Roman" w:hAnsi="Times New Roman"/>
          <w:sz w:val="24"/>
          <w:szCs w:val="24"/>
          <w:lang w:val="en-US" w:eastAsia="zh-CN"/>
        </w:rPr>
        <w:t>#监测点土壤现状监测因子选取pH、砷、镉、铬(六价)、铜、铅、汞、镍、锌共9项基本因子。</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5.8</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eastAsia" w:ascii="Times New Roman" w:hAnsi="Times New Roman"/>
          <w:b/>
          <w:bCs/>
          <w:sz w:val="24"/>
          <w:szCs w:val="24"/>
          <w:lang w:val="en-US" w:eastAsia="zh-CN"/>
        </w:rPr>
        <w:t>监测单位、时间与频率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sz w:val="24"/>
          <w:szCs w:val="24"/>
        </w:rPr>
        <w:t>监测单位：</w:t>
      </w:r>
      <w:r>
        <w:rPr>
          <w:rFonts w:hint="default" w:ascii="Times New Roman" w:hAnsi="Times New Roman"/>
          <w:sz w:val="24"/>
          <w:szCs w:val="24"/>
          <w:highlight w:val="none"/>
          <w:lang w:val="en-US" w:eastAsia="zh-CN"/>
        </w:rPr>
        <w:t>水发（山东）检验检测研究院有限公司</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sz w:val="24"/>
          <w:szCs w:val="24"/>
        </w:rPr>
      </w:pPr>
      <w:r>
        <w:rPr>
          <w:rFonts w:hint="eastAsia"/>
          <w:sz w:val="24"/>
          <w:szCs w:val="24"/>
        </w:rPr>
        <w:t>监测时间：</w:t>
      </w:r>
      <w:r>
        <w:rPr>
          <w:rFonts w:hint="eastAsia" w:ascii="Times New Roman" w:hAnsi="Times New Roman"/>
          <w:sz w:val="24"/>
          <w:szCs w:val="24"/>
          <w:highlight w:val="none"/>
        </w:rPr>
        <w:t>202</w:t>
      </w:r>
      <w:r>
        <w:rPr>
          <w:rFonts w:hint="eastAsia" w:ascii="Times New Roman" w:hAnsi="Times New Roman"/>
          <w:sz w:val="24"/>
          <w:szCs w:val="24"/>
          <w:highlight w:val="none"/>
          <w:lang w:val="en-US" w:eastAsia="zh-CN"/>
        </w:rPr>
        <w:t>1</w:t>
      </w:r>
      <w:r>
        <w:rPr>
          <w:rFonts w:hint="eastAsia" w:ascii="Times New Roman" w:hAnsi="Times New Roman"/>
          <w:sz w:val="24"/>
          <w:szCs w:val="24"/>
          <w:highlight w:val="none"/>
        </w:rPr>
        <w:t>年</w:t>
      </w:r>
      <w:r>
        <w:rPr>
          <w:rFonts w:hint="eastAsia" w:ascii="Times New Roman" w:hAnsi="Times New Roman"/>
          <w:sz w:val="24"/>
          <w:szCs w:val="24"/>
          <w:highlight w:val="none"/>
          <w:lang w:val="en-US" w:eastAsia="zh-CN"/>
        </w:rPr>
        <w:t>07</w:t>
      </w:r>
      <w:r>
        <w:rPr>
          <w:rFonts w:hint="eastAsia" w:ascii="Times New Roman" w:hAnsi="Times New Roman"/>
          <w:sz w:val="24"/>
          <w:szCs w:val="24"/>
          <w:highlight w:val="none"/>
        </w:rPr>
        <w:t>月</w:t>
      </w:r>
      <w:r>
        <w:rPr>
          <w:rFonts w:hint="eastAsia" w:ascii="Times New Roman" w:hAnsi="Times New Roman"/>
          <w:sz w:val="24"/>
          <w:szCs w:val="24"/>
          <w:highlight w:val="none"/>
          <w:lang w:val="en-US" w:eastAsia="zh-CN"/>
        </w:rPr>
        <w:t>20</w:t>
      </w:r>
      <w:r>
        <w:rPr>
          <w:rFonts w:hint="eastAsia" w:ascii="Times New Roman" w:hAnsi="Times New Roman"/>
          <w:sz w:val="24"/>
          <w:szCs w:val="24"/>
          <w:highlight w:val="none"/>
        </w:rPr>
        <w:t>日</w:t>
      </w:r>
      <w:r>
        <w:rPr>
          <w:rFonts w:hint="eastAsia" w:ascii="Times New Roman" w:hAnsi="Times New Roman"/>
          <w:sz w:val="24"/>
          <w:szCs w:val="24"/>
          <w:highlight w:val="none"/>
          <w:lang w:eastAsia="zh-CN"/>
        </w:rPr>
        <w:t>—</w:t>
      </w:r>
      <w:r>
        <w:rPr>
          <w:rFonts w:hint="eastAsia" w:ascii="Times New Roman" w:hAnsi="Times New Roman"/>
          <w:sz w:val="24"/>
          <w:szCs w:val="24"/>
          <w:highlight w:val="none"/>
          <w:lang w:val="en-US" w:eastAsia="zh-CN"/>
        </w:rPr>
        <w:t>2021年08月06日</w:t>
      </w:r>
      <w:r>
        <w:rPr>
          <w:rFonts w:hint="eastAsia"/>
          <w:sz w:val="24"/>
          <w:szCs w:val="24"/>
          <w:highlight w:val="none"/>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sz w:val="24"/>
          <w:szCs w:val="24"/>
        </w:rPr>
        <w:t>监测频率：监测</w:t>
      </w:r>
      <w:r>
        <w:rPr>
          <w:rFonts w:hint="default" w:ascii="Times New Roman" w:hAnsi="Times New Roman" w:cs="Times New Roman"/>
          <w:sz w:val="24"/>
          <w:szCs w:val="24"/>
          <w:lang w:val="en-US" w:eastAsia="zh-CN"/>
        </w:rPr>
        <w:t>1</w:t>
      </w:r>
      <w:r>
        <w:rPr>
          <w:rFonts w:hint="eastAsia"/>
          <w:sz w:val="24"/>
          <w:szCs w:val="24"/>
        </w:rPr>
        <w:t>天，监测一次。</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5.8</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eastAsia" w:ascii="Times New Roman" w:hAnsi="Times New Roman"/>
          <w:b/>
          <w:bCs/>
          <w:sz w:val="24"/>
          <w:szCs w:val="24"/>
          <w:lang w:val="en-US" w:eastAsia="zh-CN"/>
        </w:rPr>
        <w:t>监测分析方法</w:t>
      </w:r>
    </w:p>
    <w:p>
      <w:pPr>
        <w:pStyle w:val="17"/>
        <w:ind w:left="0" w:leftChars="0" w:firstLine="480" w:firstLineChars="200"/>
        <w:rPr>
          <w:rFonts w:hint="default"/>
          <w:b w:val="0"/>
          <w:bCs w:val="0"/>
          <w:sz w:val="24"/>
          <w:szCs w:val="24"/>
          <w:lang w:val="en-US" w:eastAsia="zh-CN"/>
        </w:rPr>
      </w:pPr>
      <w:r>
        <w:rPr>
          <w:rFonts w:hint="default"/>
          <w:b w:val="0"/>
          <w:bCs w:val="0"/>
          <w:sz w:val="24"/>
          <w:szCs w:val="24"/>
          <w:lang w:val="en-US" w:eastAsia="zh-CN"/>
        </w:rPr>
        <w:t>土壤监测项目、监测方法、检出限及方法来源详见表</w:t>
      </w:r>
      <w:r>
        <w:rPr>
          <w:rFonts w:hint="default" w:ascii="Times New Roman" w:hAnsi="Times New Roman" w:cs="Times New Roman"/>
          <w:b w:val="0"/>
          <w:bCs w:val="0"/>
          <w:sz w:val="24"/>
          <w:szCs w:val="24"/>
          <w:lang w:val="en-US" w:eastAsia="zh-CN"/>
        </w:rPr>
        <w:t>5.8-2</w:t>
      </w:r>
      <w:r>
        <w:rPr>
          <w:rFonts w:hint="default"/>
          <w:b w:val="0"/>
          <w:bCs w:val="0"/>
          <w:sz w:val="24"/>
          <w:szCs w:val="24"/>
          <w:lang w:val="en-US" w:eastAsia="zh-CN"/>
        </w:rPr>
        <w:t>。</w:t>
      </w:r>
    </w:p>
    <w:p>
      <w:pPr>
        <w:jc w:val="center"/>
        <w:rPr>
          <w:rFonts w:hint="default"/>
          <w:lang w:val="en-US" w:eastAsia="zh-CN"/>
        </w:rPr>
      </w:pPr>
      <w:r>
        <w:rPr>
          <w:rFonts w:hint="eastAsia" w:ascii="Times New Roman" w:hAnsi="Times New Roman" w:eastAsia="宋体" w:cs="宋体"/>
          <w:b/>
          <w:bCs/>
          <w:color w:val="000000"/>
          <w:sz w:val="24"/>
          <w:szCs w:val="24"/>
        </w:rPr>
        <w:t>表</w:t>
      </w:r>
      <w:r>
        <w:rPr>
          <w:rFonts w:hint="default" w:ascii="Times New Roman" w:hAnsi="Times New Roman" w:eastAsia="宋体" w:cs="Times New Roman"/>
          <w:b/>
          <w:bCs/>
          <w:color w:val="000000"/>
          <w:sz w:val="24"/>
          <w:szCs w:val="24"/>
          <w:lang w:val="en-US" w:eastAsia="zh-CN"/>
        </w:rPr>
        <w:t>5.8-</w:t>
      </w:r>
      <w:r>
        <w:rPr>
          <w:rFonts w:hint="default" w:ascii="Times New Roman" w:hAnsi="Times New Roman" w:cs="Times New Roman"/>
          <w:b/>
          <w:bCs/>
          <w:color w:val="000000"/>
          <w:sz w:val="24"/>
          <w:szCs w:val="24"/>
          <w:lang w:val="en-US" w:eastAsia="zh-CN"/>
        </w:rPr>
        <w:t>2</w:t>
      </w:r>
      <w:r>
        <w:rPr>
          <w:rFonts w:hint="eastAsia" w:ascii="Times New Roman" w:hAnsi="Times New Roman" w:eastAsia="宋体" w:cs="Times New Roman"/>
          <w:b/>
          <w:bCs/>
          <w:color w:val="000000"/>
          <w:sz w:val="24"/>
          <w:szCs w:val="24"/>
          <w:lang w:val="en-US" w:eastAsia="zh-CN"/>
        </w:rPr>
        <w:t xml:space="preserve"> </w:t>
      </w:r>
      <w:r>
        <w:rPr>
          <w:rFonts w:hint="eastAsia" w:ascii="Times New Roman" w:hAnsi="Times New Roman" w:eastAsia="宋体" w:cs="宋体"/>
          <w:b/>
          <w:bCs/>
          <w:color w:val="000000"/>
          <w:sz w:val="24"/>
          <w:szCs w:val="24"/>
        </w:rPr>
        <w:t xml:space="preserve"> 土壤监测方法一览表</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3"/>
        <w:gridCol w:w="2025"/>
        <w:gridCol w:w="2530"/>
        <w:gridCol w:w="1925"/>
        <w:gridCol w:w="13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序号</w:t>
            </w:r>
          </w:p>
        </w:tc>
        <w:tc>
          <w:tcPr>
            <w:tcW w:w="202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检验项目</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分析方法</w:t>
            </w:r>
          </w:p>
        </w:tc>
        <w:tc>
          <w:tcPr>
            <w:tcW w:w="192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方法依据</w:t>
            </w:r>
          </w:p>
        </w:tc>
        <w:tc>
          <w:tcPr>
            <w:tcW w:w="134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w:t>
            </w:r>
          </w:p>
        </w:tc>
        <w:tc>
          <w:tcPr>
            <w:tcW w:w="202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pH</w:t>
            </w:r>
          </w:p>
        </w:tc>
        <w:tc>
          <w:tcPr>
            <w:tcW w:w="2530" w:type="dxa"/>
            <w:noWrap w:val="0"/>
            <w:vAlign w:val="center"/>
          </w:tcPr>
          <w:p>
            <w:pPr>
              <w:jc w:val="center"/>
              <w:rPr>
                <w:rFonts w:hint="eastAsia" w:ascii="Times New Roman" w:hAnsi="Times New Roman" w:eastAsia="宋体"/>
                <w:sz w:val="21"/>
                <w:szCs w:val="21"/>
                <w:vertAlign w:val="baseline"/>
                <w:lang w:val="en-US" w:eastAsia="zh-CN"/>
              </w:rPr>
            </w:pPr>
            <w:r>
              <w:rPr>
                <w:rFonts w:ascii="Times New Roman" w:hAnsi="Times New Roman" w:eastAsia="宋体"/>
                <w:kern w:val="0"/>
                <w:szCs w:val="21"/>
              </w:rPr>
              <w:t>电位法</w:t>
            </w:r>
          </w:p>
        </w:tc>
        <w:tc>
          <w:tcPr>
            <w:tcW w:w="1925" w:type="dxa"/>
            <w:noWrap w:val="0"/>
            <w:vAlign w:val="center"/>
          </w:tcPr>
          <w:p>
            <w:pPr>
              <w:jc w:val="center"/>
              <w:rPr>
                <w:rFonts w:hint="eastAsia" w:ascii="Times New Roman" w:hAnsi="Times New Roman" w:eastAsia="宋体"/>
                <w:sz w:val="21"/>
                <w:szCs w:val="21"/>
                <w:vertAlign w:val="baseline"/>
                <w:lang w:val="en-US" w:eastAsia="zh-CN"/>
              </w:rPr>
            </w:pPr>
            <w:r>
              <w:rPr>
                <w:rFonts w:ascii="Times New Roman" w:hAnsi="Times New Roman" w:eastAsia="宋体"/>
                <w:kern w:val="0"/>
                <w:szCs w:val="21"/>
              </w:rPr>
              <w:t>HJ 962-2018</w:t>
            </w:r>
          </w:p>
        </w:tc>
        <w:tc>
          <w:tcPr>
            <w:tcW w:w="134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0.01（pH值）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砷</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原子荧光法</w:t>
            </w:r>
          </w:p>
        </w:tc>
        <w:tc>
          <w:tcPr>
            <w:tcW w:w="1925"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GB/T 22105.2-2008</w:t>
            </w:r>
          </w:p>
        </w:tc>
        <w:tc>
          <w:tcPr>
            <w:tcW w:w="1343"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镉</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hint="default" w:ascii="Times New Roman" w:hAnsi="Times New Roman" w:eastAsia="宋体"/>
                <w:sz w:val="21"/>
                <w:szCs w:val="21"/>
                <w:vertAlign w:val="baseline"/>
                <w:lang w:val="en-US" w:eastAsia="zh-CN"/>
              </w:rPr>
              <w:t>原子吸收分光光度法</w:t>
            </w:r>
          </w:p>
        </w:tc>
        <w:tc>
          <w:tcPr>
            <w:tcW w:w="1925"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lang w:bidi="ar"/>
              </w:rPr>
              <w:t>GB/T 17141-1997</w:t>
            </w:r>
          </w:p>
        </w:tc>
        <w:tc>
          <w:tcPr>
            <w:tcW w:w="1343"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0.0</w:t>
            </w:r>
            <w:r>
              <w:rPr>
                <w:rFonts w:hint="eastAsia" w:ascii="Times New Roman" w:hAnsi="Times New Roman" w:eastAsia="宋体"/>
                <w:kern w:val="0"/>
                <w:szCs w:val="21"/>
                <w:lang w:val="en-US" w:eastAsia="zh-CN"/>
              </w:rPr>
              <w:t>1</w:t>
            </w:r>
            <w:r>
              <w:rPr>
                <w:rFonts w:ascii="Times New Roman" w:hAnsi="Times New Roman" w:eastAsia="宋体"/>
                <w:kern w:val="0"/>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铅</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原子吸收分光光度法</w:t>
            </w:r>
          </w:p>
        </w:tc>
        <w:tc>
          <w:tcPr>
            <w:tcW w:w="1925"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HJ 491-2019</w:t>
            </w:r>
          </w:p>
        </w:tc>
        <w:tc>
          <w:tcPr>
            <w:tcW w:w="134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10</w:t>
            </w:r>
            <w:r>
              <w:rPr>
                <w:rFonts w:ascii="Times New Roman" w:hAnsi="Times New Roman" w:eastAsia="宋体"/>
                <w:kern w:val="0"/>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5</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汞</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原子荧光法</w:t>
            </w:r>
          </w:p>
        </w:tc>
        <w:tc>
          <w:tcPr>
            <w:tcW w:w="1925"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GB/T 22105.1-2008</w:t>
            </w:r>
          </w:p>
        </w:tc>
        <w:tc>
          <w:tcPr>
            <w:tcW w:w="1343"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0.0</w:t>
            </w:r>
            <w:r>
              <w:rPr>
                <w:rFonts w:hint="eastAsia" w:ascii="Times New Roman" w:hAnsi="Times New Roman" w:eastAsia="宋体"/>
                <w:kern w:val="0"/>
                <w:szCs w:val="21"/>
                <w:lang w:val="en-US" w:eastAsia="zh-CN"/>
              </w:rPr>
              <w:t>02</w:t>
            </w:r>
            <w:r>
              <w:rPr>
                <w:rFonts w:ascii="Times New Roman" w:hAnsi="Times New Roman" w:eastAsia="宋体"/>
                <w:kern w:val="0"/>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6</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铜</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原子吸收分光光度法</w:t>
            </w:r>
          </w:p>
        </w:tc>
        <w:tc>
          <w:tcPr>
            <w:tcW w:w="1925"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HJ 491-2019</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1</w:t>
            </w:r>
            <w:r>
              <w:rPr>
                <w:rFonts w:ascii="Times New Roman" w:hAnsi="Times New Roman" w:eastAsia="宋体"/>
                <w:kern w:val="0"/>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7</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镍</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原子吸收分光光度法</w:t>
            </w:r>
          </w:p>
        </w:tc>
        <w:tc>
          <w:tcPr>
            <w:tcW w:w="1925"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HJ 491-2019</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3</w:t>
            </w:r>
            <w:r>
              <w:rPr>
                <w:rFonts w:ascii="Times New Roman" w:hAnsi="Times New Roman" w:eastAsia="宋体"/>
                <w:kern w:val="0"/>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8</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铬</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rPr>
              <w:t>原子吸收分光光度法</w:t>
            </w:r>
          </w:p>
        </w:tc>
        <w:tc>
          <w:tcPr>
            <w:tcW w:w="1925"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 xml:space="preserve">HJ </w:t>
            </w:r>
            <w:r>
              <w:rPr>
                <w:rFonts w:hint="eastAsia" w:ascii="Times New Roman" w:hAnsi="Times New Roman" w:eastAsia="宋体"/>
                <w:color w:val="000000"/>
                <w:kern w:val="0"/>
                <w:szCs w:val="21"/>
                <w:lang w:val="en-US" w:eastAsia="zh-CN" w:bidi="ar"/>
              </w:rPr>
              <w:t>491</w:t>
            </w:r>
            <w:r>
              <w:rPr>
                <w:rFonts w:ascii="Times New Roman" w:hAnsi="Times New Roman" w:eastAsia="宋体"/>
                <w:color w:val="000000"/>
                <w:kern w:val="0"/>
                <w:szCs w:val="21"/>
                <w:lang w:bidi="ar"/>
              </w:rPr>
              <w:t>-2019</w:t>
            </w:r>
          </w:p>
        </w:tc>
        <w:tc>
          <w:tcPr>
            <w:tcW w:w="134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Cs w:val="21"/>
                <w:lang w:val="en-US" w:eastAsia="zh-CN"/>
              </w:rPr>
              <w:t>4</w:t>
            </w:r>
            <w:r>
              <w:rPr>
                <w:rFonts w:ascii="Times New Roman" w:hAnsi="Times New Roman" w:eastAsia="宋体"/>
                <w:kern w:val="0"/>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9</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四氯化碳</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642-2013</w:t>
            </w:r>
          </w:p>
        </w:tc>
        <w:tc>
          <w:tcPr>
            <w:tcW w:w="1343"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2.1μg/kg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10</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氯仿</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11</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氯甲烷</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12</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1,1-二氯乙烷</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13</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1,2-二氯乙烷</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14</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1,1-二氯乙烯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highlight w:val="none"/>
                <w:vertAlign w:val="baseline"/>
                <w:lang w:val="en-US" w:eastAsia="zh-CN"/>
              </w:rPr>
              <w:t>15</w:t>
            </w:r>
          </w:p>
        </w:tc>
        <w:tc>
          <w:tcPr>
            <w:tcW w:w="2025" w:type="dxa"/>
            <w:noWrap w:val="0"/>
            <w:vAlign w:val="center"/>
          </w:tcPr>
          <w:p>
            <w:pPr>
              <w:tabs>
                <w:tab w:val="left" w:pos="6480"/>
              </w:tabs>
              <w:snapToGrid w:val="0"/>
              <w:ind w:left="-105" w:leftChars="-50" w:right="-105" w:rightChars="-5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顺-1,2-二氯乙烯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642-2013</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0.9μg/kg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16</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反-1,2-二氯乙烯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642-2013</w:t>
            </w:r>
          </w:p>
        </w:tc>
        <w:tc>
          <w:tcPr>
            <w:tcW w:w="1343"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0.9μg/kg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17</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二氯甲烷</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18</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1,2-二氯丙烷</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19</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1,1,1,2-四氯乙烷</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20</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1,1,2,2-四氯乙烷</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21</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四氯乙烯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22</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1,1,1-三氯乙烷</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23</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1,1,2-三氯乙烷</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2</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24</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三氯乙烯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2</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25</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1,2,3-三氯丙烷</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3</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26</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氯乙烯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736-2015</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2</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27</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642-2013</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1.6</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28</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氯苯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642-2013</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1.1</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29</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1,2-二氯苯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642-2013</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1.0</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30</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1,4-二氯苯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642-2013</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1.2</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31</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乙苯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642-2013</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1.2</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32</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苯乙烯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642-2013</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1.6</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33</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甲苯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642-2013</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2.0</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34</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间二甲苯+对二甲苯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lang w:bidi="ar"/>
              </w:rPr>
              <w:t>HJ 642-2013</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3.6</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35</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邻二甲苯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642-2013</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szCs w:val="21"/>
              </w:rPr>
              <w:t>1.3</w:t>
            </w:r>
            <w:r>
              <w:rPr>
                <w:rFonts w:ascii="Times New Roman" w:hAnsi="Times New Roman" w:eastAsia="宋体"/>
                <w:kern w:val="0"/>
                <w:szCs w:val="21"/>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36</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highlight w:val="none"/>
              </w:rPr>
              <w:t>硝基苯</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834-2017</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0.09mg/kg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37</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苯胺</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lang w:bidi="ar"/>
              </w:rPr>
              <w:t>HJ 834-2017</w:t>
            </w:r>
          </w:p>
        </w:tc>
        <w:tc>
          <w:tcPr>
            <w:tcW w:w="1343"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0.09mg/kg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38</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2-氯酚</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834-2017</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39</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苯并[a]蒽</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834-2017</w:t>
            </w:r>
          </w:p>
        </w:tc>
        <w:tc>
          <w:tcPr>
            <w:tcW w:w="1343" w:type="dxa"/>
            <w:noWrap w:val="0"/>
            <w:vAlign w:val="center"/>
          </w:tcPr>
          <w:p>
            <w:pPr>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40</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苯并[a]芘</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834-2017</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41</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苯并[b]荧蒽</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834-2017</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42</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苯并[k]荧蒽</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834-2017</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43</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䓛</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834-2017</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44</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二苯并[a, h]蒽</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834-2017</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45</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茚并[1,2,3-cd]芘</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834-2017</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46</w:t>
            </w:r>
          </w:p>
        </w:tc>
        <w:tc>
          <w:tcPr>
            <w:tcW w:w="2025" w:type="dxa"/>
            <w:noWrap w:val="0"/>
            <w:vAlign w:val="center"/>
          </w:tcPr>
          <w:p>
            <w:pPr>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color w:val="auto"/>
                <w:szCs w:val="21"/>
              </w:rPr>
              <w:t>萘</w:t>
            </w:r>
          </w:p>
        </w:tc>
        <w:tc>
          <w:tcPr>
            <w:tcW w:w="2530" w:type="dxa"/>
            <w:noWrap w:val="0"/>
            <w:vAlign w:val="center"/>
          </w:tcPr>
          <w:p>
            <w:pPr>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气相色谱-质谱法</w:t>
            </w:r>
          </w:p>
        </w:tc>
        <w:tc>
          <w:tcPr>
            <w:tcW w:w="1925" w:type="dxa"/>
            <w:noWrap w:val="0"/>
            <w:vAlign w:val="center"/>
          </w:tcPr>
          <w:p>
            <w:pPr>
              <w:widowControl/>
              <w:jc w:val="center"/>
              <w:textAlignment w:val="center"/>
              <w:rPr>
                <w:rFonts w:hint="default" w:ascii="Times New Roman" w:hAnsi="Times New Roman" w:eastAsia="宋体"/>
                <w:sz w:val="21"/>
                <w:szCs w:val="21"/>
                <w:vertAlign w:val="baseline"/>
                <w:lang w:val="en-US" w:eastAsia="zh-CN"/>
              </w:rPr>
            </w:pPr>
            <w:r>
              <w:rPr>
                <w:rFonts w:ascii="Times New Roman" w:hAnsi="Times New Roman" w:eastAsia="宋体"/>
                <w:color w:val="000000"/>
                <w:kern w:val="0"/>
                <w:szCs w:val="21"/>
                <w:lang w:bidi="ar"/>
              </w:rPr>
              <w:t>HJ 834-2017</w:t>
            </w:r>
          </w:p>
        </w:tc>
        <w:tc>
          <w:tcPr>
            <w:tcW w:w="1343" w:type="dxa"/>
            <w:noWrap w:val="0"/>
            <w:vAlign w:val="center"/>
          </w:tcPr>
          <w:p>
            <w:pPr>
              <w:widowControl/>
              <w:adjustRightInd w:val="0"/>
              <w:snapToGrid w:val="0"/>
              <w:jc w:val="center"/>
              <w:rPr>
                <w:rFonts w:hint="default" w:ascii="Times New Roman" w:hAnsi="Times New Roman" w:eastAsia="宋体"/>
                <w:sz w:val="21"/>
                <w:szCs w:val="21"/>
                <w:vertAlign w:val="baseline"/>
                <w:lang w:val="en-US" w:eastAsia="zh-CN"/>
              </w:rPr>
            </w:pPr>
            <w:r>
              <w:rPr>
                <w:rFonts w:ascii="Times New Roman" w:hAnsi="Times New Roman" w:eastAsia="宋体"/>
                <w:kern w:val="0"/>
                <w:szCs w:val="21"/>
              </w:rPr>
              <w:t>0.09mg/kg</w:t>
            </w:r>
          </w:p>
        </w:tc>
      </w:tr>
    </w:tbl>
    <w:p>
      <w:pPr>
        <w:pStyle w:val="2"/>
        <w:keepNext w:val="0"/>
        <w:keepLines w:val="0"/>
        <w:pageBreakBefore w:val="0"/>
        <w:widowControl w:val="0"/>
        <w:kinsoku/>
        <w:wordWrap/>
        <w:overflowPunct/>
        <w:topLinePunct w:val="0"/>
        <w:autoSpaceDE/>
        <w:autoSpaceDN/>
        <w:bidi w:val="0"/>
        <w:adjustRightInd/>
        <w:snapToGrid w:val="0"/>
        <w:spacing w:before="157" w:beforeLines="50"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5.8</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eastAsia" w:ascii="Times New Roman" w:hAnsi="Times New Roman"/>
          <w:b/>
          <w:bCs/>
          <w:sz w:val="24"/>
          <w:szCs w:val="24"/>
          <w:lang w:val="en-US" w:eastAsia="zh-CN"/>
        </w:rPr>
        <w:t>监测结果</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土壤理化特性调查表见表</w:t>
      </w:r>
      <w:r>
        <w:rPr>
          <w:rFonts w:hint="eastAsia" w:ascii="Times New Roman" w:hAnsi="Times New Roman"/>
          <w:sz w:val="24"/>
          <w:szCs w:val="24"/>
          <w:lang w:val="en-US" w:eastAsia="zh-CN"/>
        </w:rPr>
        <w:t>5.8</w:t>
      </w:r>
      <w:r>
        <w:rPr>
          <w:rFonts w:hint="default" w:ascii="Times New Roman" w:hAnsi="Times New Roman"/>
          <w:sz w:val="24"/>
          <w:szCs w:val="24"/>
          <w:lang w:val="en-US" w:eastAsia="zh-CN"/>
        </w:rPr>
        <w:t>-3。土壤环境质量现状监测结果具体见表</w:t>
      </w:r>
      <w:r>
        <w:rPr>
          <w:rFonts w:hint="eastAsia" w:ascii="Times New Roman" w:hAnsi="Times New Roman"/>
          <w:sz w:val="24"/>
          <w:szCs w:val="24"/>
          <w:lang w:val="en-US" w:eastAsia="zh-CN"/>
        </w:rPr>
        <w:t>5.8</w:t>
      </w:r>
      <w:r>
        <w:rPr>
          <w:rFonts w:hint="default" w:ascii="Times New Roman" w:hAnsi="Times New Roman"/>
          <w:sz w:val="24"/>
          <w:szCs w:val="24"/>
          <w:lang w:val="en-US" w:eastAsia="zh-CN"/>
        </w:rPr>
        <w:t>-4。</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hint="eastAsia" w:ascii="Times New Roman" w:hAnsi="Times New Roman" w:eastAsia="宋体" w:cs="宋体"/>
          <w:b/>
          <w:bCs/>
          <w:color w:val="000000"/>
          <w:sz w:val="24"/>
          <w:szCs w:val="24"/>
        </w:rPr>
        <w:t>表</w:t>
      </w:r>
      <w:r>
        <w:rPr>
          <w:rFonts w:hint="eastAsia" w:ascii="Times New Roman" w:hAnsi="Times New Roman" w:eastAsia="宋体" w:cs="Times New Roman"/>
          <w:b/>
          <w:bCs/>
          <w:color w:val="000000"/>
          <w:sz w:val="24"/>
          <w:szCs w:val="24"/>
          <w:lang w:val="en-US" w:eastAsia="zh-CN"/>
        </w:rPr>
        <w:t>5.8</w:t>
      </w:r>
      <w:r>
        <w:rPr>
          <w:rFonts w:hint="default" w:ascii="Times New Roman" w:hAnsi="Times New Roman" w:eastAsia="宋体" w:cs="Times New Roman"/>
          <w:b/>
          <w:bCs/>
          <w:color w:val="000000"/>
          <w:sz w:val="24"/>
          <w:szCs w:val="24"/>
          <w:lang w:val="en-US" w:eastAsia="zh-CN"/>
        </w:rPr>
        <w:t>-</w:t>
      </w:r>
      <w:r>
        <w:rPr>
          <w:rFonts w:hint="eastAsia" w:ascii="Times New Roman" w:hAnsi="Times New Roman" w:cs="Times New Roman"/>
          <w:b/>
          <w:bCs/>
          <w:color w:val="000000"/>
          <w:sz w:val="24"/>
          <w:szCs w:val="24"/>
          <w:highlight w:val="none"/>
          <w:lang w:val="en-US" w:eastAsia="zh-CN"/>
        </w:rPr>
        <w:t>3</w:t>
      </w:r>
      <w:r>
        <w:rPr>
          <w:rFonts w:hint="eastAsia" w:ascii="Times New Roman" w:hAnsi="Times New Roman" w:eastAsia="宋体" w:cs="Times New Roman"/>
          <w:b/>
          <w:bCs/>
          <w:color w:val="000000"/>
          <w:sz w:val="24"/>
          <w:szCs w:val="24"/>
          <w:highlight w:val="none"/>
          <w:lang w:val="en-US" w:eastAsia="zh-CN"/>
        </w:rPr>
        <w:t xml:space="preserve"> </w:t>
      </w:r>
      <w:r>
        <w:rPr>
          <w:rFonts w:hint="eastAsia" w:ascii="Times New Roman" w:hAnsi="Times New Roman" w:eastAsia="宋体" w:cs="宋体"/>
          <w:b/>
          <w:bCs/>
          <w:color w:val="000000"/>
          <w:sz w:val="24"/>
          <w:szCs w:val="24"/>
          <w:highlight w:val="none"/>
        </w:rPr>
        <w:t xml:space="preserve"> 土壤理化特性调查</w:t>
      </w:r>
      <w:r>
        <w:rPr>
          <w:rFonts w:hint="eastAsia" w:ascii="Times New Roman" w:hAnsi="Times New Roman" w:eastAsia="宋体" w:cs="宋体"/>
          <w:b/>
          <w:bCs/>
          <w:color w:val="000000"/>
          <w:sz w:val="24"/>
          <w:szCs w:val="24"/>
        </w:rPr>
        <w:t>表</w:t>
      </w:r>
    </w:p>
    <w:tbl>
      <w:tblPr>
        <w:tblStyle w:val="18"/>
        <w:tblW w:w="85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5"/>
        <w:gridCol w:w="1959"/>
        <w:gridCol w:w="2737"/>
        <w:gridCol w:w="1700"/>
        <w:gridCol w:w="16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4" w:type="dxa"/>
            <w:gridSpan w:val="2"/>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点号</w:t>
            </w:r>
          </w:p>
        </w:tc>
        <w:tc>
          <w:tcPr>
            <w:tcW w:w="2737" w:type="dxa"/>
            <w:noWrap w:val="0"/>
            <w:vAlign w:val="center"/>
          </w:tcPr>
          <w:p>
            <w:pPr>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1#</w:t>
            </w:r>
          </w:p>
        </w:tc>
        <w:tc>
          <w:tcPr>
            <w:tcW w:w="1700"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时间</w:t>
            </w:r>
          </w:p>
        </w:tc>
        <w:tc>
          <w:tcPr>
            <w:tcW w:w="1663" w:type="dxa"/>
            <w:noWrap w:val="0"/>
            <w:vAlign w:val="center"/>
          </w:tcPr>
          <w:p>
            <w:pPr>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2021.07.23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4" w:type="dxa"/>
            <w:gridSpan w:val="2"/>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经度</w:t>
            </w:r>
          </w:p>
        </w:tc>
        <w:tc>
          <w:tcPr>
            <w:tcW w:w="2737" w:type="dxa"/>
            <w:noWrap w:val="0"/>
            <w:vAlign w:val="center"/>
          </w:tcPr>
          <w:p>
            <w:pPr>
              <w:jc w:val="center"/>
              <w:rPr>
                <w:rFonts w:hint="eastAsia" w:ascii="Times New Roman" w:hAnsi="Times New Roman" w:eastAsia="宋体"/>
                <w:color w:val="000000"/>
                <w:szCs w:val="21"/>
                <w:lang w:val="en-US" w:eastAsia="zh-CN"/>
              </w:rPr>
            </w:pPr>
            <w:r>
              <w:rPr>
                <w:rFonts w:hint="eastAsia" w:ascii="Times New Roman" w:hAnsi="Times New Roman" w:eastAsia="宋体"/>
                <w:color w:val="000000"/>
                <w:szCs w:val="21"/>
                <w:lang w:val="en-US" w:eastAsia="zh-CN"/>
              </w:rPr>
              <w:t>E：117.88443</w:t>
            </w:r>
          </w:p>
        </w:tc>
        <w:tc>
          <w:tcPr>
            <w:tcW w:w="1700"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纬度</w:t>
            </w:r>
          </w:p>
        </w:tc>
        <w:tc>
          <w:tcPr>
            <w:tcW w:w="1663" w:type="dxa"/>
            <w:noWrap w:val="0"/>
            <w:vAlign w:val="center"/>
          </w:tcPr>
          <w:p>
            <w:pPr>
              <w:jc w:val="center"/>
              <w:rPr>
                <w:rFonts w:hint="eastAsia" w:ascii="Times New Roman" w:hAnsi="Times New Roman" w:eastAsia="宋体"/>
                <w:color w:val="000000"/>
                <w:szCs w:val="21"/>
                <w:lang w:val="en-US" w:eastAsia="zh-CN"/>
              </w:rPr>
            </w:pPr>
            <w:r>
              <w:rPr>
                <w:rFonts w:hint="eastAsia" w:ascii="Times New Roman" w:hAnsi="Times New Roman" w:eastAsia="宋体"/>
                <w:color w:val="000000"/>
                <w:szCs w:val="21"/>
                <w:lang w:val="en-US" w:eastAsia="zh-CN"/>
              </w:rPr>
              <w:t>N：37.0612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4" w:type="dxa"/>
            <w:gridSpan w:val="2"/>
            <w:noWrap w:val="0"/>
            <w:vAlign w:val="center"/>
          </w:tcPr>
          <w:p>
            <w:pPr>
              <w:jc w:val="center"/>
              <w:rPr>
                <w:rFonts w:hint="eastAsia" w:ascii="Times New Roman" w:hAnsi="Times New Roman" w:eastAsia="宋体"/>
                <w:color w:val="000000"/>
                <w:szCs w:val="21"/>
                <w:lang w:val="en-US" w:eastAsia="zh-CN"/>
              </w:rPr>
            </w:pPr>
            <w:r>
              <w:rPr>
                <w:rFonts w:hint="eastAsia" w:ascii="Times New Roman" w:hAnsi="Times New Roman" w:eastAsia="宋体"/>
                <w:color w:val="000000"/>
                <w:szCs w:val="21"/>
                <w:lang w:val="en-US" w:eastAsia="zh-CN"/>
              </w:rPr>
              <w:t>层次</w:t>
            </w:r>
          </w:p>
        </w:tc>
        <w:tc>
          <w:tcPr>
            <w:tcW w:w="2737" w:type="dxa"/>
            <w:noWrap w:val="0"/>
            <w:vAlign w:val="center"/>
          </w:tcPr>
          <w:p>
            <w:pPr>
              <w:jc w:val="center"/>
              <w:rPr>
                <w:rFonts w:hint="default" w:ascii="Times New Roman" w:hAnsi="Times New Roman" w:eastAsia="宋体"/>
                <w:color w:val="000000"/>
                <w:szCs w:val="21"/>
                <w:lang w:val="en-US" w:eastAsia="zh-CN"/>
              </w:rPr>
            </w:pPr>
            <w:r>
              <w:rPr>
                <w:rFonts w:hint="default" w:ascii="Times New Roman" w:hAnsi="Times New Roman" w:eastAsia="宋体" w:cs="Times New Roman"/>
                <w:szCs w:val="21"/>
              </w:rPr>
              <w:t>0-</w:t>
            </w:r>
            <w:r>
              <w:rPr>
                <w:rFonts w:hint="eastAsia" w:ascii="Times New Roman" w:hAnsi="Times New Roman" w:eastAsia="宋体" w:cs="Times New Roman"/>
                <w:szCs w:val="21"/>
                <w:lang w:val="en-US" w:eastAsia="zh-CN"/>
              </w:rPr>
              <w:t>0.5</w:t>
            </w:r>
            <w:r>
              <w:rPr>
                <w:rFonts w:hint="default" w:ascii="Times New Roman" w:hAnsi="Times New Roman" w:eastAsia="宋体" w:cs="Times New Roman"/>
                <w:szCs w:val="21"/>
              </w:rPr>
              <w:t>m</w:t>
            </w:r>
          </w:p>
        </w:tc>
        <w:tc>
          <w:tcPr>
            <w:tcW w:w="1700"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s="Times New Roman"/>
                <w:szCs w:val="21"/>
                <w:lang w:val="en-US" w:eastAsia="zh-CN"/>
              </w:rPr>
              <w:t>0.5-1.5</w:t>
            </w:r>
            <w:r>
              <w:rPr>
                <w:rFonts w:hint="default" w:ascii="Times New Roman" w:hAnsi="Times New Roman" w:eastAsia="宋体" w:cs="Times New Roman"/>
                <w:szCs w:val="21"/>
              </w:rPr>
              <w:t>m</w:t>
            </w:r>
          </w:p>
        </w:tc>
        <w:tc>
          <w:tcPr>
            <w:tcW w:w="1663" w:type="dxa"/>
            <w:noWrap w:val="0"/>
            <w:vAlign w:val="center"/>
          </w:tcPr>
          <w:p>
            <w:pPr>
              <w:jc w:val="center"/>
              <w:rPr>
                <w:rFonts w:hint="eastAsia" w:ascii="Times New Roman" w:hAnsi="Times New Roman" w:eastAsia="宋体"/>
                <w:color w:val="000000"/>
                <w:szCs w:val="21"/>
                <w:lang w:val="en-US" w:eastAsia="zh-CN"/>
              </w:rPr>
            </w:pPr>
            <w:r>
              <w:rPr>
                <w:rFonts w:hint="eastAsia" w:ascii="Times New Roman" w:hAnsi="Times New Roman" w:eastAsia="宋体" w:cs="Times New Roman"/>
                <w:szCs w:val="21"/>
                <w:lang w:val="en-US" w:eastAsia="zh-CN"/>
              </w:rPr>
              <w:t>1.5-3</w:t>
            </w:r>
            <w:r>
              <w:rPr>
                <w:rFonts w:hint="default" w:ascii="Times New Roman" w:hAnsi="Times New Roman" w:eastAsia="宋体" w:cs="Times New Roman"/>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5" w:type="dxa"/>
            <w:vMerge w:val="restart"/>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现场记录</w:t>
            </w:r>
          </w:p>
        </w:tc>
        <w:tc>
          <w:tcPr>
            <w:tcW w:w="1959"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颜色</w:t>
            </w:r>
          </w:p>
        </w:tc>
        <w:tc>
          <w:tcPr>
            <w:tcW w:w="2737"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8.33</w:t>
            </w:r>
          </w:p>
        </w:tc>
        <w:tc>
          <w:tcPr>
            <w:tcW w:w="1700"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8.06</w:t>
            </w:r>
          </w:p>
        </w:tc>
        <w:tc>
          <w:tcPr>
            <w:tcW w:w="1663"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8.56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5" w:type="dxa"/>
            <w:vMerge w:val="continue"/>
            <w:noWrap w:val="0"/>
            <w:vAlign w:val="center"/>
          </w:tcPr>
          <w:p>
            <w:pPr>
              <w:jc w:val="center"/>
              <w:rPr>
                <w:rFonts w:hint="eastAsia" w:ascii="Times New Roman" w:hAnsi="Times New Roman" w:eastAsia="宋体"/>
                <w:color w:val="000000"/>
                <w:szCs w:val="21"/>
              </w:rPr>
            </w:pPr>
          </w:p>
        </w:tc>
        <w:tc>
          <w:tcPr>
            <w:tcW w:w="1959"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结构</w:t>
            </w:r>
          </w:p>
        </w:tc>
        <w:tc>
          <w:tcPr>
            <w:tcW w:w="2737"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12.3</w:t>
            </w:r>
          </w:p>
        </w:tc>
        <w:tc>
          <w:tcPr>
            <w:tcW w:w="1700"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12.2</w:t>
            </w:r>
          </w:p>
        </w:tc>
        <w:tc>
          <w:tcPr>
            <w:tcW w:w="1663"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5" w:type="dxa"/>
            <w:vMerge w:val="continue"/>
            <w:noWrap w:val="0"/>
            <w:vAlign w:val="center"/>
          </w:tcPr>
          <w:p>
            <w:pPr>
              <w:jc w:val="center"/>
              <w:rPr>
                <w:rFonts w:hint="eastAsia" w:ascii="Times New Roman" w:hAnsi="Times New Roman" w:eastAsia="宋体"/>
                <w:color w:val="000000"/>
                <w:szCs w:val="21"/>
              </w:rPr>
            </w:pPr>
          </w:p>
        </w:tc>
        <w:tc>
          <w:tcPr>
            <w:tcW w:w="1959"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质地</w:t>
            </w:r>
          </w:p>
        </w:tc>
        <w:tc>
          <w:tcPr>
            <w:tcW w:w="2737"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612</w:t>
            </w:r>
          </w:p>
        </w:tc>
        <w:tc>
          <w:tcPr>
            <w:tcW w:w="1700"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535</w:t>
            </w:r>
          </w:p>
        </w:tc>
        <w:tc>
          <w:tcPr>
            <w:tcW w:w="1663"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342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5" w:type="dxa"/>
            <w:vMerge w:val="continue"/>
            <w:noWrap w:val="0"/>
            <w:vAlign w:val="center"/>
          </w:tcPr>
          <w:p>
            <w:pPr>
              <w:jc w:val="center"/>
              <w:rPr>
                <w:rFonts w:hint="eastAsia" w:ascii="Times New Roman" w:hAnsi="Times New Roman" w:eastAsia="宋体"/>
                <w:color w:val="000000"/>
                <w:szCs w:val="21"/>
              </w:rPr>
            </w:pPr>
          </w:p>
        </w:tc>
        <w:tc>
          <w:tcPr>
            <w:tcW w:w="1959"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砂砾含量</w:t>
            </w:r>
          </w:p>
        </w:tc>
        <w:tc>
          <w:tcPr>
            <w:tcW w:w="2737"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2.85</w:t>
            </w:r>
          </w:p>
        </w:tc>
        <w:tc>
          <w:tcPr>
            <w:tcW w:w="1700"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1.87</w:t>
            </w:r>
          </w:p>
        </w:tc>
        <w:tc>
          <w:tcPr>
            <w:tcW w:w="1663"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5" w:type="dxa"/>
            <w:vMerge w:val="continue"/>
            <w:noWrap w:val="0"/>
            <w:vAlign w:val="center"/>
          </w:tcPr>
          <w:p>
            <w:pPr>
              <w:jc w:val="center"/>
              <w:rPr>
                <w:rFonts w:hint="eastAsia" w:ascii="Times New Roman" w:hAnsi="Times New Roman" w:eastAsia="宋体"/>
                <w:color w:val="000000"/>
                <w:szCs w:val="21"/>
              </w:rPr>
            </w:pPr>
          </w:p>
        </w:tc>
        <w:tc>
          <w:tcPr>
            <w:tcW w:w="1959"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其他异物</w:t>
            </w:r>
          </w:p>
        </w:tc>
        <w:tc>
          <w:tcPr>
            <w:tcW w:w="2737"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1.41</w:t>
            </w:r>
          </w:p>
        </w:tc>
        <w:tc>
          <w:tcPr>
            <w:tcW w:w="1700"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1.44</w:t>
            </w:r>
          </w:p>
        </w:tc>
        <w:tc>
          <w:tcPr>
            <w:tcW w:w="1663"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5" w:type="dxa"/>
            <w:vMerge w:val="restart"/>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实验室测定</w:t>
            </w:r>
          </w:p>
        </w:tc>
        <w:tc>
          <w:tcPr>
            <w:tcW w:w="1959" w:type="dxa"/>
            <w:noWrap w:val="0"/>
            <w:vAlign w:val="center"/>
          </w:tcPr>
          <w:p>
            <w:pPr>
              <w:jc w:val="center"/>
              <w:rPr>
                <w:rFonts w:hint="default" w:ascii="Times New Roman" w:hAnsi="Times New Roman" w:eastAsia="宋体"/>
                <w:color w:val="000000"/>
                <w:szCs w:val="21"/>
                <w:lang w:val="en-US" w:eastAsia="zh-CN"/>
              </w:rPr>
            </w:pPr>
            <w:r>
              <w:rPr>
                <w:rFonts w:hint="eastAsia" w:ascii="Times New Roman" w:hAnsi="Times New Roman"/>
                <w:color w:val="000000"/>
                <w:szCs w:val="21"/>
                <w:lang w:val="en-US" w:eastAsia="zh-CN"/>
              </w:rPr>
              <w:t>pH值</w:t>
            </w:r>
          </w:p>
        </w:tc>
        <w:tc>
          <w:tcPr>
            <w:tcW w:w="2737"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46.79</w:t>
            </w:r>
          </w:p>
        </w:tc>
        <w:tc>
          <w:tcPr>
            <w:tcW w:w="1700"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45.66</w:t>
            </w:r>
          </w:p>
        </w:tc>
        <w:tc>
          <w:tcPr>
            <w:tcW w:w="1663"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46.04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5" w:type="dxa"/>
            <w:vMerge w:val="continue"/>
            <w:noWrap w:val="0"/>
            <w:vAlign w:val="center"/>
          </w:tcPr>
          <w:p>
            <w:pPr>
              <w:jc w:val="center"/>
              <w:rPr>
                <w:rFonts w:hint="eastAsia" w:ascii="Times New Roman" w:hAnsi="Times New Roman" w:eastAsia="宋体"/>
                <w:color w:val="000000"/>
                <w:szCs w:val="21"/>
              </w:rPr>
            </w:pPr>
          </w:p>
        </w:tc>
        <w:tc>
          <w:tcPr>
            <w:tcW w:w="1959"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阳离子交换量</w:t>
            </w:r>
          </w:p>
        </w:tc>
        <w:tc>
          <w:tcPr>
            <w:tcW w:w="2737"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0.26</w:t>
            </w:r>
          </w:p>
        </w:tc>
        <w:tc>
          <w:tcPr>
            <w:tcW w:w="1700"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0.22</w:t>
            </w:r>
          </w:p>
        </w:tc>
        <w:tc>
          <w:tcPr>
            <w:tcW w:w="1663"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5" w:type="dxa"/>
            <w:vMerge w:val="continue"/>
            <w:noWrap w:val="0"/>
            <w:vAlign w:val="center"/>
          </w:tcPr>
          <w:p>
            <w:pPr>
              <w:jc w:val="center"/>
              <w:rPr>
                <w:rFonts w:hint="eastAsia" w:ascii="Times New Roman" w:hAnsi="Times New Roman" w:eastAsia="宋体"/>
                <w:color w:val="000000"/>
                <w:szCs w:val="21"/>
              </w:rPr>
            </w:pPr>
          </w:p>
        </w:tc>
        <w:tc>
          <w:tcPr>
            <w:tcW w:w="1959"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氧化还原电位</w:t>
            </w:r>
          </w:p>
        </w:tc>
        <w:tc>
          <w:tcPr>
            <w:tcW w:w="2737"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8.33</w:t>
            </w:r>
          </w:p>
        </w:tc>
        <w:tc>
          <w:tcPr>
            <w:tcW w:w="1700"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8.06</w:t>
            </w:r>
          </w:p>
        </w:tc>
        <w:tc>
          <w:tcPr>
            <w:tcW w:w="1663"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8.56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5" w:type="dxa"/>
            <w:vMerge w:val="continue"/>
            <w:noWrap w:val="0"/>
            <w:vAlign w:val="center"/>
          </w:tcPr>
          <w:p>
            <w:pPr>
              <w:jc w:val="center"/>
              <w:rPr>
                <w:rFonts w:hint="eastAsia" w:ascii="Times New Roman" w:hAnsi="Times New Roman" w:eastAsia="宋体"/>
                <w:color w:val="000000"/>
                <w:szCs w:val="21"/>
              </w:rPr>
            </w:pPr>
          </w:p>
        </w:tc>
        <w:tc>
          <w:tcPr>
            <w:tcW w:w="1959"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饱和导水率（cm/s）</w:t>
            </w:r>
          </w:p>
        </w:tc>
        <w:tc>
          <w:tcPr>
            <w:tcW w:w="2737"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12.3</w:t>
            </w:r>
          </w:p>
        </w:tc>
        <w:tc>
          <w:tcPr>
            <w:tcW w:w="1700"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12.2</w:t>
            </w:r>
          </w:p>
        </w:tc>
        <w:tc>
          <w:tcPr>
            <w:tcW w:w="1663"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5" w:type="dxa"/>
            <w:vMerge w:val="continue"/>
            <w:noWrap w:val="0"/>
            <w:vAlign w:val="center"/>
          </w:tcPr>
          <w:p>
            <w:pPr>
              <w:jc w:val="center"/>
              <w:rPr>
                <w:rFonts w:hint="eastAsia" w:ascii="Times New Roman" w:hAnsi="Times New Roman" w:eastAsia="宋体"/>
                <w:color w:val="000000"/>
                <w:szCs w:val="21"/>
              </w:rPr>
            </w:pPr>
          </w:p>
        </w:tc>
        <w:tc>
          <w:tcPr>
            <w:tcW w:w="1959"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土壤容重（Kg/m</w:t>
            </w:r>
            <w:r>
              <w:rPr>
                <w:rFonts w:hint="eastAsia" w:ascii="Times New Roman" w:hAnsi="Times New Roman" w:eastAsia="宋体"/>
                <w:color w:val="000000"/>
                <w:szCs w:val="21"/>
                <w:vertAlign w:val="superscript"/>
              </w:rPr>
              <w:t>3</w:t>
            </w:r>
            <w:r>
              <w:rPr>
                <w:rFonts w:hint="eastAsia" w:ascii="Times New Roman" w:hAnsi="Times New Roman" w:eastAsia="宋体"/>
                <w:color w:val="000000"/>
                <w:szCs w:val="21"/>
              </w:rPr>
              <w:t>）</w:t>
            </w:r>
          </w:p>
        </w:tc>
        <w:tc>
          <w:tcPr>
            <w:tcW w:w="2737"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612</w:t>
            </w:r>
          </w:p>
        </w:tc>
        <w:tc>
          <w:tcPr>
            <w:tcW w:w="1700"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535</w:t>
            </w:r>
          </w:p>
        </w:tc>
        <w:tc>
          <w:tcPr>
            <w:tcW w:w="1663"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342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5" w:type="dxa"/>
            <w:vMerge w:val="continue"/>
            <w:noWrap w:val="0"/>
            <w:vAlign w:val="center"/>
          </w:tcPr>
          <w:p>
            <w:pPr>
              <w:jc w:val="center"/>
              <w:rPr>
                <w:rFonts w:hint="eastAsia" w:ascii="Times New Roman" w:hAnsi="Times New Roman" w:eastAsia="宋体"/>
                <w:color w:val="000000"/>
                <w:szCs w:val="21"/>
              </w:rPr>
            </w:pPr>
          </w:p>
        </w:tc>
        <w:tc>
          <w:tcPr>
            <w:tcW w:w="1959" w:type="dxa"/>
            <w:noWrap w:val="0"/>
            <w:vAlign w:val="center"/>
          </w:tcPr>
          <w:p>
            <w:pPr>
              <w:jc w:val="center"/>
              <w:rPr>
                <w:rFonts w:hint="eastAsia" w:ascii="Times New Roman" w:hAnsi="Times New Roman" w:eastAsia="宋体"/>
                <w:color w:val="000000"/>
                <w:szCs w:val="21"/>
              </w:rPr>
            </w:pPr>
            <w:r>
              <w:rPr>
                <w:rFonts w:hint="eastAsia" w:ascii="Times New Roman" w:hAnsi="Times New Roman" w:eastAsia="宋体"/>
                <w:color w:val="000000"/>
                <w:szCs w:val="21"/>
              </w:rPr>
              <w:t>孔隙度</w:t>
            </w:r>
          </w:p>
        </w:tc>
        <w:tc>
          <w:tcPr>
            <w:tcW w:w="2737"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2.85</w:t>
            </w:r>
          </w:p>
        </w:tc>
        <w:tc>
          <w:tcPr>
            <w:tcW w:w="1700"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1.87</w:t>
            </w:r>
          </w:p>
        </w:tc>
        <w:tc>
          <w:tcPr>
            <w:tcW w:w="1663"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5" w:type="dxa"/>
            <w:vMerge w:val="continue"/>
            <w:noWrap w:val="0"/>
            <w:vAlign w:val="center"/>
          </w:tcPr>
          <w:p>
            <w:pPr>
              <w:jc w:val="center"/>
              <w:rPr>
                <w:rFonts w:hint="eastAsia" w:ascii="Times New Roman" w:hAnsi="Times New Roman" w:eastAsia="宋体"/>
                <w:color w:val="000000"/>
                <w:szCs w:val="21"/>
              </w:rPr>
            </w:pPr>
          </w:p>
        </w:tc>
        <w:tc>
          <w:tcPr>
            <w:tcW w:w="1959" w:type="dxa"/>
            <w:noWrap w:val="0"/>
            <w:vAlign w:val="center"/>
          </w:tcPr>
          <w:p>
            <w:pPr>
              <w:jc w:val="center"/>
              <w:rPr>
                <w:rFonts w:hint="eastAsia" w:ascii="Times New Roman" w:hAnsi="Times New Roman" w:eastAsia="宋体"/>
                <w:color w:val="000000"/>
                <w:szCs w:val="21"/>
              </w:rPr>
            </w:pPr>
            <w:r>
              <w:rPr>
                <w:rFonts w:hint="default" w:ascii="Times New Roman" w:hAnsi="Times New Roman" w:eastAsia="宋体" w:cs="Times New Roman"/>
                <w:color w:val="000000"/>
                <w:sz w:val="21"/>
                <w:szCs w:val="21"/>
              </w:rPr>
              <w:t>土壤含盐量（g/Kg）</w:t>
            </w:r>
          </w:p>
        </w:tc>
        <w:tc>
          <w:tcPr>
            <w:tcW w:w="2737"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1.41</w:t>
            </w:r>
          </w:p>
        </w:tc>
        <w:tc>
          <w:tcPr>
            <w:tcW w:w="1700"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1.44</w:t>
            </w:r>
          </w:p>
        </w:tc>
        <w:tc>
          <w:tcPr>
            <w:tcW w:w="1663" w:type="dxa"/>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color w:val="000000"/>
                <w:sz w:val="21"/>
                <w:szCs w:val="21"/>
                <w:lang w:val="en-US" w:eastAsia="zh-CN"/>
              </w:rPr>
              <w:t>1.43</w:t>
            </w:r>
          </w:p>
        </w:tc>
      </w:tr>
    </w:tbl>
    <w:p>
      <w:pPr>
        <w:pStyle w:val="2"/>
        <w:keepNext w:val="0"/>
        <w:keepLines w:val="0"/>
        <w:pageBreakBefore w:val="0"/>
        <w:widowControl w:val="0"/>
        <w:kinsoku/>
        <w:wordWrap/>
        <w:overflowPunct/>
        <w:topLinePunct w:val="0"/>
        <w:autoSpaceDE/>
        <w:autoSpaceDN/>
        <w:bidi w:val="0"/>
        <w:adjustRightInd/>
        <w:snapToGrid/>
        <w:spacing w:after="161" w:afterLines="50"/>
        <w:jc w:val="center"/>
        <w:textAlignment w:val="auto"/>
        <w:rPr>
          <w:rFonts w:hint="default"/>
          <w:b/>
          <w:bCs/>
          <w:sz w:val="24"/>
          <w:szCs w:val="24"/>
          <w:lang w:val="en-US" w:eastAsia="zh-CN"/>
        </w:rPr>
      </w:pPr>
      <w:r>
        <w:rPr>
          <w:rFonts w:hint="eastAsia" w:ascii="Times New Roman" w:hAnsi="Times New Roman" w:eastAsia="宋体" w:cs="宋体"/>
          <w:b/>
          <w:bCs/>
          <w:color w:val="000000"/>
          <w:sz w:val="24"/>
          <w:szCs w:val="24"/>
        </w:rPr>
        <w:t>表</w:t>
      </w:r>
      <w:r>
        <w:rPr>
          <w:rFonts w:hint="eastAsia" w:ascii="Times New Roman" w:hAnsi="Times New Roman" w:eastAsia="宋体" w:cs="Times New Roman"/>
          <w:b/>
          <w:bCs/>
          <w:color w:val="000000"/>
          <w:sz w:val="24"/>
          <w:szCs w:val="24"/>
          <w:lang w:val="en-US" w:eastAsia="zh-CN"/>
        </w:rPr>
        <w:t>5.8</w:t>
      </w:r>
      <w:r>
        <w:rPr>
          <w:rFonts w:hint="default" w:ascii="Times New Roman" w:hAnsi="Times New Roman" w:eastAsia="宋体" w:cs="Times New Roman"/>
          <w:b/>
          <w:bCs/>
          <w:color w:val="000000"/>
          <w:sz w:val="24"/>
          <w:szCs w:val="24"/>
          <w:lang w:val="en-US" w:eastAsia="zh-CN"/>
        </w:rPr>
        <w:t>-</w:t>
      </w:r>
      <w:r>
        <w:rPr>
          <w:rFonts w:hint="eastAsia" w:ascii="Times New Roman" w:hAnsi="Times New Roman" w:cs="Times New Roman"/>
          <w:b/>
          <w:bCs/>
          <w:color w:val="000000"/>
          <w:sz w:val="24"/>
          <w:szCs w:val="24"/>
          <w:lang w:val="en-US" w:eastAsia="zh-CN"/>
        </w:rPr>
        <w:t>4（1）</w:t>
      </w:r>
      <w:r>
        <w:rPr>
          <w:rFonts w:hint="eastAsia" w:ascii="Times New Roman" w:hAnsi="Times New Roman" w:eastAsia="宋体" w:cs="Times New Roman"/>
          <w:b/>
          <w:bCs/>
          <w:color w:val="000000"/>
          <w:sz w:val="24"/>
          <w:szCs w:val="24"/>
          <w:lang w:val="en-US" w:eastAsia="zh-CN"/>
        </w:rPr>
        <w:t xml:space="preserve"> </w:t>
      </w:r>
      <w:r>
        <w:rPr>
          <w:rFonts w:hint="eastAsia" w:ascii="Times New Roman" w:hAnsi="Times New Roman" w:eastAsia="宋体" w:cs="宋体"/>
          <w:b/>
          <w:bCs/>
          <w:color w:val="000000"/>
          <w:sz w:val="24"/>
          <w:szCs w:val="24"/>
        </w:rPr>
        <w:t xml:space="preserve"> 土壤环境质量现状监测结果一览表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094"/>
        <w:gridCol w:w="1905"/>
        <w:gridCol w:w="1755"/>
        <w:gridCol w:w="1590"/>
        <w:gridCol w:w="1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638" w:type="dxa"/>
            <w:vMerge w:val="restart"/>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序号</w:t>
            </w:r>
          </w:p>
        </w:tc>
        <w:tc>
          <w:tcPr>
            <w:tcW w:w="1094" w:type="dxa"/>
            <w:vMerge w:val="restart"/>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lang w:val="en-US" w:eastAsia="zh-CN"/>
              </w:rPr>
              <w:t>检</w:t>
            </w:r>
            <w:r>
              <w:rPr>
                <w:rFonts w:ascii="Times New Roman" w:hAnsi="Times New Roman" w:eastAsia="宋体" w:cs="Times New Roman"/>
                <w:b/>
                <w:bCs/>
                <w:color w:val="auto"/>
                <w:sz w:val="21"/>
                <w:szCs w:val="21"/>
              </w:rPr>
              <w:t>测项目</w:t>
            </w:r>
          </w:p>
        </w:tc>
        <w:tc>
          <w:tcPr>
            <w:tcW w:w="6714" w:type="dxa"/>
            <w:gridSpan w:val="4"/>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监测点位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638" w:type="dxa"/>
            <w:vMerge w:val="continue"/>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p>
        </w:tc>
        <w:tc>
          <w:tcPr>
            <w:tcW w:w="1094" w:type="dxa"/>
            <w:vMerge w:val="continue"/>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p>
        </w:tc>
        <w:tc>
          <w:tcPr>
            <w:tcW w:w="1905" w:type="dxa"/>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r>
              <w:rPr>
                <w:rFonts w:hint="eastAsia" w:ascii="Times New Roman" w:hAnsi="Times New Roman" w:cs="Times New Roman"/>
                <w:b/>
                <w:bCs/>
                <w:color w:val="auto"/>
                <w:sz w:val="21"/>
                <w:szCs w:val="21"/>
                <w:lang w:val="en-US" w:eastAsia="zh-CN"/>
              </w:rPr>
              <w:t>5</w:t>
            </w:r>
            <w:r>
              <w:rPr>
                <w:rFonts w:ascii="Times New Roman" w:hAnsi="Times New Roman" w:eastAsia="宋体" w:cs="Times New Roman"/>
                <w:b/>
                <w:bCs/>
                <w:color w:val="auto"/>
                <w:sz w:val="21"/>
                <w:szCs w:val="21"/>
              </w:rPr>
              <w:t>#</w:t>
            </w:r>
            <w:r>
              <w:rPr>
                <w:rFonts w:hint="eastAsia" w:ascii="Times New Roman" w:hAnsi="Times New Roman" w:eastAsia="宋体" w:cs="Times New Roman"/>
                <w:b/>
                <w:bCs/>
                <w:color w:val="auto"/>
                <w:sz w:val="21"/>
                <w:szCs w:val="21"/>
                <w:lang w:val="en-US" w:eastAsia="zh-CN"/>
              </w:rPr>
              <w:t>厂内高档包装纸项目西南侧</w:t>
            </w:r>
          </w:p>
        </w:tc>
        <w:tc>
          <w:tcPr>
            <w:tcW w:w="1755" w:type="dxa"/>
            <w:noWrap w:val="0"/>
            <w:vAlign w:val="center"/>
          </w:tcPr>
          <w:p>
            <w:pPr>
              <w:widowControl/>
              <w:snapToGrid w:val="0"/>
              <w:spacing w:line="240" w:lineRule="auto"/>
              <w:ind w:firstLine="0" w:firstLineChars="0"/>
              <w:jc w:val="center"/>
              <w:rPr>
                <w:rFonts w:ascii="Times New Roman" w:hAnsi="Times New Roman" w:eastAsia="宋体" w:cs="Times New Roman"/>
                <w:b/>
                <w:bCs/>
                <w:color w:val="auto"/>
                <w:sz w:val="21"/>
                <w:szCs w:val="21"/>
              </w:rPr>
            </w:pPr>
            <w:r>
              <w:rPr>
                <w:rFonts w:hint="eastAsia" w:ascii="Times New Roman" w:hAnsi="Times New Roman" w:cs="Times New Roman"/>
                <w:b/>
                <w:bCs/>
                <w:color w:val="auto"/>
                <w:sz w:val="21"/>
                <w:szCs w:val="21"/>
                <w:lang w:val="en-US" w:eastAsia="zh-CN"/>
              </w:rPr>
              <w:t>6</w:t>
            </w:r>
            <w:r>
              <w:rPr>
                <w:rFonts w:ascii="Times New Roman" w:hAnsi="Times New Roman" w:eastAsia="宋体" w:cs="Times New Roman"/>
                <w:b/>
                <w:bCs/>
                <w:color w:val="auto"/>
                <w:sz w:val="21"/>
                <w:szCs w:val="21"/>
              </w:rPr>
              <w:t>#</w:t>
            </w:r>
            <w:r>
              <w:rPr>
                <w:rFonts w:hint="eastAsia" w:ascii="Times New Roman" w:hAnsi="Times New Roman" w:eastAsia="宋体" w:cs="Times New Roman"/>
                <w:b/>
                <w:bCs/>
                <w:color w:val="auto"/>
                <w:sz w:val="21"/>
                <w:szCs w:val="21"/>
              </w:rPr>
              <w:t>厂内高档包装纸项目南侧</w:t>
            </w:r>
          </w:p>
        </w:tc>
        <w:tc>
          <w:tcPr>
            <w:tcW w:w="1590" w:type="dxa"/>
            <w:noWrap w:val="0"/>
            <w:vAlign w:val="center"/>
          </w:tcPr>
          <w:p>
            <w:pPr>
              <w:widowControl/>
              <w:snapToGrid w:val="0"/>
              <w:spacing w:line="240" w:lineRule="auto"/>
              <w:ind w:firstLine="0" w:firstLineChars="0"/>
              <w:jc w:val="center"/>
              <w:rPr>
                <w:rFonts w:ascii="Times New Roman" w:hAnsi="Times New Roman" w:eastAsia="宋体" w:cs="Times New Roman"/>
                <w:b/>
                <w:bCs/>
                <w:color w:val="auto"/>
                <w:sz w:val="21"/>
                <w:szCs w:val="21"/>
              </w:rPr>
            </w:pPr>
            <w:r>
              <w:rPr>
                <w:rFonts w:hint="eastAsia" w:ascii="Times New Roman" w:hAnsi="Times New Roman" w:cs="Times New Roman"/>
                <w:b/>
                <w:bCs/>
                <w:color w:val="auto"/>
                <w:sz w:val="21"/>
                <w:szCs w:val="21"/>
                <w:lang w:val="en-US" w:eastAsia="zh-CN"/>
              </w:rPr>
              <w:t>7</w:t>
            </w:r>
            <w:r>
              <w:rPr>
                <w:rFonts w:ascii="Times New Roman" w:hAnsi="Times New Roman" w:eastAsia="宋体" w:cs="Times New Roman"/>
                <w:b/>
                <w:bCs/>
                <w:color w:val="auto"/>
                <w:sz w:val="21"/>
                <w:szCs w:val="21"/>
              </w:rPr>
              <w:t>#</w:t>
            </w:r>
            <w:r>
              <w:rPr>
                <w:rFonts w:hint="eastAsia" w:ascii="Times New Roman" w:hAnsi="Times New Roman" w:eastAsia="宋体" w:cs="Times New Roman"/>
                <w:b/>
                <w:bCs/>
                <w:color w:val="auto"/>
                <w:sz w:val="21"/>
                <w:szCs w:val="21"/>
              </w:rPr>
              <w:t>厂区东侧林地</w:t>
            </w:r>
          </w:p>
        </w:tc>
        <w:tc>
          <w:tcPr>
            <w:tcW w:w="1464" w:type="dxa"/>
            <w:noWrap w:val="0"/>
            <w:vAlign w:val="center"/>
          </w:tcPr>
          <w:p>
            <w:pPr>
              <w:widowControl/>
              <w:snapToGrid w:val="0"/>
              <w:spacing w:line="240" w:lineRule="auto"/>
              <w:ind w:firstLine="0" w:firstLineChars="0"/>
              <w:jc w:val="center"/>
              <w:rPr>
                <w:rFonts w:ascii="Times New Roman" w:hAnsi="Times New Roman" w:eastAsia="宋体" w:cs="Times New Roman"/>
                <w:b/>
                <w:bCs/>
                <w:color w:val="auto"/>
                <w:sz w:val="21"/>
                <w:szCs w:val="21"/>
              </w:rPr>
            </w:pPr>
            <w:r>
              <w:rPr>
                <w:rFonts w:hint="eastAsia" w:ascii="Times New Roman" w:hAnsi="Times New Roman" w:cs="Times New Roman"/>
                <w:b/>
                <w:bCs/>
                <w:color w:val="auto"/>
                <w:sz w:val="21"/>
                <w:szCs w:val="21"/>
                <w:lang w:val="en-US" w:eastAsia="zh-CN"/>
              </w:rPr>
              <w:t>8</w:t>
            </w:r>
            <w:r>
              <w:rPr>
                <w:rFonts w:ascii="Times New Roman" w:hAnsi="Times New Roman" w:eastAsia="宋体" w:cs="Times New Roman"/>
                <w:b/>
                <w:bCs/>
                <w:color w:val="auto"/>
                <w:sz w:val="21"/>
                <w:szCs w:val="21"/>
              </w:rPr>
              <w:t>#</w:t>
            </w:r>
            <w:r>
              <w:rPr>
                <w:rFonts w:hint="eastAsia" w:ascii="Times New Roman" w:hAnsi="Times New Roman" w:eastAsia="宋体" w:cs="Times New Roman"/>
                <w:b/>
                <w:bCs/>
                <w:color w:val="auto"/>
                <w:sz w:val="21"/>
                <w:szCs w:val="21"/>
              </w:rPr>
              <w:t>厂区西侧荒地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638" w:type="dxa"/>
            <w:vMerge w:val="continue"/>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p>
        </w:tc>
        <w:tc>
          <w:tcPr>
            <w:tcW w:w="1094" w:type="dxa"/>
            <w:vMerge w:val="continue"/>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p>
        </w:tc>
        <w:tc>
          <w:tcPr>
            <w:tcW w:w="6714" w:type="dxa"/>
            <w:gridSpan w:val="4"/>
            <w:noWrap w:val="0"/>
            <w:vAlign w:val="center"/>
          </w:tcPr>
          <w:p>
            <w:pPr>
              <w:jc w:val="center"/>
              <w:rPr>
                <w:rFonts w:ascii="Times New Roman" w:hAnsi="Times New Roman" w:eastAsia="宋体"/>
                <w:b/>
                <w:bCs/>
                <w:color w:val="auto"/>
                <w:sz w:val="21"/>
                <w:szCs w:val="21"/>
              </w:rPr>
            </w:pPr>
            <w:r>
              <w:rPr>
                <w:rFonts w:ascii="Times New Roman" w:hAnsi="Times New Roman" w:eastAsia="宋体"/>
                <w:b/>
                <w:bCs/>
                <w:color w:val="auto"/>
                <w:sz w:val="21"/>
                <w:szCs w:val="21"/>
              </w:rPr>
              <w:t>0-0.2m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638" w:type="dxa"/>
            <w:noWrap w:val="0"/>
            <w:vAlign w:val="center"/>
          </w:tcPr>
          <w:p>
            <w:pPr>
              <w:pStyle w:val="25"/>
              <w:widowControl/>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1094"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pH值（无量纲）</w:t>
            </w:r>
          </w:p>
        </w:tc>
        <w:tc>
          <w:tcPr>
            <w:tcW w:w="1905" w:type="dxa"/>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8.79</w:t>
            </w:r>
          </w:p>
        </w:tc>
        <w:tc>
          <w:tcPr>
            <w:tcW w:w="1755" w:type="dxa"/>
            <w:noWrap w:val="0"/>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8.69</w:t>
            </w:r>
          </w:p>
        </w:tc>
        <w:tc>
          <w:tcPr>
            <w:tcW w:w="1590" w:type="dxa"/>
            <w:noWrap w:val="0"/>
            <w:vAlign w:val="center"/>
          </w:tcPr>
          <w:p>
            <w:pPr>
              <w:pStyle w:val="25"/>
              <w:widowControl/>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8.78</w:t>
            </w:r>
          </w:p>
        </w:tc>
        <w:tc>
          <w:tcPr>
            <w:tcW w:w="1464" w:type="dxa"/>
            <w:noWrap w:val="0"/>
            <w:vAlign w:val="center"/>
          </w:tcPr>
          <w:p>
            <w:pPr>
              <w:pStyle w:val="25"/>
              <w:widowControl/>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638" w:type="dxa"/>
            <w:noWrap w:val="0"/>
            <w:vAlign w:val="center"/>
          </w:tcPr>
          <w:p>
            <w:pPr>
              <w:pStyle w:val="25"/>
              <w:widowControl/>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w:t>
            </w:r>
          </w:p>
        </w:tc>
        <w:tc>
          <w:tcPr>
            <w:tcW w:w="1094"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砷（mg/kg）</w:t>
            </w:r>
          </w:p>
        </w:tc>
        <w:tc>
          <w:tcPr>
            <w:tcW w:w="1905" w:type="dxa"/>
            <w:noWrap w:val="0"/>
            <w:vAlign w:val="center"/>
          </w:tcPr>
          <w:p>
            <w:pPr>
              <w:spacing w:line="270" w:lineRule="exact"/>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lang w:val="en-US" w:eastAsia="zh-CN" w:bidi="ar-SA"/>
              </w:rPr>
              <w:t>11.0</w:t>
            </w:r>
          </w:p>
        </w:tc>
        <w:tc>
          <w:tcPr>
            <w:tcW w:w="1755" w:type="dxa"/>
            <w:noWrap w:val="0"/>
            <w:vAlign w:val="center"/>
          </w:tcPr>
          <w:p>
            <w:pPr>
              <w:spacing w:line="270" w:lineRule="exact"/>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lang w:val="en-US" w:eastAsia="zh-CN" w:bidi="ar-SA"/>
              </w:rPr>
              <w:t>5.79</w:t>
            </w:r>
          </w:p>
        </w:tc>
        <w:tc>
          <w:tcPr>
            <w:tcW w:w="1590"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2"/>
                <w:sz w:val="21"/>
                <w:szCs w:val="21"/>
                <w:lang w:val="en-US" w:eastAsia="zh-CN" w:bidi="ar-SA"/>
              </w:rPr>
              <w:t>7.88</w:t>
            </w:r>
          </w:p>
        </w:tc>
        <w:tc>
          <w:tcPr>
            <w:tcW w:w="1464"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2"/>
                <w:sz w:val="21"/>
                <w:szCs w:val="21"/>
                <w:lang w:val="en-US" w:eastAsia="zh-CN" w:bidi="ar-SA"/>
              </w:rPr>
              <w:t>7.63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638" w:type="dxa"/>
            <w:noWrap w:val="0"/>
            <w:vAlign w:val="center"/>
          </w:tcPr>
          <w:p>
            <w:pPr>
              <w:pStyle w:val="25"/>
              <w:widowControl/>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w:t>
            </w:r>
          </w:p>
        </w:tc>
        <w:tc>
          <w:tcPr>
            <w:tcW w:w="1094"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镉（mg/kg）</w:t>
            </w:r>
          </w:p>
        </w:tc>
        <w:tc>
          <w:tcPr>
            <w:tcW w:w="1905" w:type="dxa"/>
            <w:noWrap w:val="0"/>
            <w:vAlign w:val="center"/>
          </w:tcPr>
          <w:p>
            <w:pPr>
              <w:spacing w:line="270" w:lineRule="exact"/>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lang w:val="en-US" w:eastAsia="zh-CN" w:bidi="ar-SA"/>
              </w:rPr>
              <w:t>0.44</w:t>
            </w:r>
          </w:p>
        </w:tc>
        <w:tc>
          <w:tcPr>
            <w:tcW w:w="1755" w:type="dxa"/>
            <w:noWrap w:val="0"/>
            <w:vAlign w:val="center"/>
          </w:tcPr>
          <w:p>
            <w:pPr>
              <w:spacing w:line="270" w:lineRule="exact"/>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lang w:val="en-US" w:eastAsia="zh-CN" w:bidi="ar-SA"/>
              </w:rPr>
              <w:t>0.18</w:t>
            </w:r>
          </w:p>
        </w:tc>
        <w:tc>
          <w:tcPr>
            <w:tcW w:w="1590"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2"/>
                <w:sz w:val="21"/>
                <w:szCs w:val="21"/>
                <w:lang w:val="en-US" w:eastAsia="zh-CN" w:bidi="ar-SA"/>
              </w:rPr>
              <w:t>0.15</w:t>
            </w:r>
          </w:p>
        </w:tc>
        <w:tc>
          <w:tcPr>
            <w:tcW w:w="1464"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2"/>
                <w:sz w:val="21"/>
                <w:szCs w:val="21"/>
                <w:lang w:val="en-US" w:eastAsia="zh-CN" w:bidi="ar-SA"/>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638" w:type="dxa"/>
            <w:noWrap w:val="0"/>
            <w:vAlign w:val="center"/>
          </w:tcPr>
          <w:p>
            <w:pPr>
              <w:pStyle w:val="25"/>
              <w:widowControl/>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p>
        </w:tc>
        <w:tc>
          <w:tcPr>
            <w:tcW w:w="1094"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hint="eastAsia" w:ascii="Times New Roman" w:hAnsi="Times New Roman"/>
                <w:color w:val="auto"/>
                <w:sz w:val="21"/>
                <w:szCs w:val="21"/>
                <w:lang w:val="en-US" w:eastAsia="zh-CN"/>
              </w:rPr>
              <w:t>六价</w:t>
            </w:r>
            <w:r>
              <w:rPr>
                <w:rFonts w:ascii="Times New Roman" w:hAnsi="Times New Roman" w:eastAsia="宋体"/>
                <w:color w:val="auto"/>
                <w:sz w:val="21"/>
                <w:szCs w:val="21"/>
              </w:rPr>
              <w:t>铬（mg/kg）</w:t>
            </w:r>
          </w:p>
        </w:tc>
        <w:tc>
          <w:tcPr>
            <w:tcW w:w="1905"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eastAsiaTheme="minorEastAsia"/>
                <w:color w:val="auto"/>
                <w:kern w:val="2"/>
                <w:sz w:val="21"/>
                <w:szCs w:val="21"/>
                <w:lang w:val="en-US" w:eastAsia="zh-CN" w:bidi="ar-SA"/>
              </w:rPr>
              <w:t>＜2.00</w:t>
            </w:r>
          </w:p>
        </w:tc>
        <w:tc>
          <w:tcPr>
            <w:tcW w:w="1755" w:type="dxa"/>
            <w:noWrap w:val="0"/>
            <w:vAlign w:val="center"/>
          </w:tcPr>
          <w:p>
            <w:pPr>
              <w:spacing w:line="270" w:lineRule="exact"/>
              <w:jc w:val="center"/>
              <w:rPr>
                <w:rFonts w:hint="default" w:ascii="Times New Roman" w:hAnsi="Times New Roman" w:eastAsia="宋体" w:cs="Times New Roman"/>
                <w:color w:val="auto"/>
                <w:sz w:val="21"/>
                <w:szCs w:val="21"/>
                <w:lang w:val="en-US"/>
              </w:rPr>
            </w:pPr>
            <w:r>
              <w:rPr>
                <w:rFonts w:hint="default" w:ascii="Times New Roman" w:hAnsi="Times New Roman" w:cs="Times New Roman" w:eastAsiaTheme="minorEastAsia"/>
                <w:color w:val="auto"/>
                <w:kern w:val="2"/>
                <w:sz w:val="21"/>
                <w:szCs w:val="21"/>
                <w:lang w:val="en-US" w:eastAsia="zh-CN" w:bidi="ar-SA"/>
              </w:rPr>
              <w:t>＜2.00</w:t>
            </w:r>
          </w:p>
        </w:tc>
        <w:tc>
          <w:tcPr>
            <w:tcW w:w="1590"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eastAsiaTheme="minorEastAsia"/>
                <w:color w:val="auto"/>
                <w:kern w:val="2"/>
                <w:sz w:val="21"/>
                <w:szCs w:val="21"/>
                <w:lang w:val="en-US" w:eastAsia="zh-CN" w:bidi="ar-SA"/>
              </w:rPr>
              <w:t>＜2.00</w:t>
            </w:r>
          </w:p>
        </w:tc>
        <w:tc>
          <w:tcPr>
            <w:tcW w:w="1464"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eastAsiaTheme="minorEastAsia"/>
                <w:color w:val="auto"/>
                <w:kern w:val="2"/>
                <w:sz w:val="21"/>
                <w:szCs w:val="21"/>
                <w:lang w:val="en-US" w:eastAsia="zh-CN" w:bidi="ar-SA"/>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638" w:type="dxa"/>
            <w:noWrap w:val="0"/>
            <w:vAlign w:val="center"/>
          </w:tcPr>
          <w:p>
            <w:pPr>
              <w:pStyle w:val="25"/>
              <w:widowControl/>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w:t>
            </w:r>
          </w:p>
        </w:tc>
        <w:tc>
          <w:tcPr>
            <w:tcW w:w="1094"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铜（mg/kg）</w:t>
            </w:r>
          </w:p>
        </w:tc>
        <w:tc>
          <w:tcPr>
            <w:tcW w:w="1905" w:type="dxa"/>
            <w:noWrap w:val="0"/>
            <w:vAlign w:val="center"/>
          </w:tcPr>
          <w:p>
            <w:pPr>
              <w:spacing w:line="270" w:lineRule="exact"/>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lang w:val="en-US" w:eastAsia="zh-CN" w:bidi="ar-SA"/>
              </w:rPr>
              <w:t>44</w:t>
            </w:r>
          </w:p>
        </w:tc>
        <w:tc>
          <w:tcPr>
            <w:tcW w:w="1755" w:type="dxa"/>
            <w:noWrap w:val="0"/>
            <w:vAlign w:val="center"/>
          </w:tcPr>
          <w:p>
            <w:pPr>
              <w:spacing w:line="270" w:lineRule="exact"/>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lang w:val="en-US" w:eastAsia="zh-CN" w:bidi="ar-SA"/>
              </w:rPr>
              <w:t>22</w:t>
            </w:r>
          </w:p>
        </w:tc>
        <w:tc>
          <w:tcPr>
            <w:tcW w:w="1590"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2"/>
                <w:sz w:val="21"/>
                <w:szCs w:val="21"/>
                <w:lang w:val="en-US" w:eastAsia="zh-CN" w:bidi="ar-SA"/>
              </w:rPr>
              <w:t>21</w:t>
            </w:r>
          </w:p>
        </w:tc>
        <w:tc>
          <w:tcPr>
            <w:tcW w:w="1464"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2"/>
                <w:sz w:val="21"/>
                <w:szCs w:val="21"/>
                <w:lang w:val="en-US" w:eastAsia="zh-CN" w:bidi="ar-SA"/>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638" w:type="dxa"/>
            <w:noWrap w:val="0"/>
            <w:vAlign w:val="center"/>
          </w:tcPr>
          <w:p>
            <w:pPr>
              <w:pStyle w:val="25"/>
              <w:widowControl/>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w:t>
            </w:r>
          </w:p>
        </w:tc>
        <w:tc>
          <w:tcPr>
            <w:tcW w:w="1094"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铅（mg/kg）</w:t>
            </w:r>
          </w:p>
        </w:tc>
        <w:tc>
          <w:tcPr>
            <w:tcW w:w="1905" w:type="dxa"/>
            <w:noWrap w:val="0"/>
            <w:vAlign w:val="center"/>
          </w:tcPr>
          <w:p>
            <w:pPr>
              <w:spacing w:line="270" w:lineRule="exact"/>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lang w:val="en-US" w:eastAsia="zh-CN" w:bidi="ar-SA"/>
              </w:rPr>
              <w:t>77.7</w:t>
            </w:r>
          </w:p>
        </w:tc>
        <w:tc>
          <w:tcPr>
            <w:tcW w:w="1755" w:type="dxa"/>
            <w:noWrap w:val="0"/>
            <w:vAlign w:val="center"/>
          </w:tcPr>
          <w:p>
            <w:pPr>
              <w:spacing w:line="270" w:lineRule="exact"/>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lang w:val="en-US" w:eastAsia="zh-CN" w:bidi="ar-SA"/>
              </w:rPr>
              <w:t>28.8</w:t>
            </w:r>
          </w:p>
        </w:tc>
        <w:tc>
          <w:tcPr>
            <w:tcW w:w="1590"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2"/>
                <w:sz w:val="21"/>
                <w:szCs w:val="21"/>
                <w:lang w:val="en-US" w:eastAsia="zh-CN" w:bidi="ar-SA"/>
              </w:rPr>
              <w:t>38.8</w:t>
            </w:r>
          </w:p>
        </w:tc>
        <w:tc>
          <w:tcPr>
            <w:tcW w:w="1464"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2"/>
                <w:sz w:val="21"/>
                <w:szCs w:val="21"/>
                <w:lang w:val="en-US" w:eastAsia="zh-CN" w:bidi="ar-SA"/>
              </w:rPr>
              <w:t>83.5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638" w:type="dxa"/>
            <w:noWrap w:val="0"/>
            <w:vAlign w:val="center"/>
          </w:tcPr>
          <w:p>
            <w:pPr>
              <w:pStyle w:val="25"/>
              <w:widowControl/>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w:t>
            </w:r>
          </w:p>
        </w:tc>
        <w:tc>
          <w:tcPr>
            <w:tcW w:w="1094"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汞（mg/kg）</w:t>
            </w:r>
          </w:p>
        </w:tc>
        <w:tc>
          <w:tcPr>
            <w:tcW w:w="1905" w:type="dxa"/>
            <w:noWrap w:val="0"/>
            <w:vAlign w:val="center"/>
          </w:tcPr>
          <w:p>
            <w:pPr>
              <w:spacing w:line="270" w:lineRule="exact"/>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lang w:val="en-US" w:eastAsia="zh-CN" w:bidi="ar-SA"/>
              </w:rPr>
              <w:t>0.189</w:t>
            </w:r>
          </w:p>
        </w:tc>
        <w:tc>
          <w:tcPr>
            <w:tcW w:w="1755" w:type="dxa"/>
            <w:noWrap w:val="0"/>
            <w:vAlign w:val="center"/>
          </w:tcPr>
          <w:p>
            <w:pPr>
              <w:spacing w:line="270" w:lineRule="exact"/>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kern w:val="2"/>
                <w:sz w:val="21"/>
                <w:szCs w:val="21"/>
                <w:lang w:val="en-US" w:eastAsia="zh-CN" w:bidi="ar-SA"/>
              </w:rPr>
              <w:t>0.134</w:t>
            </w:r>
          </w:p>
        </w:tc>
        <w:tc>
          <w:tcPr>
            <w:tcW w:w="1590"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2"/>
                <w:sz w:val="21"/>
                <w:szCs w:val="21"/>
                <w:lang w:val="en-US" w:eastAsia="zh-CN" w:bidi="ar-SA"/>
              </w:rPr>
              <w:t>0.138</w:t>
            </w:r>
          </w:p>
        </w:tc>
        <w:tc>
          <w:tcPr>
            <w:tcW w:w="1464" w:type="dxa"/>
            <w:noWrap w:val="0"/>
            <w:vAlign w:val="center"/>
          </w:tcPr>
          <w:p>
            <w:pPr>
              <w:spacing w:line="27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2"/>
                <w:sz w:val="21"/>
                <w:szCs w:val="21"/>
                <w:lang w:val="en-US" w:eastAsia="zh-CN" w:bidi="ar-SA"/>
              </w:rPr>
              <w:t>0.142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638" w:type="dxa"/>
            <w:noWrap w:val="0"/>
            <w:vAlign w:val="center"/>
          </w:tcPr>
          <w:p>
            <w:pPr>
              <w:pStyle w:val="25"/>
              <w:widowControl/>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8</w:t>
            </w:r>
          </w:p>
        </w:tc>
        <w:tc>
          <w:tcPr>
            <w:tcW w:w="1094"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镍（mg/kg）</w:t>
            </w:r>
          </w:p>
        </w:tc>
        <w:tc>
          <w:tcPr>
            <w:tcW w:w="1905"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cs="Times New Roman"/>
                <w:bCs/>
                <w:color w:val="auto"/>
                <w:kern w:val="0"/>
                <w:sz w:val="21"/>
                <w:szCs w:val="21"/>
                <w:lang w:val="en-US" w:eastAsia="zh-CN" w:bidi="ar-SA"/>
              </w:rPr>
              <w:t>57</w:t>
            </w:r>
          </w:p>
        </w:tc>
        <w:tc>
          <w:tcPr>
            <w:tcW w:w="1755"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cs="Times New Roman"/>
                <w:bCs/>
                <w:color w:val="auto"/>
                <w:kern w:val="0"/>
                <w:sz w:val="21"/>
                <w:szCs w:val="21"/>
                <w:lang w:val="en-US" w:eastAsia="zh-CN" w:bidi="ar-SA"/>
              </w:rPr>
              <w:t>18</w:t>
            </w:r>
          </w:p>
        </w:tc>
        <w:tc>
          <w:tcPr>
            <w:tcW w:w="1590"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Cs/>
                <w:color w:val="auto"/>
                <w:kern w:val="0"/>
                <w:sz w:val="21"/>
                <w:szCs w:val="21"/>
                <w:lang w:val="en-US" w:eastAsia="zh-CN" w:bidi="ar-SA"/>
              </w:rPr>
              <w:t>55</w:t>
            </w:r>
          </w:p>
        </w:tc>
        <w:tc>
          <w:tcPr>
            <w:tcW w:w="1464"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Cs/>
                <w:color w:val="auto"/>
                <w:kern w:val="0"/>
                <w:sz w:val="21"/>
                <w:szCs w:val="21"/>
                <w:lang w:val="en-US" w:eastAsia="zh-CN" w:bidi="ar-SA"/>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638" w:type="dxa"/>
            <w:noWrap w:val="0"/>
            <w:vAlign w:val="center"/>
          </w:tcPr>
          <w:p>
            <w:pPr>
              <w:pStyle w:val="25"/>
              <w:widowControl/>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9</w:t>
            </w:r>
          </w:p>
        </w:tc>
        <w:tc>
          <w:tcPr>
            <w:tcW w:w="1094"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锌（mg/kg）</w:t>
            </w:r>
          </w:p>
        </w:tc>
        <w:tc>
          <w:tcPr>
            <w:tcW w:w="1905"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cs="Times New Roman"/>
                <w:bCs/>
                <w:color w:val="auto"/>
                <w:kern w:val="0"/>
                <w:sz w:val="21"/>
                <w:szCs w:val="21"/>
                <w:lang w:val="en-US" w:eastAsia="zh-CN" w:bidi="ar-SA"/>
              </w:rPr>
              <w:t>130</w:t>
            </w:r>
          </w:p>
        </w:tc>
        <w:tc>
          <w:tcPr>
            <w:tcW w:w="1755"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cs="Times New Roman"/>
                <w:bCs/>
                <w:color w:val="auto"/>
                <w:kern w:val="0"/>
                <w:sz w:val="21"/>
                <w:szCs w:val="21"/>
                <w:lang w:val="en-US" w:eastAsia="zh-CN" w:bidi="ar-SA"/>
              </w:rPr>
              <w:t>97</w:t>
            </w:r>
          </w:p>
        </w:tc>
        <w:tc>
          <w:tcPr>
            <w:tcW w:w="1590"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Cs/>
                <w:color w:val="auto"/>
                <w:kern w:val="0"/>
                <w:sz w:val="21"/>
                <w:szCs w:val="21"/>
                <w:lang w:val="en-US" w:eastAsia="zh-CN" w:bidi="ar-SA"/>
              </w:rPr>
              <w:t>100</w:t>
            </w:r>
          </w:p>
        </w:tc>
        <w:tc>
          <w:tcPr>
            <w:tcW w:w="1464"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Cs/>
                <w:color w:val="auto"/>
                <w:kern w:val="0"/>
                <w:sz w:val="21"/>
                <w:szCs w:val="21"/>
                <w:lang w:val="en-US" w:eastAsia="zh-CN" w:bidi="ar-SA"/>
              </w:rPr>
              <w:t>149</w:t>
            </w:r>
          </w:p>
        </w:tc>
      </w:tr>
    </w:tbl>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sectPr>
          <w:headerReference r:id="rId35" w:type="default"/>
          <w:footerReference r:id="rId3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宋体"/>
          <w:b/>
          <w:bCs/>
          <w:color w:val="000000"/>
          <w:sz w:val="24"/>
          <w:szCs w:val="24"/>
        </w:rPr>
      </w:pPr>
      <w:r>
        <w:rPr>
          <w:rFonts w:hint="eastAsia" w:ascii="Times New Roman" w:hAnsi="Times New Roman" w:eastAsia="宋体" w:cs="宋体"/>
          <w:b/>
          <w:bCs/>
          <w:color w:val="000000"/>
          <w:sz w:val="24"/>
          <w:szCs w:val="24"/>
        </w:rPr>
        <w:t>表</w:t>
      </w:r>
      <w:r>
        <w:rPr>
          <w:rFonts w:hint="eastAsia" w:ascii="Times New Roman" w:hAnsi="Times New Roman" w:eastAsia="宋体" w:cs="Times New Roman"/>
          <w:b/>
          <w:bCs/>
          <w:color w:val="000000"/>
          <w:sz w:val="24"/>
          <w:szCs w:val="24"/>
          <w:lang w:val="en-US" w:eastAsia="zh-CN"/>
        </w:rPr>
        <w:t>5.8</w:t>
      </w:r>
      <w:r>
        <w:rPr>
          <w:rFonts w:hint="default" w:ascii="Times New Roman" w:hAnsi="Times New Roman" w:eastAsia="宋体" w:cs="Times New Roman"/>
          <w:b/>
          <w:bCs/>
          <w:color w:val="000000"/>
          <w:sz w:val="24"/>
          <w:szCs w:val="24"/>
          <w:lang w:val="en-US" w:eastAsia="zh-CN"/>
        </w:rPr>
        <w:t>-</w:t>
      </w:r>
      <w:r>
        <w:rPr>
          <w:rFonts w:hint="eastAsia" w:ascii="Times New Roman" w:hAnsi="Times New Roman" w:cs="Times New Roman"/>
          <w:b/>
          <w:bCs/>
          <w:color w:val="000000"/>
          <w:sz w:val="24"/>
          <w:szCs w:val="24"/>
          <w:lang w:val="en-US" w:eastAsia="zh-CN"/>
        </w:rPr>
        <w:t>4（2）</w:t>
      </w:r>
      <w:r>
        <w:rPr>
          <w:rFonts w:hint="eastAsia" w:ascii="Times New Roman" w:hAnsi="Times New Roman" w:eastAsia="宋体" w:cs="Times New Roman"/>
          <w:b/>
          <w:bCs/>
          <w:color w:val="000000"/>
          <w:sz w:val="24"/>
          <w:szCs w:val="24"/>
          <w:lang w:val="en-US" w:eastAsia="zh-CN"/>
        </w:rPr>
        <w:t xml:space="preserve"> </w:t>
      </w:r>
      <w:r>
        <w:rPr>
          <w:rFonts w:hint="eastAsia" w:ascii="Times New Roman" w:hAnsi="Times New Roman" w:eastAsia="宋体" w:cs="宋体"/>
          <w:b/>
          <w:bCs/>
          <w:color w:val="000000"/>
          <w:sz w:val="24"/>
          <w:szCs w:val="24"/>
        </w:rPr>
        <w:t xml:space="preserve"> 土壤环境质量现状监测结果一览表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4"/>
        <w:gridCol w:w="2820"/>
        <w:gridCol w:w="1833"/>
        <w:gridCol w:w="1845"/>
        <w:gridCol w:w="1515"/>
        <w:gridCol w:w="1575"/>
        <w:gridCol w:w="1620"/>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54" w:type="dxa"/>
            <w:vMerge w:val="restart"/>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序号</w:t>
            </w:r>
          </w:p>
        </w:tc>
        <w:tc>
          <w:tcPr>
            <w:tcW w:w="2820" w:type="dxa"/>
            <w:vMerge w:val="restart"/>
            <w:tcBorders>
              <w:tl2br w:val="single" w:color="auto" w:sz="4" w:space="0"/>
            </w:tcBorders>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 xml:space="preserve">       采样深度</w:t>
            </w:r>
          </w:p>
          <w:p>
            <w:pPr>
              <w:adjustRightInd w:val="0"/>
              <w:snapToGrid w:val="0"/>
              <w:rPr>
                <w:rFonts w:ascii="Times New Roman" w:hAnsi="Times New Roman" w:eastAsia="宋体"/>
                <w:b/>
                <w:bCs/>
                <w:color w:val="auto"/>
                <w:szCs w:val="21"/>
              </w:rPr>
            </w:pPr>
            <w:r>
              <w:rPr>
                <w:rFonts w:ascii="Times New Roman" w:hAnsi="Times New Roman" w:eastAsia="宋体"/>
                <w:b/>
                <w:bCs/>
                <w:color w:val="auto"/>
                <w:szCs w:val="21"/>
              </w:rPr>
              <w:t>监测因子</w:t>
            </w:r>
          </w:p>
        </w:tc>
        <w:tc>
          <w:tcPr>
            <w:tcW w:w="5193" w:type="dxa"/>
            <w:gridSpan w:val="3"/>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1#</w:t>
            </w:r>
          </w:p>
        </w:tc>
        <w:tc>
          <w:tcPr>
            <w:tcW w:w="4814" w:type="dxa"/>
            <w:gridSpan w:val="3"/>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554" w:type="dxa"/>
            <w:vMerge w:val="continue"/>
            <w:noWrap w:val="0"/>
            <w:vAlign w:val="center"/>
          </w:tcPr>
          <w:p>
            <w:pPr>
              <w:adjustRightInd w:val="0"/>
              <w:snapToGrid w:val="0"/>
              <w:jc w:val="center"/>
              <w:rPr>
                <w:rFonts w:ascii="Times New Roman" w:hAnsi="Times New Roman" w:eastAsia="宋体"/>
                <w:color w:val="auto"/>
                <w:szCs w:val="21"/>
              </w:rPr>
            </w:pPr>
          </w:p>
        </w:tc>
        <w:tc>
          <w:tcPr>
            <w:tcW w:w="2820" w:type="dxa"/>
            <w:vMerge w:val="continue"/>
            <w:noWrap w:val="0"/>
            <w:vAlign w:val="center"/>
          </w:tcPr>
          <w:p>
            <w:pPr>
              <w:adjustRightInd w:val="0"/>
              <w:snapToGrid w:val="0"/>
              <w:jc w:val="center"/>
              <w:rPr>
                <w:rFonts w:ascii="Times New Roman" w:hAnsi="Times New Roman" w:eastAsia="宋体"/>
                <w:color w:val="auto"/>
                <w:szCs w:val="21"/>
              </w:rPr>
            </w:pPr>
          </w:p>
        </w:tc>
        <w:tc>
          <w:tcPr>
            <w:tcW w:w="1833"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0-0.5m</w:t>
            </w:r>
          </w:p>
        </w:tc>
        <w:tc>
          <w:tcPr>
            <w:tcW w:w="1845"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0.5-1.5m</w:t>
            </w:r>
          </w:p>
        </w:tc>
        <w:tc>
          <w:tcPr>
            <w:tcW w:w="1515"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1.5-3m</w:t>
            </w:r>
          </w:p>
        </w:tc>
        <w:tc>
          <w:tcPr>
            <w:tcW w:w="1575"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0-0.5m</w:t>
            </w:r>
          </w:p>
        </w:tc>
        <w:tc>
          <w:tcPr>
            <w:tcW w:w="1620"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0.5-1.5m</w:t>
            </w:r>
          </w:p>
        </w:tc>
        <w:tc>
          <w:tcPr>
            <w:tcW w:w="1619"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1.5-3m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w:t>
            </w:r>
          </w:p>
        </w:tc>
        <w:tc>
          <w:tcPr>
            <w:tcW w:w="2820" w:type="dxa"/>
            <w:noWrap w:val="0"/>
            <w:vAlign w:val="center"/>
          </w:tcPr>
          <w:p>
            <w:pPr>
              <w:jc w:val="center"/>
              <w:rPr>
                <w:rFonts w:hint="eastAsia" w:ascii="Times New Roman" w:hAnsi="Times New Roman" w:eastAsia="宋体"/>
                <w:color w:val="auto"/>
                <w:szCs w:val="21"/>
                <w:lang w:eastAsia="zh-CN"/>
              </w:rPr>
            </w:pPr>
            <w:r>
              <w:rPr>
                <w:rFonts w:ascii="Times New Roman" w:hAnsi="Times New Roman"/>
                <w:color w:val="000000"/>
                <w:szCs w:val="21"/>
                <w:highlight w:val="none"/>
              </w:rPr>
              <w:t>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highlight w:val="none"/>
                <w:lang w:val="en-US" w:eastAsia="zh-CN" w:bidi="ar-SA"/>
              </w:rPr>
              <w:t>6.72</w:t>
            </w:r>
          </w:p>
        </w:tc>
        <w:tc>
          <w:tcPr>
            <w:tcW w:w="184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6.07</w:t>
            </w:r>
          </w:p>
        </w:tc>
        <w:tc>
          <w:tcPr>
            <w:tcW w:w="151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11.2</w:t>
            </w:r>
          </w:p>
        </w:tc>
        <w:tc>
          <w:tcPr>
            <w:tcW w:w="157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5.74</w:t>
            </w:r>
          </w:p>
        </w:tc>
        <w:tc>
          <w:tcPr>
            <w:tcW w:w="162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5.84</w:t>
            </w:r>
          </w:p>
        </w:tc>
        <w:tc>
          <w:tcPr>
            <w:tcW w:w="1619"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镉</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highlight w:val="none"/>
                <w:lang w:val="en-US" w:eastAsia="zh-CN" w:bidi="ar-SA"/>
              </w:rPr>
              <w:t>0.24</w:t>
            </w:r>
          </w:p>
        </w:tc>
        <w:tc>
          <w:tcPr>
            <w:tcW w:w="184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0.23</w:t>
            </w:r>
          </w:p>
        </w:tc>
        <w:tc>
          <w:tcPr>
            <w:tcW w:w="151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0.22</w:t>
            </w:r>
          </w:p>
        </w:tc>
        <w:tc>
          <w:tcPr>
            <w:tcW w:w="157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0.45</w:t>
            </w:r>
          </w:p>
        </w:tc>
        <w:tc>
          <w:tcPr>
            <w:tcW w:w="162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0.30</w:t>
            </w:r>
          </w:p>
        </w:tc>
        <w:tc>
          <w:tcPr>
            <w:tcW w:w="1619"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六价铬</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kern w:val="2"/>
                <w:sz w:val="21"/>
                <w:szCs w:val="21"/>
                <w:highlight w:val="none"/>
                <w:lang w:val="en-US" w:eastAsia="zh-CN" w:bidi="ar-SA"/>
              </w:rPr>
              <w:t>＜2.00</w:t>
            </w:r>
          </w:p>
        </w:tc>
        <w:tc>
          <w:tcPr>
            <w:tcW w:w="184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kern w:val="2"/>
                <w:sz w:val="21"/>
                <w:szCs w:val="21"/>
                <w:lang w:val="en-US" w:eastAsia="zh-CN" w:bidi="ar-SA"/>
              </w:rPr>
              <w:t>＜2.00</w:t>
            </w:r>
          </w:p>
        </w:tc>
        <w:tc>
          <w:tcPr>
            <w:tcW w:w="151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kern w:val="2"/>
                <w:sz w:val="21"/>
                <w:szCs w:val="21"/>
                <w:lang w:val="en-US" w:eastAsia="zh-CN" w:bidi="ar-SA"/>
              </w:rPr>
              <w:t>＜2.00</w:t>
            </w:r>
          </w:p>
        </w:tc>
        <w:tc>
          <w:tcPr>
            <w:tcW w:w="157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kern w:val="2"/>
                <w:sz w:val="21"/>
                <w:szCs w:val="21"/>
                <w:lang w:val="en-US" w:eastAsia="zh-CN" w:bidi="ar-SA"/>
              </w:rPr>
              <w:t>＜2.00</w:t>
            </w:r>
          </w:p>
        </w:tc>
        <w:tc>
          <w:tcPr>
            <w:tcW w:w="162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kern w:val="2"/>
                <w:sz w:val="21"/>
                <w:szCs w:val="21"/>
                <w:lang w:val="en-US" w:eastAsia="zh-CN" w:bidi="ar-SA"/>
              </w:rPr>
              <w:t>＜2.00</w:t>
            </w:r>
          </w:p>
        </w:tc>
        <w:tc>
          <w:tcPr>
            <w:tcW w:w="1619"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kern w:val="2"/>
                <w:sz w:val="21"/>
                <w:szCs w:val="21"/>
                <w:lang w:val="en-US" w:eastAsia="zh-CN" w:bidi="ar-SA"/>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铜</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highlight w:val="none"/>
                <w:lang w:val="en-US" w:eastAsia="zh-CN" w:bidi="ar-SA"/>
              </w:rPr>
              <w:t>26</w:t>
            </w:r>
          </w:p>
        </w:tc>
        <w:tc>
          <w:tcPr>
            <w:tcW w:w="184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27</w:t>
            </w:r>
          </w:p>
        </w:tc>
        <w:tc>
          <w:tcPr>
            <w:tcW w:w="151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19</w:t>
            </w:r>
          </w:p>
        </w:tc>
        <w:tc>
          <w:tcPr>
            <w:tcW w:w="157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20</w:t>
            </w:r>
          </w:p>
        </w:tc>
        <w:tc>
          <w:tcPr>
            <w:tcW w:w="162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15</w:t>
            </w:r>
          </w:p>
        </w:tc>
        <w:tc>
          <w:tcPr>
            <w:tcW w:w="1619"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5</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铅</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highlight w:val="none"/>
                <w:lang w:val="en-US" w:eastAsia="zh-CN" w:bidi="ar-SA"/>
              </w:rPr>
              <w:t>20.3</w:t>
            </w:r>
          </w:p>
        </w:tc>
        <w:tc>
          <w:tcPr>
            <w:tcW w:w="184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20.1</w:t>
            </w:r>
          </w:p>
        </w:tc>
        <w:tc>
          <w:tcPr>
            <w:tcW w:w="151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17.2</w:t>
            </w:r>
          </w:p>
        </w:tc>
        <w:tc>
          <w:tcPr>
            <w:tcW w:w="157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19.8</w:t>
            </w:r>
          </w:p>
        </w:tc>
        <w:tc>
          <w:tcPr>
            <w:tcW w:w="162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19.7</w:t>
            </w:r>
          </w:p>
        </w:tc>
        <w:tc>
          <w:tcPr>
            <w:tcW w:w="1619"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6</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汞</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highlight w:val="none"/>
                <w:lang w:val="en-US" w:eastAsia="zh-CN" w:bidi="ar-SA"/>
              </w:rPr>
              <w:t>0.039</w:t>
            </w:r>
          </w:p>
        </w:tc>
        <w:tc>
          <w:tcPr>
            <w:tcW w:w="184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0.062</w:t>
            </w:r>
          </w:p>
        </w:tc>
        <w:tc>
          <w:tcPr>
            <w:tcW w:w="151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0.096</w:t>
            </w:r>
          </w:p>
        </w:tc>
        <w:tc>
          <w:tcPr>
            <w:tcW w:w="157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0.114</w:t>
            </w:r>
          </w:p>
        </w:tc>
        <w:tc>
          <w:tcPr>
            <w:tcW w:w="162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0.090</w:t>
            </w:r>
          </w:p>
        </w:tc>
        <w:tc>
          <w:tcPr>
            <w:tcW w:w="1619"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7</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镍</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bCs/>
                <w:color w:val="auto"/>
                <w:kern w:val="0"/>
                <w:sz w:val="21"/>
                <w:szCs w:val="21"/>
                <w:highlight w:val="none"/>
                <w:lang w:val="en-US" w:eastAsia="zh-CN" w:bidi="ar-SA"/>
              </w:rPr>
              <w:t>32</w:t>
            </w:r>
          </w:p>
        </w:tc>
        <w:tc>
          <w:tcPr>
            <w:tcW w:w="1845"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bCs/>
                <w:color w:val="auto"/>
                <w:kern w:val="0"/>
                <w:sz w:val="21"/>
                <w:szCs w:val="21"/>
                <w:lang w:val="en-US" w:eastAsia="zh-CN" w:bidi="ar-SA"/>
              </w:rPr>
              <w:t>32</w:t>
            </w:r>
          </w:p>
        </w:tc>
        <w:tc>
          <w:tcPr>
            <w:tcW w:w="1515"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bCs/>
                <w:color w:val="auto"/>
                <w:kern w:val="0"/>
                <w:sz w:val="21"/>
                <w:szCs w:val="21"/>
                <w:lang w:val="en-US" w:eastAsia="zh-CN" w:bidi="ar-SA"/>
              </w:rPr>
              <w:t>31</w:t>
            </w:r>
          </w:p>
        </w:tc>
        <w:tc>
          <w:tcPr>
            <w:tcW w:w="1575"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bCs/>
                <w:color w:val="auto"/>
                <w:kern w:val="0"/>
                <w:sz w:val="21"/>
                <w:szCs w:val="21"/>
                <w:lang w:val="en-US" w:eastAsia="zh-CN" w:bidi="ar-SA"/>
              </w:rPr>
              <w:t>27</w:t>
            </w:r>
          </w:p>
        </w:tc>
        <w:tc>
          <w:tcPr>
            <w:tcW w:w="1620"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bCs/>
                <w:color w:val="auto"/>
                <w:kern w:val="0"/>
                <w:sz w:val="21"/>
                <w:szCs w:val="21"/>
                <w:lang w:val="en-US" w:eastAsia="zh-CN" w:bidi="ar-SA"/>
              </w:rPr>
              <w:t>16</w:t>
            </w:r>
          </w:p>
        </w:tc>
        <w:tc>
          <w:tcPr>
            <w:tcW w:w="1619"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bCs/>
                <w:color w:val="auto"/>
                <w:kern w:val="0"/>
                <w:sz w:val="21"/>
                <w:szCs w:val="21"/>
                <w:lang w:val="en-US" w:eastAsia="zh-CN" w:bidi="ar-SA"/>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8</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四氯化碳</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9</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氯仿</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10</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氯甲烷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11</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1,1-二氯乙烷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12</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1,2-二氯乙烷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13</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1,1-二氯乙烯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14</w:t>
            </w:r>
          </w:p>
        </w:tc>
        <w:tc>
          <w:tcPr>
            <w:tcW w:w="2820" w:type="dxa"/>
            <w:noWrap w:val="0"/>
            <w:vAlign w:val="center"/>
          </w:tcPr>
          <w:p>
            <w:pPr>
              <w:jc w:val="center"/>
              <w:rPr>
                <w:rFonts w:ascii="Times New Roman" w:hAnsi="Times New Roman" w:eastAsia="宋体"/>
                <w:bCs/>
                <w:color w:val="auto"/>
                <w:szCs w:val="21"/>
              </w:rPr>
            </w:pPr>
            <w:r>
              <w:rPr>
                <w:rFonts w:ascii="Times New Roman" w:hAnsi="Times New Roman"/>
                <w:color w:val="000000"/>
                <w:szCs w:val="21"/>
                <w:highlight w:val="none"/>
              </w:rPr>
              <w:t>顺-1,2-二氯乙烯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15</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反-1,2-二氯乙烯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16</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二氯甲烷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17</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1,2-二氯丙烷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18</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1,1,1,2-四氯乙烷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19</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1,1,2,2-四氯乙烷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20</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四氯乙烯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21</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1,1,1-三氯乙烷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22</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1,1,2-三氯乙烷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23</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三氯乙烯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24</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1,2,3-三氯丙烷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25</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26</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＜1.9×10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＜1.9×10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＜1.9×10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＜1.9×10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＜1.9×10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＜1.9×10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27</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氯苯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28</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1,2-二氯苯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29</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1,4-二氯苯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30</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乙苯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31</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32</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甲苯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33</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间二甲苯+对二甲苯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34</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邻二甲苯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35</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硝基苯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36</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苯胺</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37</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2-氯酚</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＜0.06</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＜0.06</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＜0.06</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＜0.06</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＜0.06</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38</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苯并[a]蒽</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39</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苯并[a]芘</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40</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苯并[b]荧蒽</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＜0.2</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＜0.2</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＜0.2</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＜0.2</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＜0.2</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41</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苯并[k]荧蒽</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42</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䓛</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43</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二苯并[a, h]蒽</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44</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茚并[1,2,3-cd]芘</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84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1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575"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2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1619"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hint="default" w:ascii="Times New Roman" w:hAnsi="Times New Roman" w:eastAsia="宋体"/>
                <w:color w:val="auto"/>
                <w:szCs w:val="21"/>
                <w:lang w:val="en-US" w:eastAsia="zh-CN"/>
              </w:rPr>
            </w:pPr>
            <w:r>
              <w:rPr>
                <w:rFonts w:ascii="Times New Roman" w:hAnsi="Times New Roman" w:eastAsia="宋体"/>
                <w:color w:val="auto"/>
                <w:szCs w:val="21"/>
              </w:rPr>
              <w:t>45</w:t>
            </w:r>
          </w:p>
        </w:tc>
        <w:tc>
          <w:tcPr>
            <w:tcW w:w="2820" w:type="dxa"/>
            <w:noWrap w:val="0"/>
            <w:vAlign w:val="center"/>
          </w:tcPr>
          <w:p>
            <w:pPr>
              <w:jc w:val="center"/>
              <w:rPr>
                <w:rFonts w:ascii="Times New Roman" w:hAnsi="Times New Roman" w:eastAsia="宋体"/>
                <w:color w:val="auto"/>
                <w:szCs w:val="21"/>
              </w:rPr>
            </w:pPr>
            <w:r>
              <w:rPr>
                <w:rFonts w:ascii="Times New Roman" w:hAnsi="Times New Roman"/>
                <w:color w:val="000000"/>
                <w:szCs w:val="21"/>
              </w:rPr>
              <w:t>萘</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833"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184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151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1575"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162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1619"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r>
    </w:tbl>
    <w:p>
      <w:pPr>
        <w:pStyle w:val="2"/>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宋体"/>
          <w:b/>
          <w:bCs/>
          <w:color w:val="000000"/>
          <w:sz w:val="24"/>
          <w:szCs w:val="24"/>
        </w:rPr>
      </w:pPr>
      <w:r>
        <w:rPr>
          <w:rFonts w:hint="eastAsia" w:ascii="Times New Roman" w:hAnsi="Times New Roman" w:eastAsia="宋体" w:cs="宋体"/>
          <w:b/>
          <w:bCs/>
          <w:color w:val="000000"/>
          <w:sz w:val="24"/>
          <w:szCs w:val="24"/>
        </w:rPr>
        <w:t>表</w:t>
      </w:r>
      <w:r>
        <w:rPr>
          <w:rFonts w:hint="eastAsia" w:ascii="Times New Roman" w:hAnsi="Times New Roman" w:eastAsia="宋体" w:cs="Times New Roman"/>
          <w:b/>
          <w:bCs/>
          <w:color w:val="000000"/>
          <w:sz w:val="24"/>
          <w:szCs w:val="24"/>
          <w:lang w:val="en-US" w:eastAsia="zh-CN"/>
        </w:rPr>
        <w:t>5.8</w:t>
      </w:r>
      <w:r>
        <w:rPr>
          <w:rFonts w:hint="default" w:ascii="Times New Roman" w:hAnsi="Times New Roman" w:eastAsia="宋体" w:cs="Times New Roman"/>
          <w:b/>
          <w:bCs/>
          <w:color w:val="000000"/>
          <w:sz w:val="24"/>
          <w:szCs w:val="24"/>
          <w:lang w:val="en-US" w:eastAsia="zh-CN"/>
        </w:rPr>
        <w:t>-</w:t>
      </w:r>
      <w:r>
        <w:rPr>
          <w:rFonts w:hint="eastAsia" w:ascii="Times New Roman" w:hAnsi="Times New Roman" w:cs="Times New Roman"/>
          <w:b/>
          <w:bCs/>
          <w:color w:val="000000"/>
          <w:sz w:val="24"/>
          <w:szCs w:val="24"/>
          <w:lang w:val="en-US" w:eastAsia="zh-CN"/>
        </w:rPr>
        <w:t>4（3）</w:t>
      </w:r>
      <w:r>
        <w:rPr>
          <w:rFonts w:hint="eastAsia" w:ascii="Times New Roman" w:hAnsi="Times New Roman" w:eastAsia="宋体" w:cs="Times New Roman"/>
          <w:b/>
          <w:bCs/>
          <w:color w:val="000000"/>
          <w:sz w:val="24"/>
          <w:szCs w:val="24"/>
          <w:lang w:val="en-US" w:eastAsia="zh-CN"/>
        </w:rPr>
        <w:t xml:space="preserve"> </w:t>
      </w:r>
      <w:r>
        <w:rPr>
          <w:rFonts w:hint="eastAsia" w:ascii="Times New Roman" w:hAnsi="Times New Roman" w:eastAsia="宋体" w:cs="宋体"/>
          <w:b/>
          <w:bCs/>
          <w:color w:val="000000"/>
          <w:sz w:val="24"/>
          <w:szCs w:val="24"/>
        </w:rPr>
        <w:t xml:space="preserve"> 土壤环境质量现状监测结果一览表</w:t>
      </w:r>
    </w:p>
    <w:tbl>
      <w:tblPr>
        <w:tblStyle w:val="18"/>
        <w:tblW w:w="128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
        <w:gridCol w:w="3364"/>
        <w:gridCol w:w="2317"/>
        <w:gridCol w:w="2250"/>
        <w:gridCol w:w="2417"/>
        <w:gridCol w:w="2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57" w:type="dxa"/>
            <w:vMerge w:val="restart"/>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序号</w:t>
            </w:r>
          </w:p>
        </w:tc>
        <w:tc>
          <w:tcPr>
            <w:tcW w:w="3364" w:type="dxa"/>
            <w:vMerge w:val="restart"/>
            <w:tcBorders>
              <w:tl2br w:val="single" w:color="auto" w:sz="4" w:space="0"/>
            </w:tcBorders>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 xml:space="preserve">       采样深度</w:t>
            </w:r>
          </w:p>
          <w:p>
            <w:pPr>
              <w:adjustRightInd w:val="0"/>
              <w:snapToGrid w:val="0"/>
              <w:rPr>
                <w:rFonts w:ascii="Times New Roman" w:hAnsi="Times New Roman" w:eastAsia="宋体"/>
                <w:b/>
                <w:bCs/>
                <w:color w:val="auto"/>
                <w:szCs w:val="21"/>
              </w:rPr>
            </w:pPr>
            <w:r>
              <w:rPr>
                <w:rFonts w:ascii="Times New Roman" w:hAnsi="Times New Roman" w:eastAsia="宋体"/>
                <w:b/>
                <w:bCs/>
                <w:color w:val="auto"/>
                <w:szCs w:val="21"/>
              </w:rPr>
              <w:t>监测因子</w:t>
            </w:r>
          </w:p>
        </w:tc>
        <w:tc>
          <w:tcPr>
            <w:tcW w:w="6984" w:type="dxa"/>
            <w:gridSpan w:val="3"/>
            <w:noWrap w:val="0"/>
            <w:vAlign w:val="center"/>
          </w:tcPr>
          <w:p>
            <w:pPr>
              <w:adjustRightInd w:val="0"/>
              <w:snapToGrid w:val="0"/>
              <w:jc w:val="center"/>
              <w:rPr>
                <w:rFonts w:hint="default" w:ascii="Times New Roman" w:hAnsi="Times New Roman" w:eastAsia="宋体"/>
                <w:b/>
                <w:bCs/>
                <w:color w:val="auto"/>
                <w:szCs w:val="21"/>
                <w:lang w:val="en-US" w:eastAsia="zh-CN"/>
              </w:rPr>
            </w:pPr>
            <w:r>
              <w:rPr>
                <w:rFonts w:ascii="Times New Roman" w:hAnsi="Times New Roman" w:eastAsia="宋体"/>
                <w:b/>
                <w:bCs/>
                <w:color w:val="auto"/>
                <w:szCs w:val="21"/>
              </w:rPr>
              <w:t>3#</w:t>
            </w:r>
          </w:p>
        </w:tc>
        <w:tc>
          <w:tcPr>
            <w:tcW w:w="2034" w:type="dxa"/>
            <w:noWrap w:val="0"/>
            <w:vAlign w:val="center"/>
          </w:tcPr>
          <w:p>
            <w:pPr>
              <w:adjustRightInd w:val="0"/>
              <w:snapToGrid w:val="0"/>
              <w:jc w:val="center"/>
              <w:rPr>
                <w:rFonts w:hint="eastAsia" w:ascii="Times New Roman" w:hAnsi="Times New Roman" w:eastAsia="宋体"/>
                <w:b/>
                <w:bCs/>
                <w:color w:val="auto"/>
                <w:szCs w:val="21"/>
                <w:lang w:val="en-US" w:eastAsia="zh-CN"/>
              </w:rPr>
            </w:pPr>
            <w:r>
              <w:rPr>
                <w:rFonts w:hint="eastAsia" w:ascii="Times New Roman" w:hAnsi="Times New Roman" w:eastAsia="宋体"/>
                <w:b/>
                <w:bCs/>
                <w:color w:val="auto"/>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vMerge w:val="continue"/>
            <w:noWrap w:val="0"/>
            <w:vAlign w:val="center"/>
          </w:tcPr>
          <w:p>
            <w:pPr>
              <w:adjustRightInd w:val="0"/>
              <w:snapToGrid w:val="0"/>
              <w:jc w:val="center"/>
              <w:rPr>
                <w:rFonts w:ascii="Times New Roman" w:hAnsi="Times New Roman" w:eastAsia="宋体"/>
                <w:color w:val="auto"/>
                <w:szCs w:val="21"/>
              </w:rPr>
            </w:pPr>
          </w:p>
        </w:tc>
        <w:tc>
          <w:tcPr>
            <w:tcW w:w="3364" w:type="dxa"/>
            <w:vMerge w:val="continue"/>
            <w:noWrap w:val="0"/>
            <w:vAlign w:val="center"/>
          </w:tcPr>
          <w:p>
            <w:pPr>
              <w:adjustRightInd w:val="0"/>
              <w:snapToGrid w:val="0"/>
              <w:jc w:val="center"/>
              <w:rPr>
                <w:rFonts w:ascii="Times New Roman" w:hAnsi="Times New Roman" w:eastAsia="宋体"/>
                <w:color w:val="auto"/>
                <w:szCs w:val="21"/>
              </w:rPr>
            </w:pPr>
          </w:p>
        </w:tc>
        <w:tc>
          <w:tcPr>
            <w:tcW w:w="2317"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0-0.5m</w:t>
            </w:r>
          </w:p>
        </w:tc>
        <w:tc>
          <w:tcPr>
            <w:tcW w:w="2250"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0.5-1.5m</w:t>
            </w:r>
          </w:p>
        </w:tc>
        <w:tc>
          <w:tcPr>
            <w:tcW w:w="2417"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1.5-3m</w:t>
            </w:r>
          </w:p>
        </w:tc>
        <w:tc>
          <w:tcPr>
            <w:tcW w:w="2034"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0-0.</w:t>
            </w:r>
            <w:r>
              <w:rPr>
                <w:rFonts w:hint="eastAsia" w:ascii="Times New Roman" w:hAnsi="Times New Roman"/>
                <w:b/>
                <w:bCs/>
                <w:color w:val="auto"/>
                <w:szCs w:val="21"/>
                <w:lang w:val="en-US" w:eastAsia="zh-CN"/>
              </w:rPr>
              <w:t>2</w:t>
            </w:r>
            <w:r>
              <w:rPr>
                <w:rFonts w:ascii="Times New Roman" w:hAnsi="Times New Roman" w:eastAsia="宋体"/>
                <w:b/>
                <w:bCs/>
                <w:color w:val="auto"/>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7.22</w:t>
            </w:r>
          </w:p>
        </w:tc>
        <w:tc>
          <w:tcPr>
            <w:tcW w:w="225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6.49</w:t>
            </w:r>
          </w:p>
        </w:tc>
        <w:tc>
          <w:tcPr>
            <w:tcW w:w="24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7.53</w:t>
            </w:r>
          </w:p>
        </w:tc>
        <w:tc>
          <w:tcPr>
            <w:tcW w:w="2034" w:type="dxa"/>
            <w:noWrap w:val="0"/>
            <w:vAlign w:val="center"/>
          </w:tcPr>
          <w:p>
            <w:pPr>
              <w:spacing w:line="270" w:lineRule="exact"/>
              <w:jc w:val="center"/>
              <w:rPr>
                <w:rFonts w:ascii="Times New Roman" w:hAnsi="Times New Roman" w:eastAsia="宋体"/>
                <w:color w:val="auto"/>
                <w:szCs w:val="21"/>
              </w:rPr>
            </w:pPr>
            <w:r>
              <w:rPr>
                <w:rFonts w:hint="eastAsia" w:cs="Times New Roman"/>
                <w:color w:val="auto"/>
                <w:kern w:val="2"/>
                <w:sz w:val="21"/>
                <w:szCs w:val="21"/>
                <w:lang w:val="en-US" w:eastAsia="zh-CN" w:bidi="ar-SA"/>
              </w:rPr>
              <w:t>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镉</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0.40</w:t>
            </w:r>
          </w:p>
        </w:tc>
        <w:tc>
          <w:tcPr>
            <w:tcW w:w="225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0.45</w:t>
            </w:r>
          </w:p>
        </w:tc>
        <w:tc>
          <w:tcPr>
            <w:tcW w:w="24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0.42</w:t>
            </w:r>
          </w:p>
        </w:tc>
        <w:tc>
          <w:tcPr>
            <w:tcW w:w="2034" w:type="dxa"/>
            <w:noWrap w:val="0"/>
            <w:vAlign w:val="center"/>
          </w:tcPr>
          <w:p>
            <w:pPr>
              <w:spacing w:line="270" w:lineRule="exact"/>
              <w:jc w:val="center"/>
              <w:rPr>
                <w:rFonts w:ascii="Times New Roman" w:hAnsi="Times New Roman" w:eastAsia="宋体"/>
                <w:color w:val="auto"/>
                <w:szCs w:val="21"/>
              </w:rPr>
            </w:pPr>
            <w:r>
              <w:rPr>
                <w:rFonts w:hint="eastAsia" w:cs="Times New Roman"/>
                <w:color w:val="auto"/>
                <w:kern w:val="2"/>
                <w:sz w:val="21"/>
                <w:szCs w:val="21"/>
                <w:lang w:val="en-US" w:eastAsia="zh-CN" w:bidi="ar-SA"/>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六价铬</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kern w:val="2"/>
                <w:sz w:val="21"/>
                <w:szCs w:val="21"/>
                <w:lang w:val="en-US" w:eastAsia="zh-CN" w:bidi="ar-SA"/>
              </w:rPr>
              <w:t>＜2.00</w:t>
            </w:r>
          </w:p>
        </w:tc>
        <w:tc>
          <w:tcPr>
            <w:tcW w:w="225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＜2.00</w:t>
            </w:r>
          </w:p>
        </w:tc>
        <w:tc>
          <w:tcPr>
            <w:tcW w:w="24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kern w:val="2"/>
                <w:sz w:val="21"/>
                <w:szCs w:val="21"/>
                <w:lang w:val="en-US" w:eastAsia="zh-CN" w:bidi="ar-SA"/>
              </w:rPr>
              <w:t>＜2.00</w:t>
            </w:r>
          </w:p>
        </w:tc>
        <w:tc>
          <w:tcPr>
            <w:tcW w:w="2034" w:type="dxa"/>
            <w:noWrap w:val="0"/>
            <w:vAlign w:val="center"/>
          </w:tcPr>
          <w:p>
            <w:pPr>
              <w:spacing w:line="270" w:lineRule="exact"/>
              <w:jc w:val="center"/>
              <w:rPr>
                <w:rFonts w:ascii="Times New Roman" w:hAnsi="Times New Roman" w:eastAsia="宋体"/>
                <w:color w:val="auto"/>
                <w:szCs w:val="21"/>
              </w:rPr>
            </w:pPr>
            <w:r>
              <w:rPr>
                <w:rFonts w:hint="eastAsia" w:cs="Times New Roman" w:eastAsiaTheme="minorEastAsia"/>
                <w:color w:val="auto"/>
                <w:kern w:val="2"/>
                <w:sz w:val="21"/>
                <w:szCs w:val="21"/>
                <w:lang w:val="en-US" w:eastAsia="zh-CN" w:bidi="ar-SA"/>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铜</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35</w:t>
            </w:r>
          </w:p>
        </w:tc>
        <w:tc>
          <w:tcPr>
            <w:tcW w:w="225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34</w:t>
            </w:r>
          </w:p>
        </w:tc>
        <w:tc>
          <w:tcPr>
            <w:tcW w:w="24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44</w:t>
            </w:r>
          </w:p>
        </w:tc>
        <w:tc>
          <w:tcPr>
            <w:tcW w:w="2034" w:type="dxa"/>
            <w:noWrap w:val="0"/>
            <w:vAlign w:val="center"/>
          </w:tcPr>
          <w:p>
            <w:pPr>
              <w:spacing w:line="270" w:lineRule="exact"/>
              <w:jc w:val="center"/>
              <w:rPr>
                <w:rFonts w:ascii="Times New Roman" w:hAnsi="Times New Roman" w:eastAsia="宋体"/>
                <w:color w:val="auto"/>
                <w:szCs w:val="21"/>
              </w:rPr>
            </w:pPr>
            <w:r>
              <w:rPr>
                <w:rFonts w:hint="eastAsia" w:cs="Times New Roman"/>
                <w:color w:val="auto"/>
                <w:kern w:val="2"/>
                <w:sz w:val="21"/>
                <w:szCs w:val="21"/>
                <w:lang w:val="en-US" w:eastAsia="zh-CN" w:bidi="ar-SA"/>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5</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铅</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67.2</w:t>
            </w:r>
          </w:p>
        </w:tc>
        <w:tc>
          <w:tcPr>
            <w:tcW w:w="225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27.8</w:t>
            </w:r>
          </w:p>
        </w:tc>
        <w:tc>
          <w:tcPr>
            <w:tcW w:w="24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90.7</w:t>
            </w:r>
          </w:p>
        </w:tc>
        <w:tc>
          <w:tcPr>
            <w:tcW w:w="2034" w:type="dxa"/>
            <w:noWrap w:val="0"/>
            <w:vAlign w:val="center"/>
          </w:tcPr>
          <w:p>
            <w:pPr>
              <w:spacing w:line="270" w:lineRule="exact"/>
              <w:jc w:val="center"/>
              <w:rPr>
                <w:rFonts w:ascii="Times New Roman" w:hAnsi="Times New Roman" w:eastAsia="宋体"/>
                <w:color w:val="auto"/>
                <w:szCs w:val="21"/>
              </w:rPr>
            </w:pPr>
            <w:r>
              <w:rPr>
                <w:rFonts w:hint="eastAsia" w:cs="Times New Roman"/>
                <w:color w:val="auto"/>
                <w:kern w:val="2"/>
                <w:sz w:val="21"/>
                <w:szCs w:val="21"/>
                <w:lang w:val="en-US" w:eastAsia="zh-CN" w:bidi="ar-SA"/>
              </w:rPr>
              <w:t>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6</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汞</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0.055</w:t>
            </w:r>
          </w:p>
        </w:tc>
        <w:tc>
          <w:tcPr>
            <w:tcW w:w="225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0.22</w:t>
            </w:r>
          </w:p>
        </w:tc>
        <w:tc>
          <w:tcPr>
            <w:tcW w:w="24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color w:val="auto"/>
                <w:kern w:val="2"/>
                <w:sz w:val="21"/>
                <w:szCs w:val="21"/>
                <w:lang w:val="en-US" w:eastAsia="zh-CN" w:bidi="ar-SA"/>
              </w:rPr>
              <w:t>0.105</w:t>
            </w:r>
          </w:p>
        </w:tc>
        <w:tc>
          <w:tcPr>
            <w:tcW w:w="2034" w:type="dxa"/>
            <w:noWrap w:val="0"/>
            <w:vAlign w:val="center"/>
          </w:tcPr>
          <w:p>
            <w:pPr>
              <w:spacing w:line="270" w:lineRule="exact"/>
              <w:jc w:val="center"/>
              <w:rPr>
                <w:rFonts w:ascii="Times New Roman" w:hAnsi="Times New Roman" w:eastAsia="宋体"/>
                <w:color w:val="auto"/>
                <w:szCs w:val="21"/>
              </w:rPr>
            </w:pPr>
            <w:r>
              <w:rPr>
                <w:rFonts w:hint="eastAsia" w:cs="Times New Roman"/>
                <w:color w:val="auto"/>
                <w:kern w:val="2"/>
                <w:sz w:val="21"/>
                <w:szCs w:val="21"/>
                <w:lang w:val="en-US" w:eastAsia="zh-CN" w:bidi="ar-SA"/>
              </w:rPr>
              <w:t>0.106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7</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镍</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bCs/>
                <w:color w:val="auto"/>
                <w:kern w:val="0"/>
                <w:sz w:val="21"/>
                <w:szCs w:val="21"/>
                <w:lang w:val="en-US" w:eastAsia="zh-CN" w:bidi="ar-SA"/>
              </w:rPr>
              <w:t>35</w:t>
            </w:r>
          </w:p>
        </w:tc>
        <w:tc>
          <w:tcPr>
            <w:tcW w:w="2250"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bCs/>
                <w:color w:val="auto"/>
                <w:kern w:val="0"/>
                <w:sz w:val="21"/>
                <w:szCs w:val="21"/>
                <w:lang w:val="en-US" w:eastAsia="zh-CN" w:bidi="ar-SA"/>
              </w:rPr>
              <w:t>48</w:t>
            </w:r>
          </w:p>
        </w:tc>
        <w:tc>
          <w:tcPr>
            <w:tcW w:w="2417"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bCs/>
                <w:color w:val="auto"/>
                <w:kern w:val="0"/>
                <w:sz w:val="21"/>
                <w:szCs w:val="21"/>
                <w:lang w:val="en-US" w:eastAsia="zh-CN" w:bidi="ar-SA"/>
              </w:rPr>
              <w:t>31</w:t>
            </w:r>
          </w:p>
        </w:tc>
        <w:tc>
          <w:tcPr>
            <w:tcW w:w="2034" w:type="dxa"/>
            <w:noWrap w:val="0"/>
            <w:vAlign w:val="center"/>
          </w:tcPr>
          <w:p>
            <w:pPr>
              <w:jc w:val="center"/>
              <w:rPr>
                <w:rFonts w:hint="default" w:ascii="Times New Roman" w:hAnsi="Times New Roman" w:eastAsia="宋体"/>
                <w:color w:val="auto"/>
                <w:szCs w:val="21"/>
                <w:lang w:val="en-US" w:eastAsia="zh-CN"/>
              </w:rPr>
            </w:pPr>
            <w:r>
              <w:rPr>
                <w:rFonts w:hint="eastAsia" w:cs="Times New Roman"/>
                <w:bCs/>
                <w:color w:val="auto"/>
                <w:kern w:val="0"/>
                <w:sz w:val="21"/>
                <w:szCs w:val="21"/>
                <w:lang w:val="en-US" w:eastAsia="zh-CN" w:bidi="ar-SA"/>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8</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四氯化碳</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＜1.3</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9</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氯仿</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＜1.1</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10</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氯甲烷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＜1.0</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11</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1,1-二氯乙烷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＜1.2</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12</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1,2-二氯乙烷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＜1.3</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13</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1,1-二氯乙烯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＜1.0</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14</w:t>
            </w:r>
          </w:p>
        </w:tc>
        <w:tc>
          <w:tcPr>
            <w:tcW w:w="3364" w:type="dxa"/>
            <w:noWrap w:val="0"/>
            <w:vAlign w:val="center"/>
          </w:tcPr>
          <w:p>
            <w:pPr>
              <w:jc w:val="center"/>
              <w:rPr>
                <w:rFonts w:ascii="Times New Roman" w:hAnsi="Times New Roman" w:eastAsia="宋体"/>
                <w:bCs/>
                <w:color w:val="auto"/>
                <w:szCs w:val="21"/>
              </w:rPr>
            </w:pPr>
            <w:r>
              <w:rPr>
                <w:color w:val="000000"/>
                <w:szCs w:val="21"/>
                <w:highlight w:val="none"/>
              </w:rPr>
              <w:t>顺-1,2-二氯乙烯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＜1.3</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15</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反-1,2-二氯乙烯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＜1.4</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16</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二氯甲烷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＜1.5</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17</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1,2-二氯丙烷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＜1.1</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18</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1,1,1,2-四氯乙烷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＜1.2</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19</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1,1,2,2-四氯乙烷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＜1.2</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20</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四氯乙烯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＜1.4×10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＜1.4</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21</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1,1,1-三氯乙烷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＜1.3</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22</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1,1,2-三氯乙烷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＜1.2</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23</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三氯乙烯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＜1.2</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24</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1,2,3-三氯丙烷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＜1.2</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25</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＜1.0×10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＜1.0</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26</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＜1.9×10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＜1.9×10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＜1.9×10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＜1.9</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27</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氯苯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＜1.2</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28</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1,2-二氯苯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＜1.5</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29</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1,4-二氯苯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＜1.5×10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＜1.5</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30</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乙苯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＜1.2</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31</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苯乙烯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＜1.1×10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＜1.1</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32</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甲苯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＜1.3×10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＜1.3</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33</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间二甲苯+对二甲苯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＜1.2</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34</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邻二甲苯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＜1.2×10</w:t>
            </w:r>
            <w:r>
              <w:rPr>
                <w:rFonts w:hint="default" w:ascii="Times New Roman" w:hAnsi="Times New Roman" w:cs="Times New Roman" w:eastAsiaTheme="minorEastAsia"/>
                <w:color w:val="auto"/>
                <w:szCs w:val="21"/>
                <w:vertAlign w:val="superscript"/>
              </w:rPr>
              <w:t>-3</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＜1.2</w:t>
            </w:r>
            <w:r>
              <w:rPr>
                <w:rFonts w:eastAsiaTheme="minorEastAsia"/>
                <w:color w:val="auto"/>
                <w:szCs w:val="21"/>
              </w:rPr>
              <w:t>×10</w:t>
            </w:r>
            <w:r>
              <w:rPr>
                <w:rFonts w:eastAsiaTheme="minorEastAsia"/>
                <w:color w:val="auto"/>
                <w:szCs w:val="21"/>
                <w:vertAlign w:val="superscript"/>
              </w:rPr>
              <w:t>-</w:t>
            </w:r>
            <w:r>
              <w:rPr>
                <w:rFonts w:hint="eastAsia" w:eastAsiaTheme="minorEastAsia"/>
                <w:color w:val="auto"/>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35</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硝基苯</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36</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苯胺</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37</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2-氯酚</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＜0.06</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＜0.06</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＜0.06</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38</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苯并[a]蒽</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39</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苯并[a]芘</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40</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苯并[b]荧蒽</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＜0.2</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＜0.2</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＜0.2</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41</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苯并[k]荧蒽</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42</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䓛</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43</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二苯并[a, h]蒽</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44</w:t>
            </w:r>
          </w:p>
        </w:tc>
        <w:tc>
          <w:tcPr>
            <w:tcW w:w="3364" w:type="dxa"/>
            <w:noWrap w:val="0"/>
            <w:vAlign w:val="center"/>
          </w:tcPr>
          <w:p>
            <w:pPr>
              <w:jc w:val="center"/>
              <w:rPr>
                <w:rFonts w:ascii="Times New Roman" w:hAnsi="Times New Roman" w:eastAsia="宋体"/>
                <w:color w:val="auto"/>
                <w:szCs w:val="21"/>
              </w:rPr>
            </w:pPr>
            <w:r>
              <w:rPr>
                <w:color w:val="000000"/>
                <w:szCs w:val="21"/>
                <w:highlight w:val="none"/>
              </w:rPr>
              <w:t>茚并[1,2,3-cd]芘</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250"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417" w:type="dxa"/>
            <w:noWrap w:val="0"/>
            <w:vAlign w:val="center"/>
          </w:tcPr>
          <w:p>
            <w:pPr>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＜0.1</w:t>
            </w:r>
          </w:p>
        </w:tc>
        <w:tc>
          <w:tcPr>
            <w:tcW w:w="2034" w:type="dxa"/>
            <w:noWrap w:val="0"/>
            <w:vAlign w:val="center"/>
          </w:tcPr>
          <w:p>
            <w:pPr>
              <w:jc w:val="center"/>
              <w:rPr>
                <w:rFonts w:ascii="Times New Roman" w:hAnsi="Times New Roman" w:eastAsia="宋体"/>
                <w:color w:val="auto"/>
                <w:szCs w:val="21"/>
              </w:rPr>
            </w:pPr>
            <w:r>
              <w:rPr>
                <w:rFonts w:hint="eastAsia" w:eastAsiaTheme="minorEastAsia"/>
                <w:color w:val="auto"/>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57" w:type="dxa"/>
            <w:noWrap w:val="0"/>
            <w:vAlign w:val="center"/>
          </w:tcPr>
          <w:p>
            <w:pPr>
              <w:adjustRightInd w:val="0"/>
              <w:snapToGrid w:val="0"/>
              <w:jc w:val="center"/>
              <w:rPr>
                <w:rFonts w:hint="default" w:ascii="Times New Roman" w:hAnsi="Times New Roman" w:eastAsia="宋体"/>
                <w:color w:val="auto"/>
                <w:szCs w:val="21"/>
                <w:lang w:val="en-US" w:eastAsia="zh-CN"/>
              </w:rPr>
            </w:pPr>
            <w:r>
              <w:rPr>
                <w:rFonts w:ascii="Times New Roman" w:hAnsi="Times New Roman" w:eastAsia="宋体"/>
                <w:color w:val="auto"/>
                <w:szCs w:val="21"/>
              </w:rPr>
              <w:t>45</w:t>
            </w:r>
          </w:p>
        </w:tc>
        <w:tc>
          <w:tcPr>
            <w:tcW w:w="3364" w:type="dxa"/>
            <w:noWrap w:val="0"/>
            <w:vAlign w:val="center"/>
          </w:tcPr>
          <w:p>
            <w:pPr>
              <w:jc w:val="center"/>
              <w:rPr>
                <w:rFonts w:ascii="Times New Roman" w:hAnsi="Times New Roman" w:eastAsia="宋体"/>
                <w:color w:val="auto"/>
                <w:szCs w:val="21"/>
              </w:rPr>
            </w:pPr>
            <w:r>
              <w:rPr>
                <w:color w:val="000000"/>
                <w:szCs w:val="21"/>
              </w:rPr>
              <w:t>萘</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23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2250"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2417" w:type="dxa"/>
            <w:noWrap w:val="0"/>
            <w:vAlign w:val="center"/>
          </w:tcPr>
          <w:p>
            <w:pPr>
              <w:spacing w:line="270" w:lineRule="exact"/>
              <w:jc w:val="center"/>
              <w:rPr>
                <w:rFonts w:hint="default" w:ascii="Times New Roman" w:hAnsi="Times New Roman" w:eastAsia="宋体" w:cs="Times New Roman"/>
                <w:color w:val="auto"/>
                <w:szCs w:val="21"/>
              </w:rPr>
            </w:pPr>
            <w:r>
              <w:rPr>
                <w:rFonts w:hint="default" w:ascii="Times New Roman" w:hAnsi="Times New Roman" w:cs="Times New Roman" w:eastAsiaTheme="minorEastAsia"/>
                <w:color w:val="auto"/>
                <w:szCs w:val="21"/>
              </w:rPr>
              <w:t>＜0.09</w:t>
            </w:r>
          </w:p>
        </w:tc>
        <w:tc>
          <w:tcPr>
            <w:tcW w:w="2034" w:type="dxa"/>
            <w:noWrap w:val="0"/>
            <w:vAlign w:val="center"/>
          </w:tcPr>
          <w:p>
            <w:pPr>
              <w:spacing w:line="270" w:lineRule="exact"/>
              <w:jc w:val="center"/>
              <w:rPr>
                <w:rFonts w:ascii="Times New Roman" w:hAnsi="Times New Roman" w:eastAsia="宋体"/>
                <w:color w:val="auto"/>
                <w:szCs w:val="21"/>
              </w:rPr>
            </w:pPr>
            <w:r>
              <w:rPr>
                <w:rFonts w:hint="eastAsia" w:eastAsiaTheme="minorEastAsia"/>
                <w:color w:val="auto"/>
                <w:szCs w:val="21"/>
              </w:rPr>
              <w:t>＜0.09</w:t>
            </w:r>
          </w:p>
        </w:tc>
      </w:tr>
    </w:tbl>
    <w:p>
      <w:pPr>
        <w:pStyle w:val="2"/>
        <w:rPr>
          <w:rFonts w:hint="default"/>
          <w:lang w:val="en-US" w:eastAsia="zh-CN"/>
        </w:rPr>
        <w:sectPr>
          <w:headerReference r:id="rId37" w:type="default"/>
          <w:footerReference r:id="rId38"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b/>
          <w:color w:val="auto"/>
          <w:sz w:val="28"/>
          <w:szCs w:val="28"/>
          <w:lang w:val="en-US" w:eastAsia="zh-CN"/>
        </w:rPr>
      </w:pPr>
      <w:r>
        <w:rPr>
          <w:rFonts w:hint="eastAsia" w:ascii="Times New Roman" w:hAnsi="Times New Roman" w:cs="Times New Roman"/>
          <w:b/>
          <w:color w:val="auto"/>
          <w:sz w:val="28"/>
          <w:szCs w:val="28"/>
          <w:lang w:val="en-US" w:eastAsia="zh-CN"/>
        </w:rPr>
        <w:t>5.8</w:t>
      </w:r>
      <w:r>
        <w:rPr>
          <w:rFonts w:hint="default" w:ascii="Times New Roman" w:hAnsi="Times New Roman" w:cs="Times New Roman"/>
          <w:b/>
          <w:color w:val="auto"/>
          <w:sz w:val="28"/>
          <w:szCs w:val="28"/>
          <w:lang w:val="en-US" w:eastAsia="zh-CN"/>
        </w:rPr>
        <w:t>.</w:t>
      </w:r>
      <w:r>
        <w:rPr>
          <w:rFonts w:hint="eastAsia" w:ascii="Times New Roman" w:hAnsi="Times New Roman" w:cs="Times New Roman"/>
          <w:b/>
          <w:color w:val="auto"/>
          <w:sz w:val="28"/>
          <w:szCs w:val="28"/>
          <w:lang w:val="en-US" w:eastAsia="zh-CN"/>
        </w:rPr>
        <w:t>2</w:t>
      </w:r>
      <w:r>
        <w:rPr>
          <w:rFonts w:hint="eastAsia"/>
          <w:b/>
          <w:color w:val="auto"/>
          <w:sz w:val="28"/>
          <w:szCs w:val="28"/>
          <w:lang w:val="en-US" w:eastAsia="zh-CN"/>
        </w:rPr>
        <w:t>土壤环境质量现状评价</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default" w:ascii="Times New Roman" w:hAnsi="Times New Roman"/>
          <w:b/>
          <w:bCs/>
          <w:sz w:val="24"/>
          <w:szCs w:val="24"/>
          <w:lang w:val="en-US" w:eastAsia="zh-CN"/>
        </w:rPr>
      </w:pPr>
      <w:r>
        <w:rPr>
          <w:rFonts w:hint="eastAsia" w:ascii="Times New Roman" w:hAnsi="Times New Roman" w:cs="Times New Roman"/>
          <w:b/>
          <w:bCs/>
          <w:sz w:val="24"/>
          <w:szCs w:val="24"/>
          <w:lang w:val="en-US" w:eastAsia="zh-CN"/>
        </w:rPr>
        <w:t>5.8</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b/>
          <w:bCs/>
          <w:sz w:val="24"/>
          <w:szCs w:val="24"/>
          <w:lang w:val="en-US" w:eastAsia="zh-CN"/>
        </w:rPr>
        <w:t>评价因子及评价标准</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1、评价因子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本次环评期间所有监测因子，未检出的因子不予评价。</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2、评价标准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土壤环境质量现状评价标准详见表2.4-6。</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default" w:ascii="Times New Roman" w:hAnsi="Times New Roman"/>
          <w:b/>
          <w:bCs/>
          <w:sz w:val="24"/>
          <w:szCs w:val="24"/>
          <w:lang w:val="en-US" w:eastAsia="zh-CN"/>
        </w:rPr>
      </w:pPr>
      <w:r>
        <w:rPr>
          <w:rFonts w:hint="eastAsia" w:ascii="Times New Roman" w:hAnsi="Times New Roman" w:cs="Times New Roman"/>
          <w:b/>
          <w:bCs/>
          <w:sz w:val="24"/>
          <w:szCs w:val="24"/>
          <w:lang w:val="en-US" w:eastAsia="zh-CN"/>
        </w:rPr>
        <w:t>5.8</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ascii="Times New Roman" w:hAnsi="Times New Roman"/>
          <w:b/>
          <w:bCs/>
          <w:sz w:val="24"/>
          <w:szCs w:val="24"/>
          <w:lang w:val="en-US" w:eastAsia="zh-CN"/>
        </w:rPr>
        <w:t>评价方法</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ascii="Times New Roman" w:hAnsi="Times New Roman" w:eastAsia="宋体"/>
        </w:rPr>
      </w:pPr>
      <w:r>
        <w:rPr>
          <w:rFonts w:hint="eastAsia" w:ascii="Times New Roman" w:hAnsi="Times New Roman" w:eastAsia="宋体" w:cs="宋体"/>
          <w:color w:val="000000"/>
          <w:kern w:val="0"/>
          <w:sz w:val="24"/>
          <w:szCs w:val="24"/>
          <w:lang w:val="en-US" w:eastAsia="zh-CN" w:bidi="ar"/>
        </w:rPr>
        <w:t xml:space="preserve">采用单因子指数法评价。对于浓度越高危害越大的评价因子，计算公式为： </w:t>
      </w:r>
    </w:p>
    <w:p>
      <w:pPr>
        <w:keepNext w:val="0"/>
        <w:keepLines w:val="0"/>
        <w:pageBreakBefore w:val="0"/>
        <w:widowControl/>
        <w:suppressLineNumbers w:val="0"/>
        <w:kinsoku/>
        <w:wordWrap/>
        <w:overflowPunct/>
        <w:topLinePunct w:val="0"/>
        <w:autoSpaceDE/>
        <w:autoSpaceDN/>
        <w:bidi w:val="0"/>
        <w:adjustRightInd/>
        <w:snapToGrid w:val="0"/>
        <w:spacing w:line="360" w:lineRule="auto"/>
        <w:jc w:val="center"/>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position w:val="-32"/>
          <w:sz w:val="24"/>
          <w:szCs w:val="24"/>
          <w:lang w:val="en-US" w:eastAsia="zh-CN" w:bidi="ar"/>
        </w:rPr>
        <w:object>
          <v:shape id="_x0000_i1031" o:spt="75" type="#_x0000_t75" style="height:37pt;width:51pt;" o:ole="t" filled="f" o:preferrelative="t" stroked="f" coordsize="21600,21600">
            <v:path/>
            <v:fill on="f" focussize="0,0"/>
            <v:stroke on="f"/>
            <v:imagedata r:id="rId112" o:title=""/>
            <o:lock v:ext="edit" aspectratio="t"/>
            <w10:wrap type="none"/>
            <w10:anchorlock/>
          </v:shape>
          <o:OLEObject Type="Embed" ProgID="Equation.KSEE3" ShapeID="_x0000_i1031" DrawAspect="Content" ObjectID="_1468075731" r:id="rId111">
            <o:LockedField>false</o:LockedField>
          </o:OLEObject>
        </w:objec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ascii="Times New Roman" w:hAnsi="Times New Roman" w:eastAsia="宋体"/>
        </w:rPr>
      </w:pPr>
      <w:r>
        <w:rPr>
          <w:rFonts w:hint="eastAsia" w:ascii="Times New Roman" w:hAnsi="Times New Roman" w:eastAsia="宋体" w:cs="宋体"/>
          <w:color w:val="000000"/>
          <w:kern w:val="0"/>
          <w:sz w:val="24"/>
          <w:szCs w:val="24"/>
          <w:lang w:val="en-US" w:eastAsia="zh-CN" w:bidi="ar"/>
        </w:rPr>
        <w:t>式中：S</w:t>
      </w:r>
      <w:r>
        <w:rPr>
          <w:rFonts w:hint="eastAsia" w:ascii="Times New Roman" w:hAnsi="Times New Roman" w:eastAsia="宋体" w:cs="宋体"/>
          <w:color w:val="000000"/>
          <w:kern w:val="0"/>
          <w:sz w:val="12"/>
          <w:szCs w:val="12"/>
          <w:lang w:val="en-US" w:eastAsia="zh-CN" w:bidi="ar"/>
        </w:rPr>
        <w:t>i,</w:t>
      </w:r>
      <w:r>
        <w:rPr>
          <w:rFonts w:hint="eastAsia" w:ascii="Times New Roman" w:hAnsi="Times New Roman" w:eastAsia="宋体" w:cs="宋体"/>
          <w:b w:val="0"/>
          <w:bCs w:val="0"/>
          <w:color w:val="000000"/>
          <w:kern w:val="0"/>
          <w:sz w:val="12"/>
          <w:szCs w:val="12"/>
          <w:lang w:val="en-US" w:eastAsia="zh-CN" w:bidi="ar"/>
        </w:rPr>
        <w:t>j</w:t>
      </w:r>
      <w:r>
        <w:rPr>
          <w:rFonts w:hint="eastAsia" w:ascii="Times New Roman" w:hAnsi="Times New Roman" w:eastAsia="宋体" w:cs="宋体"/>
          <w:color w:val="000000"/>
          <w:kern w:val="0"/>
          <w:sz w:val="24"/>
          <w:szCs w:val="24"/>
          <w:lang w:val="en-US" w:eastAsia="zh-CN" w:bidi="ar"/>
        </w:rPr>
        <w:t>—标准指数，S</w:t>
      </w:r>
      <w:r>
        <w:rPr>
          <w:rFonts w:hint="eastAsia" w:ascii="Times New Roman" w:hAnsi="Times New Roman" w:eastAsia="宋体" w:cs="宋体"/>
          <w:color w:val="000000"/>
          <w:kern w:val="0"/>
          <w:sz w:val="12"/>
          <w:szCs w:val="12"/>
          <w:lang w:val="en-US" w:eastAsia="zh-CN" w:bidi="ar"/>
        </w:rPr>
        <w:t>i,j</w:t>
      </w:r>
      <w:r>
        <w:rPr>
          <w:rFonts w:hint="default" w:ascii="Arial" w:hAnsi="Arial" w:eastAsia="宋体" w:cs="Arial"/>
          <w:color w:val="000000"/>
          <w:kern w:val="0"/>
          <w:sz w:val="24"/>
          <w:szCs w:val="24"/>
          <w:lang w:val="en-US" w:eastAsia="zh-CN" w:bidi="ar"/>
        </w:rPr>
        <w:t>≤</w:t>
      </w:r>
      <w:r>
        <w:rPr>
          <w:rFonts w:hint="eastAsia" w:ascii="Times New Roman" w:hAnsi="Times New Roman" w:eastAsia="宋体" w:cs="宋体"/>
          <w:color w:val="000000"/>
          <w:kern w:val="0"/>
          <w:sz w:val="24"/>
          <w:szCs w:val="24"/>
          <w:lang w:val="en-US" w:eastAsia="zh-CN" w:bidi="ar"/>
        </w:rPr>
        <w:t>1清洁、S</w:t>
      </w:r>
      <w:r>
        <w:rPr>
          <w:rFonts w:hint="eastAsia" w:ascii="Times New Roman" w:hAnsi="Times New Roman" w:eastAsia="宋体" w:cs="宋体"/>
          <w:color w:val="000000"/>
          <w:kern w:val="0"/>
          <w:sz w:val="12"/>
          <w:szCs w:val="12"/>
          <w:lang w:val="en-US" w:eastAsia="zh-CN" w:bidi="ar"/>
        </w:rPr>
        <w:t>i,j</w:t>
      </w:r>
      <w:r>
        <w:rPr>
          <w:rFonts w:hint="default" w:ascii="Times New Roman" w:hAnsi="Times New Roman" w:eastAsia="微软雅黑" w:cs="Times New Roman"/>
          <w:color w:val="000000"/>
          <w:kern w:val="0"/>
          <w:sz w:val="24"/>
          <w:szCs w:val="24"/>
          <w:lang w:val="en-US" w:eastAsia="zh-CN" w:bidi="ar"/>
        </w:rPr>
        <w:t>&gt;</w:t>
      </w:r>
      <w:r>
        <w:rPr>
          <w:rFonts w:hint="eastAsia" w:ascii="Times New Roman" w:hAnsi="Times New Roman" w:eastAsia="宋体" w:cs="宋体"/>
          <w:color w:val="000000"/>
          <w:kern w:val="0"/>
          <w:sz w:val="24"/>
          <w:szCs w:val="24"/>
          <w:lang w:val="en-US" w:eastAsia="zh-CN" w:bidi="ar"/>
        </w:rPr>
        <w:t xml:space="preserve">1污染；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1200" w:firstLineChars="500"/>
        <w:jc w:val="left"/>
        <w:textAlignment w:val="auto"/>
        <w:rPr>
          <w:rFonts w:ascii="Times New Roman" w:hAnsi="Times New Roman" w:eastAsia="宋体"/>
        </w:rPr>
      </w:pPr>
      <w:r>
        <w:rPr>
          <w:rFonts w:hint="eastAsia" w:ascii="Times New Roman" w:hAnsi="Times New Roman" w:eastAsia="宋体" w:cs="宋体"/>
          <w:color w:val="000000"/>
          <w:kern w:val="0"/>
          <w:sz w:val="24"/>
          <w:szCs w:val="24"/>
          <w:lang w:val="en-US" w:eastAsia="zh-CN" w:bidi="ar"/>
        </w:rPr>
        <w:t>C</w:t>
      </w:r>
      <w:r>
        <w:rPr>
          <w:rFonts w:hint="eastAsia" w:ascii="Times New Roman" w:hAnsi="Times New Roman" w:eastAsia="宋体" w:cs="宋体"/>
          <w:color w:val="000000"/>
          <w:kern w:val="0"/>
          <w:sz w:val="12"/>
          <w:szCs w:val="12"/>
          <w:lang w:val="en-US" w:eastAsia="zh-CN" w:bidi="ar"/>
        </w:rPr>
        <w:t>i,j</w:t>
      </w:r>
      <w:r>
        <w:rPr>
          <w:rFonts w:hint="eastAsia" w:ascii="Times New Roman" w:hAnsi="Times New Roman" w:eastAsia="宋体" w:cs="宋体"/>
          <w:color w:val="000000"/>
          <w:kern w:val="0"/>
          <w:sz w:val="24"/>
          <w:szCs w:val="24"/>
          <w:lang w:val="en-US" w:eastAsia="zh-CN" w:bidi="ar"/>
        </w:rPr>
        <w:t xml:space="preserve">—评价因子i在j点的实测浓度值，mg/l；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1200" w:firstLineChars="500"/>
        <w:jc w:val="left"/>
        <w:textAlignment w:val="auto"/>
        <w:rPr>
          <w:rFonts w:hint="eastAsia"/>
        </w:rPr>
      </w:pPr>
      <w:r>
        <w:rPr>
          <w:rFonts w:hint="eastAsia" w:ascii="Times New Roman" w:hAnsi="Times New Roman" w:eastAsia="宋体" w:cs="宋体"/>
          <w:color w:val="000000"/>
          <w:kern w:val="0"/>
          <w:sz w:val="24"/>
          <w:szCs w:val="24"/>
          <w:lang w:val="en-US" w:eastAsia="zh-CN" w:bidi="ar"/>
        </w:rPr>
        <w:t>C</w:t>
      </w:r>
      <w:r>
        <w:rPr>
          <w:rFonts w:hint="eastAsia" w:ascii="Times New Roman" w:hAnsi="Times New Roman" w:eastAsia="宋体" w:cs="宋体"/>
          <w:color w:val="000000"/>
          <w:kern w:val="0"/>
          <w:sz w:val="12"/>
          <w:szCs w:val="12"/>
          <w:lang w:val="en-US" w:eastAsia="zh-CN" w:bidi="ar"/>
        </w:rPr>
        <w:t>s,i</w:t>
      </w:r>
      <w:r>
        <w:rPr>
          <w:rFonts w:hint="eastAsia" w:ascii="Times New Roman" w:hAnsi="Times New Roman" w:eastAsia="宋体" w:cs="宋体"/>
          <w:color w:val="000000"/>
          <w:kern w:val="0"/>
          <w:sz w:val="24"/>
          <w:szCs w:val="24"/>
          <w:lang w:val="en-US" w:eastAsia="zh-CN" w:bidi="ar"/>
        </w:rPr>
        <w:t>—评价因子i的评价标准限值，mg/l；</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default" w:ascii="Times New Roman" w:hAnsi="Times New Roman"/>
          <w:b/>
          <w:bCs/>
          <w:sz w:val="24"/>
          <w:szCs w:val="24"/>
          <w:lang w:val="en-US" w:eastAsia="zh-CN"/>
        </w:rPr>
      </w:pPr>
      <w:r>
        <w:rPr>
          <w:rFonts w:hint="eastAsia" w:ascii="Times New Roman" w:hAnsi="Times New Roman" w:cs="Times New Roman"/>
          <w:b/>
          <w:bCs/>
          <w:sz w:val="24"/>
          <w:szCs w:val="24"/>
          <w:lang w:val="en-US" w:eastAsia="zh-CN"/>
        </w:rPr>
        <w:t>5.8</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eastAsia" w:ascii="Times New Roman" w:hAnsi="Times New Roman"/>
          <w:b/>
          <w:bCs/>
          <w:sz w:val="24"/>
          <w:szCs w:val="24"/>
          <w:lang w:val="en-US" w:eastAsia="zh-CN"/>
        </w:rPr>
        <w:t>评价结果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宋体" w:hAnsi="宋体" w:eastAsia="宋体" w:cs="宋体"/>
          <w:color w:val="000000"/>
          <w:kern w:val="0"/>
          <w:sz w:val="24"/>
          <w:szCs w:val="24"/>
          <w:lang w:val="en-US" w:eastAsia="zh-CN" w:bidi="ar"/>
        </w:rPr>
        <w:t>评价结果见表</w:t>
      </w:r>
      <w:r>
        <w:rPr>
          <w:rFonts w:hint="eastAsia" w:ascii="Times New Roman" w:hAnsi="Times New Roman" w:eastAsia="宋体" w:cs="Times New Roman"/>
          <w:color w:val="000000"/>
          <w:kern w:val="0"/>
          <w:sz w:val="24"/>
          <w:szCs w:val="24"/>
          <w:lang w:val="en-US" w:eastAsia="zh-CN" w:bidi="ar"/>
        </w:rPr>
        <w:t>5.8</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5</w:t>
      </w:r>
      <w:r>
        <w:rPr>
          <w:rFonts w:hint="eastAsia" w:ascii="宋体" w:hAnsi="宋体" w:eastAsia="宋体" w:cs="宋体"/>
          <w:color w:val="000000"/>
          <w:kern w:val="0"/>
          <w:sz w:val="24"/>
          <w:szCs w:val="24"/>
          <w:lang w:val="en-US" w:eastAsia="zh-CN" w:bidi="ar"/>
        </w:rPr>
        <w:t>。</w:t>
      </w:r>
    </w:p>
    <w:p>
      <w:pPr>
        <w:pStyle w:val="2"/>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eastAsia="宋体" w:cs="宋体"/>
          <w:b/>
          <w:bCs/>
          <w:color w:val="000000"/>
          <w:sz w:val="24"/>
          <w:szCs w:val="24"/>
        </w:rPr>
      </w:pPr>
      <w:r>
        <w:rPr>
          <w:rFonts w:hint="eastAsia" w:ascii="Times New Roman" w:hAnsi="Times New Roman" w:eastAsia="宋体" w:cs="宋体"/>
          <w:b/>
          <w:bCs/>
          <w:color w:val="000000"/>
          <w:sz w:val="24"/>
          <w:szCs w:val="24"/>
        </w:rPr>
        <w:t>表</w:t>
      </w:r>
      <w:r>
        <w:rPr>
          <w:rFonts w:hint="eastAsia" w:ascii="Times New Roman" w:hAnsi="Times New Roman" w:cs="Times New Roman"/>
          <w:b/>
          <w:bCs/>
          <w:color w:val="000000"/>
          <w:sz w:val="24"/>
          <w:szCs w:val="24"/>
          <w:lang w:val="en-US" w:eastAsia="zh-CN"/>
        </w:rPr>
        <w:t>5.8</w:t>
      </w:r>
      <w:r>
        <w:rPr>
          <w:rFonts w:hint="default" w:ascii="Times New Roman" w:hAnsi="Times New Roman" w:eastAsia="宋体" w:cs="Times New Roman"/>
          <w:b/>
          <w:bCs/>
          <w:color w:val="000000"/>
          <w:sz w:val="24"/>
          <w:szCs w:val="24"/>
          <w:lang w:val="en-US" w:eastAsia="zh-CN"/>
        </w:rPr>
        <w:t>-</w:t>
      </w:r>
      <w:r>
        <w:rPr>
          <w:rFonts w:hint="eastAsia" w:ascii="Times New Roman" w:hAnsi="Times New Roman" w:cs="Times New Roman"/>
          <w:b/>
          <w:bCs/>
          <w:color w:val="000000"/>
          <w:sz w:val="24"/>
          <w:szCs w:val="24"/>
          <w:lang w:val="en-US" w:eastAsia="zh-CN"/>
        </w:rPr>
        <w:t>5（1）</w:t>
      </w:r>
      <w:r>
        <w:rPr>
          <w:rFonts w:hint="eastAsia" w:ascii="Times New Roman" w:hAnsi="Times New Roman" w:eastAsia="宋体" w:cs="Times New Roman"/>
          <w:b/>
          <w:bCs/>
          <w:color w:val="000000"/>
          <w:sz w:val="24"/>
          <w:szCs w:val="24"/>
          <w:lang w:val="en-US" w:eastAsia="zh-CN"/>
        </w:rPr>
        <w:t xml:space="preserve"> </w:t>
      </w:r>
      <w:r>
        <w:rPr>
          <w:rFonts w:hint="eastAsia" w:ascii="Times New Roman" w:hAnsi="Times New Roman" w:eastAsia="宋体" w:cs="宋体"/>
          <w:b/>
          <w:bCs/>
          <w:color w:val="000000"/>
          <w:sz w:val="24"/>
          <w:szCs w:val="24"/>
        </w:rPr>
        <w:t xml:space="preserve"> 土壤环境质量现状监测结果一览表</w:t>
      </w:r>
    </w:p>
    <w:tbl>
      <w:tblPr>
        <w:tblStyle w:val="18"/>
        <w:tblW w:w="8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4"/>
        <w:gridCol w:w="1874"/>
        <w:gridCol w:w="1067"/>
        <w:gridCol w:w="1100"/>
        <w:gridCol w:w="1050"/>
        <w:gridCol w:w="1100"/>
        <w:gridCol w:w="1050"/>
        <w:gridCol w:w="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554" w:type="dxa"/>
            <w:vMerge w:val="restart"/>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序号</w:t>
            </w:r>
          </w:p>
        </w:tc>
        <w:tc>
          <w:tcPr>
            <w:tcW w:w="1874" w:type="dxa"/>
            <w:vMerge w:val="restart"/>
            <w:tcBorders>
              <w:tl2br w:val="single" w:color="auto" w:sz="4" w:space="0"/>
            </w:tcBorders>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 xml:space="preserve">       采样深度</w:t>
            </w:r>
          </w:p>
          <w:p>
            <w:pPr>
              <w:adjustRightInd w:val="0"/>
              <w:snapToGrid w:val="0"/>
              <w:rPr>
                <w:rFonts w:ascii="Times New Roman" w:hAnsi="Times New Roman" w:eastAsia="宋体"/>
                <w:b/>
                <w:bCs/>
                <w:color w:val="auto"/>
                <w:szCs w:val="21"/>
              </w:rPr>
            </w:pPr>
            <w:r>
              <w:rPr>
                <w:rFonts w:ascii="Times New Roman" w:hAnsi="Times New Roman" w:eastAsia="宋体"/>
                <w:b/>
                <w:bCs/>
                <w:color w:val="auto"/>
                <w:szCs w:val="21"/>
              </w:rPr>
              <w:t>监测因子</w:t>
            </w:r>
          </w:p>
        </w:tc>
        <w:tc>
          <w:tcPr>
            <w:tcW w:w="3217" w:type="dxa"/>
            <w:gridSpan w:val="3"/>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1#</w:t>
            </w:r>
          </w:p>
        </w:tc>
        <w:tc>
          <w:tcPr>
            <w:tcW w:w="3102" w:type="dxa"/>
            <w:gridSpan w:val="3"/>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vMerge w:val="continue"/>
            <w:noWrap w:val="0"/>
            <w:vAlign w:val="center"/>
          </w:tcPr>
          <w:p>
            <w:pPr>
              <w:adjustRightInd w:val="0"/>
              <w:snapToGrid w:val="0"/>
              <w:jc w:val="center"/>
              <w:rPr>
                <w:rFonts w:ascii="Times New Roman" w:hAnsi="Times New Roman" w:eastAsia="宋体"/>
                <w:color w:val="auto"/>
                <w:szCs w:val="21"/>
              </w:rPr>
            </w:pPr>
          </w:p>
        </w:tc>
        <w:tc>
          <w:tcPr>
            <w:tcW w:w="1874" w:type="dxa"/>
            <w:vMerge w:val="continue"/>
            <w:noWrap w:val="0"/>
            <w:vAlign w:val="center"/>
          </w:tcPr>
          <w:p>
            <w:pPr>
              <w:adjustRightInd w:val="0"/>
              <w:snapToGrid w:val="0"/>
              <w:jc w:val="center"/>
              <w:rPr>
                <w:rFonts w:ascii="Times New Roman" w:hAnsi="Times New Roman" w:eastAsia="宋体"/>
                <w:color w:val="auto"/>
                <w:szCs w:val="21"/>
              </w:rPr>
            </w:pPr>
          </w:p>
        </w:tc>
        <w:tc>
          <w:tcPr>
            <w:tcW w:w="1067"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0-0.5m</w:t>
            </w:r>
          </w:p>
        </w:tc>
        <w:tc>
          <w:tcPr>
            <w:tcW w:w="1100"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0.5-1.5m</w:t>
            </w:r>
          </w:p>
        </w:tc>
        <w:tc>
          <w:tcPr>
            <w:tcW w:w="1050"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1.5-3m</w:t>
            </w:r>
          </w:p>
        </w:tc>
        <w:tc>
          <w:tcPr>
            <w:tcW w:w="1100"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0-0.5m</w:t>
            </w:r>
          </w:p>
        </w:tc>
        <w:tc>
          <w:tcPr>
            <w:tcW w:w="1050"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0.5-1.5m</w:t>
            </w:r>
          </w:p>
        </w:tc>
        <w:tc>
          <w:tcPr>
            <w:tcW w:w="952"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1.5-3m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w:t>
            </w:r>
          </w:p>
        </w:tc>
        <w:tc>
          <w:tcPr>
            <w:tcW w:w="1874"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06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0.361</w:t>
            </w:r>
          </w:p>
        </w:tc>
        <w:tc>
          <w:tcPr>
            <w:tcW w:w="11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0.304</w:t>
            </w:r>
          </w:p>
        </w:tc>
        <w:tc>
          <w:tcPr>
            <w:tcW w:w="10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0.560</w:t>
            </w:r>
          </w:p>
        </w:tc>
        <w:tc>
          <w:tcPr>
            <w:tcW w:w="11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0.287</w:t>
            </w:r>
          </w:p>
        </w:tc>
        <w:tc>
          <w:tcPr>
            <w:tcW w:w="10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0.292</w:t>
            </w:r>
          </w:p>
        </w:tc>
        <w:tc>
          <w:tcPr>
            <w:tcW w:w="95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0.358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w:t>
            </w:r>
          </w:p>
        </w:tc>
        <w:tc>
          <w:tcPr>
            <w:tcW w:w="1874"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镉</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06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0.020</w:t>
            </w:r>
          </w:p>
        </w:tc>
        <w:tc>
          <w:tcPr>
            <w:tcW w:w="11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0.012</w:t>
            </w:r>
          </w:p>
        </w:tc>
        <w:tc>
          <w:tcPr>
            <w:tcW w:w="10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0.011</w:t>
            </w:r>
          </w:p>
        </w:tc>
        <w:tc>
          <w:tcPr>
            <w:tcW w:w="11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0.023</w:t>
            </w:r>
          </w:p>
        </w:tc>
        <w:tc>
          <w:tcPr>
            <w:tcW w:w="10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0.015</w:t>
            </w:r>
          </w:p>
        </w:tc>
        <w:tc>
          <w:tcPr>
            <w:tcW w:w="95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w:t>
            </w:r>
          </w:p>
        </w:tc>
        <w:tc>
          <w:tcPr>
            <w:tcW w:w="1874"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铜</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06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0.018</w:t>
            </w:r>
          </w:p>
        </w:tc>
        <w:tc>
          <w:tcPr>
            <w:tcW w:w="11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0.014</w:t>
            </w:r>
          </w:p>
        </w:tc>
        <w:tc>
          <w:tcPr>
            <w:tcW w:w="10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0.010</w:t>
            </w:r>
          </w:p>
        </w:tc>
        <w:tc>
          <w:tcPr>
            <w:tcW w:w="11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0.010</w:t>
            </w:r>
          </w:p>
        </w:tc>
        <w:tc>
          <w:tcPr>
            <w:tcW w:w="10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0.008</w:t>
            </w:r>
          </w:p>
        </w:tc>
        <w:tc>
          <w:tcPr>
            <w:tcW w:w="95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w:t>
            </w:r>
          </w:p>
        </w:tc>
        <w:tc>
          <w:tcPr>
            <w:tcW w:w="1874"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铅</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06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0.168</w:t>
            </w:r>
          </w:p>
        </w:tc>
        <w:tc>
          <w:tcPr>
            <w:tcW w:w="11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0.050</w:t>
            </w:r>
          </w:p>
        </w:tc>
        <w:tc>
          <w:tcPr>
            <w:tcW w:w="10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0.043</w:t>
            </w:r>
          </w:p>
        </w:tc>
        <w:tc>
          <w:tcPr>
            <w:tcW w:w="11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0.050</w:t>
            </w:r>
          </w:p>
        </w:tc>
        <w:tc>
          <w:tcPr>
            <w:tcW w:w="10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0.049</w:t>
            </w:r>
          </w:p>
        </w:tc>
        <w:tc>
          <w:tcPr>
            <w:tcW w:w="95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5</w:t>
            </w:r>
          </w:p>
        </w:tc>
        <w:tc>
          <w:tcPr>
            <w:tcW w:w="1874"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汞</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06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0.007</w:t>
            </w:r>
          </w:p>
        </w:tc>
        <w:tc>
          <w:tcPr>
            <w:tcW w:w="11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0.008</w:t>
            </w:r>
          </w:p>
        </w:tc>
        <w:tc>
          <w:tcPr>
            <w:tcW w:w="10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0.012</w:t>
            </w:r>
          </w:p>
        </w:tc>
        <w:tc>
          <w:tcPr>
            <w:tcW w:w="11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0.014</w:t>
            </w:r>
          </w:p>
        </w:tc>
        <w:tc>
          <w:tcPr>
            <w:tcW w:w="10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0.011</w:t>
            </w:r>
          </w:p>
        </w:tc>
        <w:tc>
          <w:tcPr>
            <w:tcW w:w="95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6</w:t>
            </w:r>
          </w:p>
        </w:tc>
        <w:tc>
          <w:tcPr>
            <w:tcW w:w="1874"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镍</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06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0.233</w:t>
            </w:r>
          </w:p>
        </w:tc>
        <w:tc>
          <w:tcPr>
            <w:tcW w:w="11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0.213</w:t>
            </w:r>
          </w:p>
        </w:tc>
        <w:tc>
          <w:tcPr>
            <w:tcW w:w="10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0.207</w:t>
            </w:r>
          </w:p>
        </w:tc>
        <w:tc>
          <w:tcPr>
            <w:tcW w:w="110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0.180</w:t>
            </w:r>
          </w:p>
        </w:tc>
        <w:tc>
          <w:tcPr>
            <w:tcW w:w="10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0.107</w:t>
            </w:r>
          </w:p>
        </w:tc>
        <w:tc>
          <w:tcPr>
            <w:tcW w:w="95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0.213</w:t>
            </w:r>
          </w:p>
        </w:tc>
      </w:tr>
    </w:tbl>
    <w:p>
      <w:pPr>
        <w:pStyle w:val="2"/>
        <w:keepNext w:val="0"/>
        <w:keepLines w:val="0"/>
        <w:pageBreakBefore w:val="0"/>
        <w:widowControl w:val="0"/>
        <w:kinsoku/>
        <w:wordWrap/>
        <w:overflowPunct/>
        <w:topLinePunct w:val="0"/>
        <w:autoSpaceDE/>
        <w:autoSpaceDN/>
        <w:bidi w:val="0"/>
        <w:adjustRightInd/>
        <w:snapToGrid w:val="0"/>
        <w:spacing w:before="157" w:beforeLines="50" w:line="360" w:lineRule="auto"/>
        <w:jc w:val="center"/>
        <w:textAlignment w:val="auto"/>
        <w:rPr>
          <w:rFonts w:hint="eastAsia" w:ascii="Times New Roman" w:hAnsi="Times New Roman" w:eastAsia="宋体" w:cs="宋体"/>
          <w:b/>
          <w:bCs/>
          <w:color w:val="000000"/>
          <w:sz w:val="24"/>
          <w:szCs w:val="24"/>
        </w:rPr>
      </w:pPr>
      <w:r>
        <w:rPr>
          <w:rFonts w:hint="eastAsia" w:ascii="Times New Roman" w:hAnsi="Times New Roman" w:cs="宋体"/>
          <w:b/>
          <w:bCs/>
          <w:color w:val="000000"/>
          <w:sz w:val="24"/>
          <w:szCs w:val="24"/>
          <w:lang w:val="en-US" w:eastAsia="zh-CN"/>
        </w:rPr>
        <w:t>.</w:t>
      </w:r>
      <w:r>
        <w:rPr>
          <w:rFonts w:hint="eastAsia" w:ascii="Times New Roman" w:hAnsi="Times New Roman" w:eastAsia="宋体" w:cs="宋体"/>
          <w:b/>
          <w:bCs/>
          <w:color w:val="000000"/>
          <w:sz w:val="24"/>
          <w:szCs w:val="24"/>
        </w:rPr>
        <w:t>表</w:t>
      </w:r>
      <w:r>
        <w:rPr>
          <w:rFonts w:hint="eastAsia" w:ascii="Times New Roman" w:hAnsi="Times New Roman" w:cs="Times New Roman"/>
          <w:b/>
          <w:bCs/>
          <w:color w:val="000000"/>
          <w:sz w:val="24"/>
          <w:szCs w:val="24"/>
          <w:lang w:val="en-US" w:eastAsia="zh-CN"/>
        </w:rPr>
        <w:t>5.8</w:t>
      </w:r>
      <w:r>
        <w:rPr>
          <w:rFonts w:hint="default" w:ascii="Times New Roman" w:hAnsi="Times New Roman" w:eastAsia="宋体" w:cs="Times New Roman"/>
          <w:b/>
          <w:bCs/>
          <w:color w:val="000000"/>
          <w:sz w:val="24"/>
          <w:szCs w:val="24"/>
          <w:lang w:val="en-US" w:eastAsia="zh-CN"/>
        </w:rPr>
        <w:t>-</w:t>
      </w:r>
      <w:r>
        <w:rPr>
          <w:rFonts w:hint="eastAsia" w:ascii="Times New Roman" w:hAnsi="Times New Roman" w:cs="Times New Roman"/>
          <w:b/>
          <w:bCs/>
          <w:color w:val="000000"/>
          <w:sz w:val="24"/>
          <w:szCs w:val="24"/>
          <w:lang w:val="en-US" w:eastAsia="zh-CN"/>
        </w:rPr>
        <w:t>5（2）</w:t>
      </w:r>
      <w:r>
        <w:rPr>
          <w:rFonts w:hint="eastAsia" w:ascii="Times New Roman" w:hAnsi="Times New Roman" w:eastAsia="宋体" w:cs="Times New Roman"/>
          <w:b/>
          <w:bCs/>
          <w:color w:val="000000"/>
          <w:sz w:val="24"/>
          <w:szCs w:val="24"/>
          <w:lang w:val="en-US" w:eastAsia="zh-CN"/>
        </w:rPr>
        <w:t xml:space="preserve"> </w:t>
      </w:r>
      <w:r>
        <w:rPr>
          <w:rFonts w:hint="eastAsia" w:ascii="Times New Roman" w:hAnsi="Times New Roman" w:eastAsia="宋体" w:cs="宋体"/>
          <w:b/>
          <w:bCs/>
          <w:color w:val="000000"/>
          <w:sz w:val="24"/>
          <w:szCs w:val="24"/>
        </w:rPr>
        <w:t xml:space="preserve"> 土壤环境质量现状监测结果一览表</w:t>
      </w:r>
    </w:p>
    <w:tbl>
      <w:tblPr>
        <w:tblStyle w:val="18"/>
        <w:tblW w:w="86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4"/>
        <w:gridCol w:w="1874"/>
        <w:gridCol w:w="1580"/>
        <w:gridCol w:w="1517"/>
        <w:gridCol w:w="1467"/>
        <w:gridCol w:w="1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554" w:type="dxa"/>
            <w:vMerge w:val="restart"/>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序号</w:t>
            </w:r>
          </w:p>
        </w:tc>
        <w:tc>
          <w:tcPr>
            <w:tcW w:w="1874" w:type="dxa"/>
            <w:vMerge w:val="restart"/>
            <w:tcBorders>
              <w:tl2br w:val="single" w:color="auto" w:sz="4" w:space="0"/>
            </w:tcBorders>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 xml:space="preserve">       采样深度</w:t>
            </w:r>
          </w:p>
          <w:p>
            <w:pPr>
              <w:adjustRightInd w:val="0"/>
              <w:snapToGrid w:val="0"/>
              <w:rPr>
                <w:rFonts w:ascii="Times New Roman" w:hAnsi="Times New Roman" w:eastAsia="宋体"/>
                <w:b/>
                <w:bCs/>
                <w:color w:val="auto"/>
                <w:szCs w:val="21"/>
              </w:rPr>
            </w:pPr>
            <w:r>
              <w:rPr>
                <w:rFonts w:ascii="Times New Roman" w:hAnsi="Times New Roman" w:eastAsia="宋体"/>
                <w:b/>
                <w:bCs/>
                <w:color w:val="auto"/>
                <w:szCs w:val="21"/>
              </w:rPr>
              <w:t>监测因子</w:t>
            </w:r>
          </w:p>
        </w:tc>
        <w:tc>
          <w:tcPr>
            <w:tcW w:w="4564" w:type="dxa"/>
            <w:gridSpan w:val="3"/>
            <w:noWrap w:val="0"/>
            <w:vAlign w:val="center"/>
          </w:tcPr>
          <w:p>
            <w:pPr>
              <w:adjustRightInd w:val="0"/>
              <w:snapToGrid w:val="0"/>
              <w:jc w:val="center"/>
              <w:rPr>
                <w:rFonts w:ascii="Times New Roman" w:hAnsi="Times New Roman" w:eastAsia="宋体"/>
                <w:b/>
                <w:bCs/>
                <w:color w:val="auto"/>
                <w:szCs w:val="21"/>
              </w:rPr>
            </w:pPr>
            <w:r>
              <w:rPr>
                <w:rFonts w:hint="eastAsia" w:ascii="Times New Roman" w:hAnsi="Times New Roman"/>
                <w:b/>
                <w:bCs/>
                <w:color w:val="auto"/>
                <w:szCs w:val="21"/>
                <w:lang w:val="en-US" w:eastAsia="zh-CN"/>
              </w:rPr>
              <w:t>3</w:t>
            </w:r>
            <w:r>
              <w:rPr>
                <w:rFonts w:ascii="Times New Roman" w:hAnsi="Times New Roman" w:eastAsia="宋体"/>
                <w:b/>
                <w:bCs/>
                <w:color w:val="auto"/>
                <w:szCs w:val="21"/>
              </w:rPr>
              <w:t>#</w:t>
            </w:r>
          </w:p>
        </w:tc>
        <w:tc>
          <w:tcPr>
            <w:tcW w:w="1656" w:type="dxa"/>
            <w:noWrap w:val="0"/>
            <w:vAlign w:val="center"/>
          </w:tcPr>
          <w:p>
            <w:pPr>
              <w:adjustRightInd w:val="0"/>
              <w:snapToGrid w:val="0"/>
              <w:jc w:val="center"/>
              <w:rPr>
                <w:rFonts w:ascii="Times New Roman" w:hAnsi="Times New Roman" w:eastAsia="宋体"/>
                <w:b/>
                <w:bCs/>
                <w:color w:val="auto"/>
                <w:szCs w:val="21"/>
              </w:rPr>
            </w:pPr>
            <w:r>
              <w:rPr>
                <w:rFonts w:hint="eastAsia" w:ascii="Times New Roman" w:hAnsi="Times New Roman"/>
                <w:b/>
                <w:bCs/>
                <w:color w:val="auto"/>
                <w:szCs w:val="21"/>
                <w:lang w:val="en-US" w:eastAsia="zh-CN"/>
              </w:rPr>
              <w:t>4</w:t>
            </w:r>
            <w:r>
              <w:rPr>
                <w:rFonts w:ascii="Times New Roman" w:hAnsi="Times New Roman" w:eastAsia="宋体"/>
                <w:b/>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vMerge w:val="continue"/>
            <w:noWrap w:val="0"/>
            <w:vAlign w:val="center"/>
          </w:tcPr>
          <w:p>
            <w:pPr>
              <w:adjustRightInd w:val="0"/>
              <w:snapToGrid w:val="0"/>
              <w:jc w:val="center"/>
              <w:rPr>
                <w:rFonts w:ascii="Times New Roman" w:hAnsi="Times New Roman" w:eastAsia="宋体"/>
                <w:color w:val="auto"/>
                <w:szCs w:val="21"/>
              </w:rPr>
            </w:pPr>
          </w:p>
        </w:tc>
        <w:tc>
          <w:tcPr>
            <w:tcW w:w="1874" w:type="dxa"/>
            <w:vMerge w:val="continue"/>
            <w:noWrap w:val="0"/>
            <w:vAlign w:val="center"/>
          </w:tcPr>
          <w:p>
            <w:pPr>
              <w:adjustRightInd w:val="0"/>
              <w:snapToGrid w:val="0"/>
              <w:jc w:val="center"/>
              <w:rPr>
                <w:rFonts w:ascii="Times New Roman" w:hAnsi="Times New Roman" w:eastAsia="宋体"/>
                <w:color w:val="auto"/>
                <w:szCs w:val="21"/>
              </w:rPr>
            </w:pPr>
          </w:p>
        </w:tc>
        <w:tc>
          <w:tcPr>
            <w:tcW w:w="1580"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0-0.5m</w:t>
            </w:r>
          </w:p>
        </w:tc>
        <w:tc>
          <w:tcPr>
            <w:tcW w:w="1517"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0.5-1.5m</w:t>
            </w:r>
          </w:p>
        </w:tc>
        <w:tc>
          <w:tcPr>
            <w:tcW w:w="1467"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1.5-3m</w:t>
            </w:r>
          </w:p>
        </w:tc>
        <w:tc>
          <w:tcPr>
            <w:tcW w:w="1656" w:type="dxa"/>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0-0.</w:t>
            </w:r>
            <w:r>
              <w:rPr>
                <w:rFonts w:hint="eastAsia" w:ascii="Times New Roman" w:hAnsi="Times New Roman"/>
                <w:b/>
                <w:bCs/>
                <w:color w:val="auto"/>
                <w:szCs w:val="21"/>
                <w:lang w:val="en-US" w:eastAsia="zh-CN"/>
              </w:rPr>
              <w:t>2</w:t>
            </w:r>
            <w:r>
              <w:rPr>
                <w:rFonts w:ascii="Times New Roman" w:hAnsi="Times New Roman" w:eastAsia="宋体"/>
                <w:b/>
                <w:bCs/>
                <w:color w:val="auto"/>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1</w:t>
            </w:r>
          </w:p>
        </w:tc>
        <w:tc>
          <w:tcPr>
            <w:tcW w:w="1874"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砷</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58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0.1833</w:t>
            </w:r>
          </w:p>
        </w:tc>
        <w:tc>
          <w:tcPr>
            <w:tcW w:w="151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0.0965</w:t>
            </w:r>
          </w:p>
        </w:tc>
        <w:tc>
          <w:tcPr>
            <w:tcW w:w="146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0.1313</w:t>
            </w:r>
          </w:p>
        </w:tc>
        <w:tc>
          <w:tcPr>
            <w:tcW w:w="165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0.1272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w:t>
            </w:r>
          </w:p>
        </w:tc>
        <w:tc>
          <w:tcPr>
            <w:tcW w:w="1874"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镉</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58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0.0068</w:t>
            </w:r>
          </w:p>
        </w:tc>
        <w:tc>
          <w:tcPr>
            <w:tcW w:w="151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0.0028</w:t>
            </w:r>
          </w:p>
        </w:tc>
        <w:tc>
          <w:tcPr>
            <w:tcW w:w="146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0.0023</w:t>
            </w:r>
          </w:p>
        </w:tc>
        <w:tc>
          <w:tcPr>
            <w:tcW w:w="165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3</w:t>
            </w:r>
          </w:p>
        </w:tc>
        <w:tc>
          <w:tcPr>
            <w:tcW w:w="1874"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铜</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58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0.0024</w:t>
            </w:r>
          </w:p>
        </w:tc>
        <w:tc>
          <w:tcPr>
            <w:tcW w:w="151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0.0012</w:t>
            </w:r>
          </w:p>
        </w:tc>
        <w:tc>
          <w:tcPr>
            <w:tcW w:w="146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0.0012</w:t>
            </w:r>
          </w:p>
        </w:tc>
        <w:tc>
          <w:tcPr>
            <w:tcW w:w="165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4</w:t>
            </w:r>
          </w:p>
        </w:tc>
        <w:tc>
          <w:tcPr>
            <w:tcW w:w="1874"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铅</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58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0.0971</w:t>
            </w:r>
          </w:p>
        </w:tc>
        <w:tc>
          <w:tcPr>
            <w:tcW w:w="151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0.0360</w:t>
            </w:r>
          </w:p>
        </w:tc>
        <w:tc>
          <w:tcPr>
            <w:tcW w:w="146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0.0485</w:t>
            </w:r>
          </w:p>
        </w:tc>
        <w:tc>
          <w:tcPr>
            <w:tcW w:w="165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0.1044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5</w:t>
            </w:r>
          </w:p>
        </w:tc>
        <w:tc>
          <w:tcPr>
            <w:tcW w:w="1874"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汞</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58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0.0050</w:t>
            </w:r>
          </w:p>
        </w:tc>
        <w:tc>
          <w:tcPr>
            <w:tcW w:w="151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0.0035</w:t>
            </w:r>
          </w:p>
        </w:tc>
        <w:tc>
          <w:tcPr>
            <w:tcW w:w="146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0.0036</w:t>
            </w:r>
          </w:p>
        </w:tc>
        <w:tc>
          <w:tcPr>
            <w:tcW w:w="165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554"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6</w:t>
            </w:r>
          </w:p>
        </w:tc>
        <w:tc>
          <w:tcPr>
            <w:tcW w:w="1874" w:type="dxa"/>
            <w:noWrap w:val="0"/>
            <w:vAlign w:val="center"/>
          </w:tcPr>
          <w:p>
            <w:pPr>
              <w:jc w:val="center"/>
              <w:rPr>
                <w:rFonts w:ascii="Times New Roman" w:hAnsi="Times New Roman" w:eastAsia="宋体"/>
                <w:color w:val="auto"/>
                <w:szCs w:val="21"/>
              </w:rPr>
            </w:pPr>
            <w:r>
              <w:rPr>
                <w:rFonts w:ascii="Times New Roman" w:hAnsi="Times New Roman"/>
                <w:color w:val="000000"/>
                <w:szCs w:val="21"/>
                <w:highlight w:val="none"/>
              </w:rPr>
              <w:t>镍</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mg/kg</w:t>
            </w:r>
            <w:r>
              <w:rPr>
                <w:rFonts w:hint="default" w:ascii="Times New Roman" w:hAnsi="Times New Roman" w:cs="Times New Roman"/>
                <w:color w:val="000000"/>
                <w:szCs w:val="21"/>
                <w:highlight w:val="none"/>
                <w:lang w:eastAsia="zh-CN"/>
              </w:rPr>
              <w:t>）</w:t>
            </w:r>
          </w:p>
        </w:tc>
        <w:tc>
          <w:tcPr>
            <w:tcW w:w="158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0.0633</w:t>
            </w:r>
          </w:p>
        </w:tc>
        <w:tc>
          <w:tcPr>
            <w:tcW w:w="151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0.0200</w:t>
            </w:r>
          </w:p>
        </w:tc>
        <w:tc>
          <w:tcPr>
            <w:tcW w:w="1467"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0.0611</w:t>
            </w:r>
          </w:p>
        </w:tc>
        <w:tc>
          <w:tcPr>
            <w:tcW w:w="165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宋体"/>
                <w:i w:val="0"/>
                <w:color w:val="000000"/>
                <w:kern w:val="0"/>
                <w:sz w:val="22"/>
                <w:szCs w:val="22"/>
                <w:u w:val="none"/>
                <w:lang w:val="en-US" w:eastAsia="zh-CN" w:bidi="ar"/>
              </w:rPr>
              <w:t>0.0411</w:t>
            </w:r>
          </w:p>
        </w:tc>
      </w:tr>
    </w:tbl>
    <w:p>
      <w:pPr>
        <w:pStyle w:val="2"/>
        <w:jc w:val="center"/>
        <w:rPr>
          <w:rFonts w:hint="default"/>
          <w:b/>
          <w:bCs/>
          <w:sz w:val="24"/>
          <w:szCs w:val="24"/>
          <w:lang w:val="en-US" w:eastAsia="zh-CN"/>
        </w:rPr>
      </w:pPr>
      <w:r>
        <w:rPr>
          <w:rFonts w:hint="eastAsia" w:ascii="Times New Roman" w:hAnsi="Times New Roman" w:eastAsia="宋体" w:cs="宋体"/>
          <w:b/>
          <w:bCs/>
          <w:color w:val="000000"/>
          <w:sz w:val="24"/>
          <w:szCs w:val="24"/>
        </w:rPr>
        <w:t>表</w:t>
      </w:r>
      <w:r>
        <w:rPr>
          <w:rFonts w:hint="eastAsia" w:ascii="Times New Roman" w:hAnsi="Times New Roman" w:cs="Times New Roman"/>
          <w:b/>
          <w:bCs/>
          <w:color w:val="000000"/>
          <w:sz w:val="24"/>
          <w:szCs w:val="24"/>
          <w:lang w:val="en-US" w:eastAsia="zh-CN"/>
        </w:rPr>
        <w:t>5.8</w:t>
      </w:r>
      <w:r>
        <w:rPr>
          <w:rFonts w:hint="default" w:ascii="Times New Roman" w:hAnsi="Times New Roman" w:eastAsia="宋体" w:cs="Times New Roman"/>
          <w:b/>
          <w:bCs/>
          <w:color w:val="000000"/>
          <w:sz w:val="24"/>
          <w:szCs w:val="24"/>
          <w:lang w:val="en-US" w:eastAsia="zh-CN"/>
        </w:rPr>
        <w:t>-</w:t>
      </w:r>
      <w:r>
        <w:rPr>
          <w:rFonts w:hint="eastAsia" w:ascii="Times New Roman" w:hAnsi="Times New Roman" w:cs="Times New Roman"/>
          <w:b/>
          <w:bCs/>
          <w:color w:val="000000"/>
          <w:sz w:val="24"/>
          <w:szCs w:val="24"/>
          <w:lang w:val="en-US" w:eastAsia="zh-CN"/>
        </w:rPr>
        <w:t>5（3）</w:t>
      </w:r>
      <w:r>
        <w:rPr>
          <w:rFonts w:hint="eastAsia" w:ascii="Times New Roman" w:hAnsi="Times New Roman" w:eastAsia="宋体" w:cs="Times New Roman"/>
          <w:b/>
          <w:bCs/>
          <w:color w:val="000000"/>
          <w:sz w:val="24"/>
          <w:szCs w:val="24"/>
          <w:lang w:val="en-US" w:eastAsia="zh-CN"/>
        </w:rPr>
        <w:t xml:space="preserve"> </w:t>
      </w:r>
      <w:r>
        <w:rPr>
          <w:rFonts w:hint="eastAsia" w:ascii="Times New Roman" w:hAnsi="Times New Roman" w:eastAsia="宋体" w:cs="宋体"/>
          <w:b/>
          <w:bCs/>
          <w:color w:val="000000"/>
          <w:sz w:val="24"/>
          <w:szCs w:val="24"/>
        </w:rPr>
        <w:t xml:space="preserve"> 土壤环境质量现状监测结果一览表</w:t>
      </w:r>
    </w:p>
    <w:tbl>
      <w:tblPr>
        <w:tblStyle w:val="18"/>
        <w:tblW w:w="87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710"/>
        <w:gridCol w:w="1926"/>
        <w:gridCol w:w="1633"/>
        <w:gridCol w:w="1533"/>
        <w:gridCol w:w="1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638" w:type="dxa"/>
            <w:vMerge w:val="restart"/>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序号</w:t>
            </w:r>
          </w:p>
        </w:tc>
        <w:tc>
          <w:tcPr>
            <w:tcW w:w="1710" w:type="dxa"/>
            <w:vMerge w:val="restart"/>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lang w:val="en-US" w:eastAsia="zh-CN"/>
              </w:rPr>
              <w:t>检</w:t>
            </w:r>
            <w:r>
              <w:rPr>
                <w:rFonts w:ascii="Times New Roman" w:hAnsi="Times New Roman" w:eastAsia="宋体" w:cs="Times New Roman"/>
                <w:b/>
                <w:bCs/>
                <w:color w:val="auto"/>
                <w:sz w:val="21"/>
                <w:szCs w:val="21"/>
              </w:rPr>
              <w:t>测项目</w:t>
            </w:r>
          </w:p>
        </w:tc>
        <w:tc>
          <w:tcPr>
            <w:tcW w:w="6397" w:type="dxa"/>
            <w:gridSpan w:val="4"/>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监测点位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638" w:type="dxa"/>
            <w:vMerge w:val="continue"/>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p>
        </w:tc>
        <w:tc>
          <w:tcPr>
            <w:tcW w:w="1710" w:type="dxa"/>
            <w:vMerge w:val="continue"/>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p>
        </w:tc>
        <w:tc>
          <w:tcPr>
            <w:tcW w:w="1926" w:type="dxa"/>
            <w:noWrap w:val="0"/>
            <w:vAlign w:val="center"/>
          </w:tcPr>
          <w:p>
            <w:pPr>
              <w:pStyle w:val="25"/>
              <w:widowControl/>
              <w:snapToGrid w:val="0"/>
              <w:spacing w:line="240" w:lineRule="auto"/>
              <w:ind w:firstLine="0" w:firstLine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5#</w:t>
            </w:r>
          </w:p>
        </w:tc>
        <w:tc>
          <w:tcPr>
            <w:tcW w:w="1633" w:type="dxa"/>
            <w:noWrap w:val="0"/>
            <w:vAlign w:val="center"/>
          </w:tcPr>
          <w:p>
            <w:pPr>
              <w:pStyle w:val="25"/>
              <w:widowControl/>
              <w:snapToGrid w:val="0"/>
              <w:spacing w:line="240" w:lineRule="auto"/>
              <w:ind w:firstLine="0" w:firstLineChars="0"/>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6</w:t>
            </w:r>
            <w:r>
              <w:rPr>
                <w:rFonts w:ascii="Times New Roman" w:hAnsi="Times New Roman" w:eastAsia="宋体" w:cs="Times New Roman"/>
                <w:b/>
                <w:bCs/>
                <w:color w:val="auto"/>
                <w:sz w:val="21"/>
                <w:szCs w:val="21"/>
              </w:rPr>
              <w:t>#</w:t>
            </w:r>
          </w:p>
        </w:tc>
        <w:tc>
          <w:tcPr>
            <w:tcW w:w="1533" w:type="dxa"/>
            <w:noWrap w:val="0"/>
            <w:vAlign w:val="center"/>
          </w:tcPr>
          <w:p>
            <w:pPr>
              <w:widowControl/>
              <w:snapToGrid w:val="0"/>
              <w:spacing w:line="240" w:lineRule="auto"/>
              <w:ind w:firstLine="0" w:firstLineChars="0"/>
              <w:jc w:val="center"/>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lang w:val="en-US" w:eastAsia="zh-CN"/>
              </w:rPr>
              <w:t>7</w:t>
            </w:r>
            <w:r>
              <w:rPr>
                <w:rFonts w:ascii="Times New Roman" w:hAnsi="Times New Roman" w:eastAsia="宋体" w:cs="Times New Roman"/>
                <w:b/>
                <w:bCs/>
                <w:color w:val="auto"/>
                <w:sz w:val="21"/>
                <w:szCs w:val="21"/>
              </w:rPr>
              <w:t>#</w:t>
            </w:r>
          </w:p>
        </w:tc>
        <w:tc>
          <w:tcPr>
            <w:tcW w:w="1305" w:type="dxa"/>
            <w:noWrap w:val="0"/>
            <w:vAlign w:val="center"/>
          </w:tcPr>
          <w:p>
            <w:pPr>
              <w:widowControl/>
              <w:snapToGrid w:val="0"/>
              <w:spacing w:line="240" w:lineRule="auto"/>
              <w:ind w:firstLine="0" w:firstLineChars="0"/>
              <w:jc w:val="center"/>
              <w:rPr>
                <w:rFonts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lang w:val="en-US" w:eastAsia="zh-CN"/>
              </w:rPr>
              <w:t>8</w:t>
            </w:r>
            <w:r>
              <w:rPr>
                <w:rFonts w:ascii="Times New Roman" w:hAnsi="Times New Roman" w:eastAsia="宋体" w:cs="Times New Roman"/>
                <w:b/>
                <w:bCs/>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638" w:type="dxa"/>
            <w:vMerge w:val="continue"/>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p>
        </w:tc>
        <w:tc>
          <w:tcPr>
            <w:tcW w:w="1710" w:type="dxa"/>
            <w:vMerge w:val="continue"/>
            <w:noWrap w:val="0"/>
            <w:vAlign w:val="center"/>
          </w:tcPr>
          <w:p>
            <w:pPr>
              <w:pStyle w:val="25"/>
              <w:widowControl/>
              <w:snapToGrid w:val="0"/>
              <w:spacing w:line="240" w:lineRule="auto"/>
              <w:ind w:firstLine="0" w:firstLineChars="0"/>
              <w:jc w:val="center"/>
              <w:rPr>
                <w:rFonts w:ascii="Times New Roman" w:hAnsi="Times New Roman" w:eastAsia="宋体" w:cs="Times New Roman"/>
                <w:b/>
                <w:bCs/>
                <w:color w:val="auto"/>
                <w:sz w:val="21"/>
                <w:szCs w:val="21"/>
              </w:rPr>
            </w:pPr>
          </w:p>
        </w:tc>
        <w:tc>
          <w:tcPr>
            <w:tcW w:w="6397" w:type="dxa"/>
            <w:gridSpan w:val="4"/>
            <w:noWrap w:val="0"/>
            <w:vAlign w:val="center"/>
          </w:tcPr>
          <w:p>
            <w:pPr>
              <w:jc w:val="center"/>
              <w:rPr>
                <w:rFonts w:ascii="Times New Roman" w:hAnsi="Times New Roman" w:eastAsia="宋体"/>
                <w:b/>
                <w:bCs/>
                <w:color w:val="auto"/>
                <w:sz w:val="21"/>
                <w:szCs w:val="21"/>
              </w:rPr>
            </w:pPr>
            <w:r>
              <w:rPr>
                <w:rFonts w:ascii="Times New Roman" w:hAnsi="Times New Roman" w:eastAsia="宋体"/>
                <w:b/>
                <w:bCs/>
                <w:color w:val="auto"/>
                <w:sz w:val="21"/>
                <w:szCs w:val="21"/>
              </w:rPr>
              <w:t>0-0.2m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38" w:type="dxa"/>
            <w:noWrap w:val="0"/>
            <w:vAlign w:val="center"/>
          </w:tcPr>
          <w:p>
            <w:pPr>
              <w:pStyle w:val="25"/>
              <w:widowControl/>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1710"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砷（mg/kg）</w:t>
            </w:r>
          </w:p>
        </w:tc>
        <w:tc>
          <w:tcPr>
            <w:tcW w:w="19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0.440</w:t>
            </w:r>
          </w:p>
        </w:tc>
        <w:tc>
          <w:tcPr>
            <w:tcW w:w="163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0.232</w:t>
            </w:r>
          </w:p>
        </w:tc>
        <w:tc>
          <w:tcPr>
            <w:tcW w:w="153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0.315</w:t>
            </w:r>
          </w:p>
        </w:tc>
        <w:tc>
          <w:tcPr>
            <w:tcW w:w="1305"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0.305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638" w:type="dxa"/>
            <w:noWrap w:val="0"/>
            <w:vAlign w:val="center"/>
          </w:tcPr>
          <w:p>
            <w:pPr>
              <w:pStyle w:val="25"/>
              <w:widowControl/>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w:t>
            </w:r>
          </w:p>
        </w:tc>
        <w:tc>
          <w:tcPr>
            <w:tcW w:w="1710"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镉（mg/kg）</w:t>
            </w:r>
          </w:p>
        </w:tc>
        <w:tc>
          <w:tcPr>
            <w:tcW w:w="19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0.733</w:t>
            </w:r>
          </w:p>
        </w:tc>
        <w:tc>
          <w:tcPr>
            <w:tcW w:w="163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0.300</w:t>
            </w:r>
          </w:p>
        </w:tc>
        <w:tc>
          <w:tcPr>
            <w:tcW w:w="153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0.250</w:t>
            </w:r>
          </w:p>
        </w:tc>
        <w:tc>
          <w:tcPr>
            <w:tcW w:w="1305"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38" w:type="dxa"/>
            <w:noWrap w:val="0"/>
            <w:vAlign w:val="center"/>
          </w:tcPr>
          <w:p>
            <w:pPr>
              <w:pStyle w:val="25"/>
              <w:widowControl/>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3</w:t>
            </w:r>
          </w:p>
        </w:tc>
        <w:tc>
          <w:tcPr>
            <w:tcW w:w="1710"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铜（mg/kg）</w:t>
            </w:r>
          </w:p>
        </w:tc>
        <w:tc>
          <w:tcPr>
            <w:tcW w:w="19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0.440</w:t>
            </w:r>
          </w:p>
        </w:tc>
        <w:tc>
          <w:tcPr>
            <w:tcW w:w="163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0.220</w:t>
            </w:r>
          </w:p>
        </w:tc>
        <w:tc>
          <w:tcPr>
            <w:tcW w:w="153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0.210</w:t>
            </w:r>
          </w:p>
        </w:tc>
        <w:tc>
          <w:tcPr>
            <w:tcW w:w="1305"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638" w:type="dxa"/>
            <w:noWrap w:val="0"/>
            <w:vAlign w:val="center"/>
          </w:tcPr>
          <w:p>
            <w:pPr>
              <w:pStyle w:val="25"/>
              <w:widowControl/>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4</w:t>
            </w:r>
          </w:p>
        </w:tc>
        <w:tc>
          <w:tcPr>
            <w:tcW w:w="1710"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铅（mg/kg）</w:t>
            </w:r>
          </w:p>
        </w:tc>
        <w:tc>
          <w:tcPr>
            <w:tcW w:w="19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0.457</w:t>
            </w:r>
          </w:p>
        </w:tc>
        <w:tc>
          <w:tcPr>
            <w:tcW w:w="163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0.169</w:t>
            </w:r>
          </w:p>
        </w:tc>
        <w:tc>
          <w:tcPr>
            <w:tcW w:w="153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0.228</w:t>
            </w:r>
          </w:p>
        </w:tc>
        <w:tc>
          <w:tcPr>
            <w:tcW w:w="1305"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0.491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38" w:type="dxa"/>
            <w:noWrap w:val="0"/>
            <w:vAlign w:val="center"/>
          </w:tcPr>
          <w:p>
            <w:pPr>
              <w:pStyle w:val="25"/>
              <w:widowControl/>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5</w:t>
            </w:r>
          </w:p>
        </w:tc>
        <w:tc>
          <w:tcPr>
            <w:tcW w:w="1710"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汞（mg/kg）</w:t>
            </w:r>
          </w:p>
        </w:tc>
        <w:tc>
          <w:tcPr>
            <w:tcW w:w="19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0.001</w:t>
            </w:r>
          </w:p>
        </w:tc>
        <w:tc>
          <w:tcPr>
            <w:tcW w:w="163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0.001</w:t>
            </w:r>
          </w:p>
        </w:tc>
        <w:tc>
          <w:tcPr>
            <w:tcW w:w="153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0.001</w:t>
            </w:r>
          </w:p>
        </w:tc>
        <w:tc>
          <w:tcPr>
            <w:tcW w:w="1305"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38" w:type="dxa"/>
            <w:noWrap w:val="0"/>
            <w:vAlign w:val="center"/>
          </w:tcPr>
          <w:p>
            <w:pPr>
              <w:pStyle w:val="25"/>
              <w:widowControl/>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6</w:t>
            </w:r>
          </w:p>
        </w:tc>
        <w:tc>
          <w:tcPr>
            <w:tcW w:w="1710" w:type="dxa"/>
            <w:noWrap w:val="0"/>
            <w:vAlign w:val="center"/>
          </w:tcPr>
          <w:p>
            <w:pPr>
              <w:widowControl/>
              <w:autoSpaceDN w:val="0"/>
              <w:adjustRightInd w:val="0"/>
              <w:snapToGrid w:val="0"/>
              <w:jc w:val="center"/>
              <w:textAlignment w:val="center"/>
              <w:rPr>
                <w:rFonts w:ascii="Times New Roman" w:hAnsi="Times New Roman" w:eastAsia="宋体"/>
                <w:color w:val="auto"/>
                <w:sz w:val="21"/>
                <w:szCs w:val="21"/>
              </w:rPr>
            </w:pPr>
            <w:r>
              <w:rPr>
                <w:rFonts w:ascii="Times New Roman" w:hAnsi="Times New Roman" w:eastAsia="宋体"/>
                <w:color w:val="auto"/>
                <w:sz w:val="21"/>
                <w:szCs w:val="21"/>
              </w:rPr>
              <w:t>镍（mg/kg）</w:t>
            </w:r>
          </w:p>
        </w:tc>
        <w:tc>
          <w:tcPr>
            <w:tcW w:w="192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0.300</w:t>
            </w:r>
          </w:p>
        </w:tc>
        <w:tc>
          <w:tcPr>
            <w:tcW w:w="163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0.095</w:t>
            </w:r>
          </w:p>
        </w:tc>
        <w:tc>
          <w:tcPr>
            <w:tcW w:w="153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0.289</w:t>
            </w:r>
          </w:p>
        </w:tc>
        <w:tc>
          <w:tcPr>
            <w:tcW w:w="1305"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000000"/>
                <w:kern w:val="0"/>
                <w:sz w:val="21"/>
                <w:szCs w:val="21"/>
                <w:u w:val="none"/>
                <w:lang w:val="en-US" w:eastAsia="zh-CN" w:bidi="ar"/>
              </w:rPr>
              <w:t>0.195</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default" w:ascii="Times New Roman" w:hAnsi="Times New Roman"/>
          <w:sz w:val="24"/>
          <w:szCs w:val="24"/>
          <w:lang w:val="en-US" w:eastAsia="zh-CN"/>
        </w:rPr>
      </w:pPr>
      <w:r>
        <w:rPr>
          <w:rFonts w:hint="eastAsia"/>
          <w:sz w:val="24"/>
          <w:szCs w:val="24"/>
        </w:rPr>
        <w:t>由现状监测评价结果可看出，项目厂区监测点的各监测因子均能满足《土壤环境质量 建设用地土壤污染风险管控标准》</w:t>
      </w:r>
      <w:r>
        <w:rPr>
          <w:rFonts w:hint="default" w:ascii="Times New Roman" w:hAnsi="Times New Roman" w:cs="Times New Roman"/>
          <w:sz w:val="24"/>
          <w:szCs w:val="24"/>
        </w:rPr>
        <w:t>（GB36600-2018）</w:t>
      </w:r>
      <w:r>
        <w:rPr>
          <w:rFonts w:hint="eastAsia"/>
          <w:sz w:val="24"/>
          <w:szCs w:val="24"/>
        </w:rPr>
        <w:t>标准，厂区附近农田各监测因子满足《土壤环境质量 农用地土壤污染风险管控标准》（GB15618-2018），总体来看项目所在区域土壤环境较好，目前未受到污染。</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sectPr>
          <w:headerReference r:id="rId39" w:type="default"/>
          <w:footerReference r:id="rId40"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7"/>
        <w:bidi w:val="0"/>
        <w:jc w:val="center"/>
        <w:rPr>
          <w:rFonts w:hint="default"/>
          <w:lang w:val="en-US" w:eastAsia="zh-CN"/>
        </w:rPr>
      </w:pPr>
      <w:bookmarkStart w:id="18" w:name="_Toc9038"/>
      <w:bookmarkStart w:id="19" w:name="_Toc24457"/>
      <w:r>
        <w:rPr>
          <w:rFonts w:hint="eastAsia" w:ascii="Times New Roman" w:hAnsi="Times New Roman" w:cs="Times New Roman"/>
          <w:lang w:val="en-US" w:eastAsia="zh-CN"/>
        </w:rPr>
        <w:t>6</w:t>
      </w:r>
      <w:r>
        <w:rPr>
          <w:rFonts w:hint="eastAsia"/>
          <w:lang w:val="en-US" w:eastAsia="zh-CN"/>
        </w:rPr>
        <w:t>环境影响预测与评价</w:t>
      </w:r>
      <w:bookmarkEnd w:id="18"/>
      <w:bookmarkEnd w:id="19"/>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20" w:name="_Toc16279"/>
      <w:bookmarkStart w:id="21" w:name="_Toc3392"/>
      <w:r>
        <w:rPr>
          <w:rFonts w:hint="eastAsia" w:ascii="Times New Roman" w:hAnsi="Times New Roman" w:eastAsia="宋体" w:cs="Times New Roman"/>
          <w:lang w:val="en-US" w:eastAsia="zh-CN"/>
        </w:rPr>
        <w:t>6</w:t>
      </w:r>
      <w:r>
        <w:rPr>
          <w:rFonts w:hint="default" w:ascii="Times New Roman" w:hAnsi="Times New Roman" w:eastAsia="宋体" w:cs="Times New Roman"/>
          <w:lang w:val="en-US" w:eastAsia="zh-CN"/>
        </w:rPr>
        <w:t>.1</w:t>
      </w:r>
      <w:r>
        <w:rPr>
          <w:rFonts w:hint="eastAsia" w:ascii="宋体" w:hAnsi="宋体" w:eastAsia="宋体" w:cs="宋体"/>
          <w:lang w:val="en-US" w:eastAsia="zh-CN"/>
        </w:rPr>
        <w:t>施工期环境影响分析</w:t>
      </w:r>
      <w:bookmarkEnd w:id="20"/>
      <w:bookmarkEnd w:id="21"/>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b/>
          <w:bCs/>
          <w:color w:val="auto"/>
          <w:sz w:val="28"/>
          <w:szCs w:val="28"/>
        </w:rPr>
      </w:pPr>
      <w:bookmarkStart w:id="22" w:name="_Toc18012"/>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.1.1</w:t>
      </w:r>
      <w:r>
        <w:rPr>
          <w:b/>
          <w:bCs/>
          <w:color w:val="auto"/>
          <w:sz w:val="28"/>
          <w:szCs w:val="28"/>
        </w:rPr>
        <w:t xml:space="preserve">  施工期环境影响因素</w:t>
      </w:r>
      <w:bookmarkEnd w:id="22"/>
    </w:p>
    <w:p>
      <w:pPr>
        <w:pStyle w:val="25"/>
        <w:keepNext w:val="0"/>
        <w:keepLines w:val="0"/>
        <w:pageBreakBefore w:val="0"/>
        <w:widowControl w:val="0"/>
        <w:kinsoku/>
        <w:wordWrap/>
        <w:overflowPunct/>
        <w:topLinePunct w:val="0"/>
        <w:autoSpaceDE/>
        <w:autoSpaceDN/>
        <w:bidi w:val="0"/>
        <w:snapToGrid w:val="0"/>
        <w:rPr>
          <w:rFonts w:cs="Times New Roman"/>
          <w:color w:val="auto"/>
          <w:sz w:val="24"/>
          <w:szCs w:val="24"/>
        </w:rPr>
      </w:pPr>
      <w:r>
        <w:rPr>
          <w:rFonts w:hint="eastAsia" w:cs="Times New Roman"/>
          <w:color w:val="auto"/>
          <w:sz w:val="24"/>
          <w:szCs w:val="24"/>
          <w:lang w:val="en-US" w:eastAsia="zh-CN"/>
        </w:rPr>
        <w:t>本次</w:t>
      </w:r>
      <w:r>
        <w:rPr>
          <w:rFonts w:cs="Times New Roman"/>
          <w:color w:val="auto"/>
          <w:sz w:val="24"/>
          <w:szCs w:val="24"/>
        </w:rPr>
        <w:t>工程</w:t>
      </w:r>
      <w:r>
        <w:rPr>
          <w:rFonts w:hint="eastAsia" w:cs="Times New Roman"/>
          <w:color w:val="auto"/>
          <w:sz w:val="24"/>
          <w:szCs w:val="24"/>
          <w:lang w:val="en-US" w:eastAsia="zh-CN"/>
        </w:rPr>
        <w:t>为未批先建项目，主体工程已建设完成，本次评价需要新增的RTO等设备在现有厂区内内</w:t>
      </w:r>
      <w:r>
        <w:rPr>
          <w:rFonts w:cs="Times New Roman"/>
          <w:color w:val="auto"/>
          <w:sz w:val="24"/>
          <w:szCs w:val="24"/>
        </w:rPr>
        <w:t>建设，主要是设备的安装和调试。土方作业量较少，施工时间为</w:t>
      </w:r>
      <w:r>
        <w:rPr>
          <w:rFonts w:hint="default" w:ascii="Times New Roman" w:hAnsi="Times New Roman" w:cs="Times New Roman"/>
          <w:color w:val="auto"/>
          <w:sz w:val="24"/>
          <w:szCs w:val="24"/>
        </w:rPr>
        <w:t>1</w:t>
      </w:r>
      <w:r>
        <w:rPr>
          <w:rFonts w:cs="Times New Roman"/>
          <w:color w:val="auto"/>
          <w:sz w:val="24"/>
          <w:szCs w:val="24"/>
        </w:rPr>
        <w:t>个月。</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cs="Times New Roman"/>
          <w:color w:val="auto"/>
          <w:sz w:val="24"/>
          <w:szCs w:val="24"/>
        </w:rPr>
        <w:t>在施工期间各项施工活动对周围环境的影响因素主要有：扬尘、运输噪声、机械噪声、固体废物、废水和生态影响等</w:t>
      </w:r>
      <w:r>
        <w:rPr>
          <w:rFonts w:cs="Times New Roman"/>
          <w:color w:val="auto"/>
          <w:szCs w:val="24"/>
        </w:rPr>
        <w:t>。</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b/>
          <w:bCs/>
          <w:color w:val="auto"/>
          <w:sz w:val="28"/>
          <w:szCs w:val="28"/>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.1.</w:t>
      </w:r>
      <w:r>
        <w:rPr>
          <w:rFonts w:hint="eastAsia" w:ascii="Times New Roman" w:hAnsi="Times New Roman" w:cs="Times New Roman"/>
          <w:b/>
          <w:bCs/>
          <w:color w:val="auto"/>
          <w:sz w:val="28"/>
          <w:szCs w:val="28"/>
          <w:lang w:val="en-US" w:eastAsia="zh-CN"/>
        </w:rPr>
        <w:t>2</w:t>
      </w:r>
      <w:r>
        <w:rPr>
          <w:b/>
          <w:bCs/>
          <w:color w:val="auto"/>
          <w:sz w:val="28"/>
          <w:szCs w:val="28"/>
        </w:rPr>
        <w:t xml:space="preserve">  </w:t>
      </w:r>
      <w:r>
        <w:rPr>
          <w:rFonts w:hint="eastAsia"/>
          <w:b/>
          <w:bCs/>
          <w:color w:val="auto"/>
          <w:sz w:val="28"/>
          <w:szCs w:val="28"/>
        </w:rPr>
        <w:t>环境空气影响分析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施工期对大气环境产生影响的污染物主要是扬尘。</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施工期扬尘主要来自地面开挖过程。开挖的表层土壤堆放，在气候干燥又有风的情况下，会产生扬尘。起尘风速与粒径和含水率有关，因此，减少裸露地面是减少风力起尘的有效手段。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施工中部分设备零件运输过程中，也会产生尘粒。据有关文献资料介绍，车辆行驶产生的扬尘占总扬尘的60%以上。在同样路面清洁程度的条件下，车速越快，扬尘量越大；而在同样车速的情况下，路面越脏，则扬尘量越大。因此，限速行使及保持路面的清洁是减少汽车扬尘的有效手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扬尘主要影响的是近距离范围，特别是在扬尘点下风向近距离范围，而真正对外环境产生影响的是一些微小尘粒。据当地气象资料可知，该地区全年主导风向为S-SW，因此施工扬尘主要影响范围为施工点东北方位，</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厂址此方位近距离内无村庄，受施工影响较小。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施工期对大气环境产生影响的次污染是施工机械和运输车辆燃烧柴油和汽油排放的废气。由于本次施工场地较集中，所以废气污染是小范围、短期的，对环境空气影响不大。</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b/>
          <w:bCs/>
          <w:color w:val="auto"/>
          <w:sz w:val="28"/>
          <w:szCs w:val="28"/>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.1.</w:t>
      </w:r>
      <w:r>
        <w:rPr>
          <w:rFonts w:hint="eastAsia" w:ascii="Times New Roman" w:hAnsi="Times New Roman" w:cs="Times New Roman"/>
          <w:b/>
          <w:bCs/>
          <w:color w:val="auto"/>
          <w:sz w:val="28"/>
          <w:szCs w:val="28"/>
          <w:lang w:val="en-US" w:eastAsia="zh-CN"/>
        </w:rPr>
        <w:t>3</w:t>
      </w:r>
      <w:r>
        <w:rPr>
          <w:b/>
          <w:bCs/>
          <w:color w:val="auto"/>
          <w:sz w:val="28"/>
          <w:szCs w:val="28"/>
        </w:rPr>
        <w:t xml:space="preserve"> </w:t>
      </w:r>
      <w:r>
        <w:rPr>
          <w:rFonts w:hint="eastAsia"/>
          <w:b/>
          <w:bCs/>
          <w:color w:val="auto"/>
          <w:sz w:val="28"/>
          <w:szCs w:val="28"/>
        </w:rPr>
        <w:t>声环境的影响分析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施工噪声主要是施工机械噪声、物料装卸碰撞噪声及施工人员人为噪声。</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项目施工期主要进行设备的调试和安装，施工操作多集中在室内，因此，本项目施工机械噪声对外环境影响较小，主要是对车间建筑内施工人员的影响。</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rFonts w:ascii="Times New Roman" w:hAnsi="Times New Roman"/>
          <w:b/>
          <w:bCs/>
          <w:color w:val="auto"/>
          <w:sz w:val="28"/>
          <w:szCs w:val="28"/>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.1.</w:t>
      </w:r>
      <w:r>
        <w:rPr>
          <w:rFonts w:hint="eastAsia" w:ascii="Times New Roman" w:hAnsi="Times New Roman" w:cs="Times New Roman"/>
          <w:b/>
          <w:bCs/>
          <w:color w:val="auto"/>
          <w:sz w:val="28"/>
          <w:szCs w:val="28"/>
          <w:lang w:val="en-US" w:eastAsia="zh-CN"/>
        </w:rPr>
        <w:t>4</w:t>
      </w:r>
      <w:r>
        <w:rPr>
          <w:rFonts w:ascii="Times New Roman" w:hAnsi="Times New Roman"/>
          <w:b/>
          <w:bCs/>
          <w:color w:val="auto"/>
          <w:sz w:val="28"/>
          <w:szCs w:val="28"/>
        </w:rPr>
        <w:t xml:space="preserve"> </w:t>
      </w:r>
      <w:r>
        <w:rPr>
          <w:rFonts w:hint="eastAsia" w:ascii="Times New Roman" w:hAnsi="Times New Roman"/>
          <w:b/>
          <w:bCs/>
          <w:color w:val="auto"/>
          <w:sz w:val="28"/>
          <w:szCs w:val="28"/>
        </w:rPr>
        <w:t>固体废物对环境的影响分析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w:t>
      </w:r>
      <w:r>
        <w:rPr>
          <w:rFonts w:hint="eastAsia" w:ascii="Times New Roman" w:hAnsi="Times New Roman"/>
          <w:sz w:val="24"/>
          <w:szCs w:val="24"/>
          <w:lang w:val="en-US" w:eastAsia="zh-CN"/>
        </w:rPr>
        <w:t>在</w:t>
      </w:r>
      <w:r>
        <w:rPr>
          <w:rFonts w:hint="default" w:ascii="Times New Roman" w:hAnsi="Times New Roman"/>
          <w:sz w:val="24"/>
          <w:szCs w:val="24"/>
          <w:lang w:val="en-US" w:eastAsia="zh-CN"/>
        </w:rPr>
        <w:t>现有</w:t>
      </w:r>
      <w:r>
        <w:rPr>
          <w:rFonts w:hint="eastAsia" w:ascii="Times New Roman" w:hAnsi="Times New Roman"/>
          <w:sz w:val="24"/>
          <w:szCs w:val="24"/>
          <w:lang w:val="en-US" w:eastAsia="zh-CN"/>
        </w:rPr>
        <w:t>厂区内</w:t>
      </w:r>
      <w:r>
        <w:rPr>
          <w:rFonts w:hint="default" w:ascii="Times New Roman" w:hAnsi="Times New Roman"/>
          <w:sz w:val="24"/>
          <w:szCs w:val="24"/>
          <w:lang w:val="en-US" w:eastAsia="zh-CN"/>
        </w:rPr>
        <w:t>建设，施工期主要进行设备的调试和安装，基本无大的土方作业和土地平整、道路铺设等操作，施工期间固体废物主要是施工人员的生活垃圾、废包装物和少量建筑垃圾。若随意抛撒会导致周围环境遭受污染。</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rFonts w:ascii="Times New Roman" w:hAnsi="Times New Roman"/>
          <w:b/>
          <w:bCs/>
          <w:color w:val="auto"/>
          <w:sz w:val="28"/>
          <w:szCs w:val="28"/>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.1.</w:t>
      </w:r>
      <w:r>
        <w:rPr>
          <w:rFonts w:hint="eastAsia" w:ascii="Times New Roman" w:hAnsi="Times New Roman" w:cs="Times New Roman"/>
          <w:b/>
          <w:bCs/>
          <w:color w:val="auto"/>
          <w:sz w:val="28"/>
          <w:szCs w:val="28"/>
          <w:lang w:val="en-US" w:eastAsia="zh-CN"/>
        </w:rPr>
        <w:t>5</w:t>
      </w:r>
      <w:r>
        <w:rPr>
          <w:rFonts w:ascii="Times New Roman" w:hAnsi="Times New Roman"/>
          <w:b/>
          <w:bCs/>
          <w:color w:val="auto"/>
          <w:sz w:val="28"/>
          <w:szCs w:val="28"/>
        </w:rPr>
        <w:t xml:space="preserve"> </w:t>
      </w:r>
      <w:r>
        <w:rPr>
          <w:rFonts w:hint="eastAsia" w:ascii="Times New Roman" w:hAnsi="Times New Roman"/>
          <w:b/>
          <w:bCs/>
          <w:color w:val="auto"/>
          <w:sz w:val="28"/>
          <w:szCs w:val="28"/>
        </w:rPr>
        <w:t>水环境影响分析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施工期产生废水主要包括施工人员的生活污水和施工期间车辆、地面的冲洗水。由于施工期较短，废水排放量较少，水质简单，且形成不了地表水径流，对水环境不会产生明显的影响。</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rFonts w:hint="eastAsia" w:ascii="Times New Roman" w:hAnsi="Times New Roman" w:cs="Times New Roman"/>
          <w:b/>
          <w:bCs/>
          <w:color w:val="auto"/>
          <w:sz w:val="28"/>
          <w:szCs w:val="28"/>
          <w:lang w:val="en-US" w:eastAsia="zh-CN"/>
        </w:rPr>
      </w:pPr>
      <w:bookmarkStart w:id="23" w:name="_Toc566"/>
      <w:r>
        <w:rPr>
          <w:rFonts w:hint="eastAsia" w:ascii="Times New Roman" w:hAnsi="Times New Roman" w:cs="Times New Roman"/>
          <w:b/>
          <w:bCs/>
          <w:color w:val="auto"/>
          <w:sz w:val="28"/>
          <w:szCs w:val="28"/>
          <w:lang w:val="en-US" w:eastAsia="zh-CN"/>
        </w:rPr>
        <w:t>6.1.6 生态环境影响分析</w:t>
      </w:r>
      <w:bookmarkEnd w:id="23"/>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w:t>
      </w:r>
      <w:r>
        <w:rPr>
          <w:rFonts w:hint="eastAsia" w:ascii="Times New Roman" w:hAnsi="Times New Roman"/>
          <w:sz w:val="24"/>
          <w:szCs w:val="24"/>
          <w:lang w:val="en-US" w:eastAsia="zh-CN"/>
        </w:rPr>
        <w:t>在</w:t>
      </w:r>
      <w:r>
        <w:rPr>
          <w:rFonts w:hint="default" w:ascii="Times New Roman" w:hAnsi="Times New Roman"/>
          <w:sz w:val="24"/>
          <w:szCs w:val="24"/>
          <w:lang w:val="en-US" w:eastAsia="zh-CN"/>
        </w:rPr>
        <w:t>现有</w:t>
      </w:r>
      <w:r>
        <w:rPr>
          <w:rFonts w:hint="eastAsia" w:ascii="Times New Roman" w:hAnsi="Times New Roman"/>
          <w:sz w:val="24"/>
          <w:szCs w:val="24"/>
          <w:lang w:val="en-US" w:eastAsia="zh-CN"/>
        </w:rPr>
        <w:t>厂区内</w:t>
      </w:r>
      <w:r>
        <w:rPr>
          <w:rFonts w:hint="default" w:ascii="Times New Roman" w:hAnsi="Times New Roman"/>
          <w:sz w:val="24"/>
          <w:szCs w:val="24"/>
          <w:lang w:val="en-US" w:eastAsia="zh-CN"/>
        </w:rPr>
        <w:t>建设，</w:t>
      </w:r>
      <w:r>
        <w:rPr>
          <w:rFonts w:hint="eastAsia" w:ascii="Times New Roman" w:hAnsi="Times New Roman"/>
          <w:sz w:val="24"/>
          <w:szCs w:val="24"/>
          <w:lang w:val="en-US" w:eastAsia="zh-CN"/>
        </w:rPr>
        <w:t>RTO设备</w:t>
      </w:r>
      <w:r>
        <w:rPr>
          <w:rFonts w:hint="default" w:ascii="Times New Roman" w:hAnsi="Times New Roman"/>
          <w:sz w:val="24"/>
          <w:szCs w:val="24"/>
          <w:lang w:val="en-US" w:eastAsia="zh-CN"/>
        </w:rPr>
        <w:t>建设利用厂内预留土地，该工程施工期不需要考虑临时占地，对厂区内目前的生态环境基本无影响。</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rFonts w:hint="eastAsia" w:ascii="Times New Roman" w:hAnsi="Times New Roman" w:cs="Times New Roman"/>
          <w:b/>
          <w:bCs/>
          <w:color w:val="auto"/>
          <w:sz w:val="28"/>
          <w:szCs w:val="28"/>
          <w:lang w:val="en-US" w:eastAsia="zh-CN"/>
        </w:rPr>
      </w:pPr>
      <w:r>
        <w:rPr>
          <w:rFonts w:hint="eastAsia" w:ascii="Times New Roman" w:hAnsi="Times New Roman" w:cs="Times New Roman"/>
          <w:b/>
          <w:bCs/>
          <w:color w:val="auto"/>
          <w:sz w:val="28"/>
          <w:szCs w:val="28"/>
          <w:lang w:val="en-US" w:eastAsia="zh-CN"/>
        </w:rPr>
        <w:t>6.1.7 施工期环境影响控制措施</w:t>
      </w:r>
    </w:p>
    <w:p>
      <w:pPr>
        <w:pStyle w:val="25"/>
        <w:ind w:firstLine="452"/>
        <w:rPr>
          <w:rFonts w:ascii="Times New Roman" w:hAnsi="Times New Roman" w:cs="Times New Roman"/>
          <w:color w:val="auto"/>
          <w:szCs w:val="24"/>
        </w:rPr>
      </w:pPr>
      <w:r>
        <w:rPr>
          <w:rFonts w:ascii="Times New Roman" w:hAnsi="Times New Roman" w:cs="Times New Roman"/>
          <w:color w:val="auto"/>
          <w:spacing w:val="-7"/>
        </w:rPr>
        <w:t>通过对施工期环境影响分析，施工期主要污染为噪声、固废和扬尘，虽然由于施工期是</w:t>
      </w:r>
      <w:r>
        <w:rPr>
          <w:rFonts w:ascii="Times New Roman" w:hAnsi="Times New Roman" w:cs="Times New Roman"/>
          <w:color w:val="auto"/>
        </w:rPr>
        <w:t>短期的、局部的，但为了减少对周围环境的影响，应采取以下控制措施：</w:t>
      </w:r>
    </w:p>
    <w:p>
      <w:pPr>
        <w:pStyle w:val="25"/>
        <w:ind w:firstLine="482"/>
        <w:rPr>
          <w:rFonts w:ascii="Times New Roman" w:hAnsi="Times New Roman" w:cs="Times New Roman"/>
          <w:b w:val="0"/>
          <w:bCs w:val="0"/>
          <w:color w:val="auto"/>
          <w:szCs w:val="24"/>
        </w:rPr>
      </w:pPr>
      <w:r>
        <w:rPr>
          <w:rFonts w:ascii="Times New Roman" w:hAnsi="Times New Roman" w:cs="Times New Roman"/>
          <w:b w:val="0"/>
          <w:bCs w:val="0"/>
          <w:color w:val="auto"/>
          <w:szCs w:val="24"/>
        </w:rPr>
        <w:t>1、控制扬尘污染措施</w:t>
      </w:r>
    </w:p>
    <w:p>
      <w:pPr>
        <w:pStyle w:val="25"/>
        <w:rPr>
          <w:rFonts w:ascii="Times New Roman" w:hAnsi="Times New Roman" w:cs="Times New Roman"/>
          <w:color w:val="auto"/>
          <w:szCs w:val="24"/>
        </w:rPr>
      </w:pPr>
      <w:r>
        <w:rPr>
          <w:rFonts w:ascii="Times New Roman" w:hAnsi="Times New Roman" w:cs="Times New Roman"/>
          <w:color w:val="auto"/>
          <w:szCs w:val="24"/>
        </w:rPr>
        <w:t>（1）施工场地每天定时洒水，防止浮尘产生，在大风日停止施工作业；</w:t>
      </w:r>
    </w:p>
    <w:p>
      <w:pPr>
        <w:pStyle w:val="25"/>
        <w:rPr>
          <w:rFonts w:ascii="Times New Roman" w:hAnsi="Times New Roman" w:cs="Times New Roman"/>
          <w:color w:val="auto"/>
          <w:szCs w:val="24"/>
        </w:rPr>
      </w:pPr>
      <w:r>
        <w:rPr>
          <w:rFonts w:ascii="Times New Roman" w:hAnsi="Times New Roman" w:cs="Times New Roman"/>
          <w:color w:val="auto"/>
          <w:szCs w:val="24"/>
        </w:rPr>
        <w:t>（2）施工道路每天定时洒水降尘，运输车辆进入施工场地应低速行驶，或限速行驶，减少扬尘产生量；</w:t>
      </w:r>
    </w:p>
    <w:p>
      <w:pPr>
        <w:pStyle w:val="25"/>
        <w:rPr>
          <w:rFonts w:ascii="Times New Roman" w:hAnsi="Times New Roman" w:cs="Times New Roman"/>
          <w:color w:val="auto"/>
          <w:szCs w:val="24"/>
        </w:rPr>
      </w:pPr>
      <w:r>
        <w:rPr>
          <w:rFonts w:ascii="Times New Roman" w:hAnsi="Times New Roman" w:cs="Times New Roman"/>
          <w:color w:val="auto"/>
          <w:szCs w:val="24"/>
        </w:rPr>
        <w:t>（3）施工渣土外运车辆应加盖蓬布，减少沿路遗洒；</w:t>
      </w:r>
    </w:p>
    <w:p>
      <w:pPr>
        <w:pStyle w:val="25"/>
        <w:rPr>
          <w:rFonts w:ascii="Times New Roman" w:hAnsi="Times New Roman" w:cs="Times New Roman"/>
          <w:color w:val="auto"/>
          <w:szCs w:val="24"/>
        </w:rPr>
      </w:pPr>
      <w:r>
        <w:rPr>
          <w:rFonts w:ascii="Times New Roman" w:hAnsi="Times New Roman" w:cs="Times New Roman"/>
          <w:color w:val="auto"/>
          <w:szCs w:val="24"/>
        </w:rPr>
        <w:t>（4）挖出的土及时用苫布覆盖，避免露天堆放；</w:t>
      </w:r>
    </w:p>
    <w:p>
      <w:pPr>
        <w:pStyle w:val="25"/>
        <w:rPr>
          <w:rFonts w:ascii="Times New Roman" w:hAnsi="Times New Roman" w:cs="Times New Roman"/>
          <w:color w:val="auto"/>
          <w:szCs w:val="24"/>
        </w:rPr>
      </w:pPr>
      <w:r>
        <w:rPr>
          <w:rFonts w:ascii="Times New Roman" w:hAnsi="Times New Roman" w:cs="Times New Roman"/>
          <w:color w:val="auto"/>
          <w:szCs w:val="24"/>
        </w:rPr>
        <w:t>（5）施工过程中，应采用商品(湿)水泥和水泥预制件，尽量少用干水泥。</w:t>
      </w:r>
    </w:p>
    <w:p>
      <w:pPr>
        <w:pStyle w:val="25"/>
        <w:ind w:firstLine="482"/>
        <w:rPr>
          <w:rFonts w:ascii="Times New Roman" w:hAnsi="Times New Roman" w:cs="Times New Roman"/>
          <w:b w:val="0"/>
          <w:bCs w:val="0"/>
          <w:color w:val="auto"/>
          <w:szCs w:val="24"/>
        </w:rPr>
      </w:pPr>
      <w:r>
        <w:rPr>
          <w:rFonts w:ascii="Times New Roman" w:hAnsi="Times New Roman" w:cs="Times New Roman"/>
          <w:b w:val="0"/>
          <w:bCs w:val="0"/>
          <w:color w:val="auto"/>
          <w:szCs w:val="24"/>
        </w:rPr>
        <w:t>2、控制固体废物污染环境的措施</w:t>
      </w:r>
    </w:p>
    <w:p>
      <w:pPr>
        <w:pStyle w:val="25"/>
        <w:rPr>
          <w:rFonts w:ascii="Times New Roman" w:hAnsi="Times New Roman" w:cs="Times New Roman"/>
          <w:color w:val="auto"/>
          <w:szCs w:val="24"/>
        </w:rPr>
      </w:pPr>
      <w:r>
        <w:rPr>
          <w:rFonts w:ascii="Times New Roman" w:hAnsi="Times New Roman" w:cs="Times New Roman"/>
          <w:color w:val="auto"/>
          <w:szCs w:val="24"/>
        </w:rPr>
        <w:t>工程对施工期固体废物定点堆放、管理，生活垃圾日产日清，建筑垃圾按规定运输至指定地点，对周围环境影响甚微。</w:t>
      </w:r>
    </w:p>
    <w:p>
      <w:pPr>
        <w:pStyle w:val="25"/>
        <w:ind w:firstLine="482"/>
        <w:rPr>
          <w:rFonts w:ascii="Times New Roman" w:hAnsi="Times New Roman" w:cs="Times New Roman"/>
          <w:b w:val="0"/>
          <w:bCs w:val="0"/>
          <w:color w:val="auto"/>
          <w:szCs w:val="24"/>
        </w:rPr>
      </w:pPr>
      <w:r>
        <w:rPr>
          <w:rFonts w:ascii="Times New Roman" w:hAnsi="Times New Roman" w:cs="Times New Roman"/>
          <w:b w:val="0"/>
          <w:bCs w:val="0"/>
          <w:color w:val="auto"/>
          <w:szCs w:val="24"/>
        </w:rPr>
        <w:t>3、噪声污染控制措施</w:t>
      </w:r>
    </w:p>
    <w:p>
      <w:pPr>
        <w:pStyle w:val="25"/>
        <w:rPr>
          <w:rFonts w:ascii="Times New Roman" w:hAnsi="Times New Roman" w:cs="Times New Roman"/>
          <w:color w:val="auto"/>
          <w:szCs w:val="24"/>
        </w:rPr>
      </w:pPr>
      <w:r>
        <w:rPr>
          <w:rFonts w:ascii="Times New Roman" w:hAnsi="Times New Roman" w:cs="Times New Roman"/>
          <w:color w:val="auto"/>
          <w:szCs w:val="24"/>
        </w:rPr>
        <w:t>（1）合理安排施工时间：安排施工计划时，避开周围环境对噪声的敏感时间，减少夜间施工量。尽量加快施工进度，缩短整个工期；</w:t>
      </w:r>
    </w:p>
    <w:p>
      <w:pPr>
        <w:pStyle w:val="25"/>
        <w:rPr>
          <w:rFonts w:ascii="Times New Roman" w:hAnsi="Times New Roman" w:cs="Times New Roman"/>
          <w:color w:val="auto"/>
          <w:szCs w:val="24"/>
        </w:rPr>
      </w:pPr>
      <w:r>
        <w:rPr>
          <w:rFonts w:ascii="Times New Roman" w:hAnsi="Times New Roman" w:cs="Times New Roman"/>
          <w:color w:val="auto"/>
          <w:szCs w:val="24"/>
        </w:rPr>
        <w:t>（2）降低设备噪声级：尽量选用低噪声施工机械；</w:t>
      </w:r>
    </w:p>
    <w:p>
      <w:pPr>
        <w:pStyle w:val="25"/>
        <w:pageBreakBefore w:val="0"/>
        <w:widowControl w:val="0"/>
        <w:kinsoku/>
        <w:wordWrap/>
        <w:overflowPunct/>
        <w:topLinePunct w:val="0"/>
        <w:autoSpaceDE/>
        <w:autoSpaceDN/>
        <w:bidi w:val="0"/>
        <w:snapToGrid w:val="0"/>
        <w:rPr>
          <w:rFonts w:ascii="Times New Roman" w:hAnsi="Times New Roman" w:cs="Times New Roman"/>
          <w:color w:val="auto"/>
          <w:szCs w:val="24"/>
        </w:rPr>
      </w:pPr>
      <w:r>
        <w:rPr>
          <w:rFonts w:ascii="Times New Roman" w:hAnsi="Times New Roman" w:cs="Times New Roman"/>
          <w:color w:val="auto"/>
          <w:szCs w:val="24"/>
        </w:rPr>
        <w:t>（3）降低人为噪声：做好施工期管理，施工现场避免施工人员大喊大叫；</w:t>
      </w:r>
    </w:p>
    <w:p>
      <w:pPr>
        <w:pStyle w:val="25"/>
        <w:pageBreakBefore w:val="0"/>
        <w:widowControl w:val="0"/>
        <w:kinsoku/>
        <w:wordWrap/>
        <w:overflowPunct/>
        <w:topLinePunct w:val="0"/>
        <w:autoSpaceDE/>
        <w:autoSpaceDN/>
        <w:bidi w:val="0"/>
        <w:snapToGrid w:val="0"/>
        <w:rPr>
          <w:rFonts w:ascii="Times New Roman" w:hAnsi="Times New Roman" w:cs="Times New Roman"/>
          <w:color w:val="auto"/>
          <w:szCs w:val="24"/>
        </w:rPr>
      </w:pPr>
      <w:r>
        <w:rPr>
          <w:rFonts w:ascii="Times New Roman" w:hAnsi="Times New Roman" w:cs="Times New Roman"/>
          <w:color w:val="auto"/>
          <w:szCs w:val="24"/>
        </w:rPr>
        <w:t>（4）建立临时声屏障：对位置相对固定的机械设备，能在棚内操作的尽量进入操作间，可适当建立单面声障。</w:t>
      </w:r>
    </w:p>
    <w:p>
      <w:pPr>
        <w:pStyle w:val="17"/>
        <w:pageBreakBefore w:val="0"/>
        <w:widowControl w:val="0"/>
        <w:kinsoku/>
        <w:wordWrap/>
        <w:overflowPunct/>
        <w:topLinePunct w:val="0"/>
        <w:autoSpaceDE/>
        <w:autoSpaceDN/>
        <w:bidi w:val="0"/>
        <w:snapToGrid w:val="0"/>
        <w:spacing w:after="0" w:line="360" w:lineRule="auto"/>
        <w:ind w:firstLine="480" w:firstLineChars="200"/>
        <w:rPr>
          <w:rFonts w:ascii="Times New Roman" w:hAnsi="Times New Roman"/>
          <w:b/>
          <w:bCs/>
          <w:color w:val="auto"/>
          <w:sz w:val="30"/>
          <w:szCs w:val="30"/>
        </w:rPr>
      </w:pPr>
      <w:r>
        <w:rPr>
          <w:rFonts w:ascii="Times New Roman" w:hAnsi="Times New Roman"/>
          <w:color w:val="auto"/>
          <w:sz w:val="24"/>
        </w:rPr>
        <w:t>通过严格采取上述污染防治措施，可有效降低施工期对周围环境的影响。</w:t>
      </w: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24" w:name="_Toc8764"/>
      <w:bookmarkStart w:id="25" w:name="_Toc32104"/>
      <w:r>
        <w:rPr>
          <w:rFonts w:hint="eastAsia" w:ascii="Times New Roman" w:hAnsi="Times New Roman" w:eastAsia="宋体" w:cs="Times New Roman"/>
          <w:lang w:val="en-US" w:eastAsia="zh-CN"/>
        </w:rPr>
        <w:t>6</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2</w:t>
      </w:r>
      <w:r>
        <w:rPr>
          <w:rFonts w:hint="eastAsia" w:ascii="宋体" w:hAnsi="宋体" w:eastAsia="宋体" w:cs="宋体"/>
          <w:lang w:val="en-US" w:eastAsia="zh-CN"/>
        </w:rPr>
        <w:t>环境空气影响预测与评价</w:t>
      </w:r>
      <w:bookmarkEnd w:id="24"/>
      <w:bookmarkEnd w:id="25"/>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b/>
          <w:bCs/>
          <w:color w:val="auto"/>
          <w:sz w:val="28"/>
          <w:szCs w:val="28"/>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rFonts w:hint="default" w:ascii="Times New Roman" w:hAnsi="Times New Roman" w:cs="Times New Roman"/>
          <w:b/>
          <w:bCs/>
          <w:color w:val="auto"/>
          <w:sz w:val="28"/>
          <w:szCs w:val="28"/>
        </w:rPr>
        <w:t>.1</w:t>
      </w:r>
      <w:r>
        <w:rPr>
          <w:b/>
          <w:bCs/>
          <w:color w:val="auto"/>
          <w:sz w:val="28"/>
          <w:szCs w:val="28"/>
        </w:rPr>
        <w:t xml:space="preserve"> </w:t>
      </w:r>
      <w:r>
        <w:rPr>
          <w:rFonts w:hint="eastAsia"/>
          <w:b/>
          <w:bCs/>
          <w:color w:val="auto"/>
          <w:sz w:val="28"/>
          <w:szCs w:val="28"/>
        </w:rPr>
        <w:t>气象特征分析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桓台气象站位于东经118°05′E，36°59′N，为国家气象观测站。据调查，该气象站周围地理环境与气候条件与</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周围基本一致，且气象站距离拟建项目较近，该气象站气象资料具有较好的适用性。桓台近20年（1999～2018年）年最大风速为15.8m/s（2005年）,极端最高气温和极端最低气温分别为41.5℃（2005年）和-17.4℃（2016年），年最大降水量为957.3mm（2018年）；近20年其它主要气候统计资料见表6.2-1，桓台近20年各风向频率见表6.2-2，图6.2-1为桓台近20年风向频率玫瑰图。</w:t>
      </w:r>
    </w:p>
    <w:p>
      <w:pPr>
        <w:pStyle w:val="2"/>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b/>
          <w:bCs/>
          <w:sz w:val="24"/>
          <w:szCs w:val="24"/>
          <w:lang w:val="en-US" w:eastAsia="zh-CN"/>
        </w:rPr>
      </w:pPr>
      <w:r>
        <w:rPr>
          <w:rFonts w:hint="eastAsia" w:ascii="Times New Roman" w:hAnsi="Times New Roman" w:eastAsia="宋体" w:cs="宋体"/>
          <w:b/>
          <w:bCs/>
          <w:color w:val="000000"/>
          <w:sz w:val="24"/>
          <w:szCs w:val="24"/>
        </w:rPr>
        <w:t>表</w:t>
      </w:r>
      <w:r>
        <w:rPr>
          <w:rFonts w:hint="eastAsia" w:ascii="Times New Roman" w:hAnsi="Times New Roman" w:cs="Times New Roman"/>
          <w:b/>
          <w:bCs/>
          <w:color w:val="000000"/>
          <w:sz w:val="24"/>
          <w:szCs w:val="24"/>
          <w:lang w:val="en-US" w:eastAsia="zh-CN"/>
        </w:rPr>
        <w:t>6.2</w:t>
      </w:r>
      <w:r>
        <w:rPr>
          <w:rFonts w:hint="default" w:ascii="Times New Roman" w:hAnsi="Times New Roman" w:eastAsia="宋体" w:cs="Times New Roman"/>
          <w:b/>
          <w:bCs/>
          <w:color w:val="000000"/>
          <w:sz w:val="24"/>
          <w:szCs w:val="24"/>
          <w:lang w:val="en-US" w:eastAsia="zh-CN"/>
        </w:rPr>
        <w:t>-</w:t>
      </w:r>
      <w:r>
        <w:rPr>
          <w:rFonts w:hint="eastAsia" w:ascii="Times New Roman" w:hAnsi="Times New Roman" w:cs="Times New Roman"/>
          <w:b/>
          <w:bCs/>
          <w:color w:val="000000"/>
          <w:sz w:val="24"/>
          <w:szCs w:val="24"/>
          <w:lang w:val="en-US" w:eastAsia="zh-CN"/>
        </w:rPr>
        <w:t>1</w:t>
      </w:r>
      <w:r>
        <w:rPr>
          <w:rFonts w:hint="eastAsia" w:ascii="Times New Roman" w:hAnsi="Times New Roman" w:eastAsia="宋体" w:cs="Times New Roman"/>
          <w:b/>
          <w:bCs/>
          <w:color w:val="000000"/>
          <w:sz w:val="24"/>
          <w:szCs w:val="24"/>
          <w:lang w:val="en-US" w:eastAsia="zh-CN"/>
        </w:rPr>
        <w:t xml:space="preserve"> </w:t>
      </w:r>
      <w:r>
        <w:rPr>
          <w:rFonts w:hint="eastAsia" w:ascii="Times New Roman" w:hAnsi="Times New Roman" w:eastAsia="宋体" w:cs="宋体"/>
          <w:b/>
          <w:bCs/>
          <w:color w:val="000000"/>
          <w:sz w:val="24"/>
          <w:szCs w:val="24"/>
        </w:rPr>
        <w:t xml:space="preserve"> 桓台气象站近20年（1999～2018年）主要气候要素统计</w:t>
      </w:r>
    </w:p>
    <w:tbl>
      <w:tblPr>
        <w:tblStyle w:val="18"/>
        <w:tblW w:w="94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1"/>
        <w:gridCol w:w="550"/>
        <w:gridCol w:w="734"/>
        <w:gridCol w:w="642"/>
        <w:gridCol w:w="642"/>
        <w:gridCol w:w="642"/>
        <w:gridCol w:w="642"/>
        <w:gridCol w:w="642"/>
        <w:gridCol w:w="642"/>
        <w:gridCol w:w="642"/>
        <w:gridCol w:w="642"/>
        <w:gridCol w:w="642"/>
        <w:gridCol w:w="642"/>
        <w:gridCol w:w="7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31" w:type="dxa"/>
            <w:tcBorders>
              <w:tl2br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jc w:val="right"/>
              <w:textAlignment w:val="auto"/>
              <w:rPr>
                <w:rFonts w:ascii="Times New Roman" w:hAnsi="Times New Roman" w:eastAsia="宋体"/>
                <w:sz w:val="21"/>
                <w:szCs w:val="21"/>
              </w:rPr>
            </w:pPr>
            <w:r>
              <w:rPr>
                <w:rFonts w:ascii="Times New Roman" w:hAnsi="Times New Roman" w:eastAsia="宋体"/>
                <w:sz w:val="21"/>
                <w:szCs w:val="21"/>
              </w:rPr>
              <w:t>月份</w:t>
            </w:r>
          </w:p>
          <w:p>
            <w:pPr>
              <w:keepNext w:val="0"/>
              <w:keepLines w:val="0"/>
              <w:pageBreakBefore w:val="0"/>
              <w:widowControl w:val="0"/>
              <w:kinsoku/>
              <w:wordWrap/>
              <w:overflowPunct/>
              <w:topLinePunct w:val="0"/>
              <w:autoSpaceDE/>
              <w:autoSpaceDN/>
              <w:bidi w:val="0"/>
              <w:adjustRightInd/>
              <w:snapToGrid w:val="0"/>
              <w:textAlignment w:val="auto"/>
              <w:rPr>
                <w:rFonts w:ascii="Times New Roman" w:hAnsi="Times New Roman" w:eastAsia="宋体"/>
                <w:sz w:val="21"/>
                <w:szCs w:val="21"/>
              </w:rPr>
            </w:pPr>
            <w:r>
              <w:rPr>
                <w:rFonts w:ascii="Times New Roman" w:hAnsi="Times New Roman" w:eastAsia="宋体"/>
                <w:sz w:val="21"/>
                <w:szCs w:val="21"/>
              </w:rPr>
              <w:t>项目</w:t>
            </w:r>
          </w:p>
        </w:tc>
        <w:tc>
          <w:tcPr>
            <w:tcW w:w="5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1月</w:t>
            </w:r>
          </w:p>
        </w:tc>
        <w:tc>
          <w:tcPr>
            <w:tcW w:w="734"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2月</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3月</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4月</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5月</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6月</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7月</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8月</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9月</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10月</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11月</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12月</w:t>
            </w:r>
          </w:p>
        </w:tc>
        <w:tc>
          <w:tcPr>
            <w:tcW w:w="726"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全年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31"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平均风速（m/s）</w:t>
            </w:r>
          </w:p>
        </w:tc>
        <w:tc>
          <w:tcPr>
            <w:tcW w:w="5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1.9</w:t>
            </w:r>
          </w:p>
        </w:tc>
        <w:tc>
          <w:tcPr>
            <w:tcW w:w="734"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2.3</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2.7</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2.7</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2.5</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2.3</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2.0</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1.8</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1.8</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1.9</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2.0</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1.9</w:t>
            </w:r>
          </w:p>
        </w:tc>
        <w:tc>
          <w:tcPr>
            <w:tcW w:w="726"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31"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平均气温（</w:t>
            </w:r>
            <w:r>
              <w:rPr>
                <w:rFonts w:hint="eastAsia" w:ascii="Times New Roman" w:hAnsi="Times New Roman" w:eastAsia="宋体" w:cs="宋体"/>
                <w:sz w:val="21"/>
                <w:szCs w:val="21"/>
              </w:rPr>
              <w:t>℃</w:t>
            </w:r>
            <w:r>
              <w:rPr>
                <w:rFonts w:ascii="Times New Roman" w:hAnsi="Times New Roman" w:eastAsia="宋体"/>
                <w:sz w:val="21"/>
                <w:szCs w:val="21"/>
              </w:rPr>
              <w:t>）</w:t>
            </w:r>
          </w:p>
        </w:tc>
        <w:tc>
          <w:tcPr>
            <w:tcW w:w="5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-1.4</w:t>
            </w:r>
          </w:p>
        </w:tc>
        <w:tc>
          <w:tcPr>
            <w:tcW w:w="734"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2.1</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8.7</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15.4</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21.5</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26.1</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27.7</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26.3</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22.1</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15.7</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7.5</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0.7</w:t>
            </w:r>
          </w:p>
        </w:tc>
        <w:tc>
          <w:tcPr>
            <w:tcW w:w="726"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31"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平均相对湿度（%）</w:t>
            </w:r>
          </w:p>
        </w:tc>
        <w:tc>
          <w:tcPr>
            <w:tcW w:w="5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57</w:t>
            </w:r>
          </w:p>
        </w:tc>
        <w:tc>
          <w:tcPr>
            <w:tcW w:w="734"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54</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47</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52</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55</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57</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72</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75</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68</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61</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61</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59</w:t>
            </w:r>
          </w:p>
        </w:tc>
        <w:tc>
          <w:tcPr>
            <w:tcW w:w="726"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31"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平均降水量（mm）</w:t>
            </w:r>
          </w:p>
        </w:tc>
        <w:tc>
          <w:tcPr>
            <w:tcW w:w="5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6.2</w:t>
            </w:r>
          </w:p>
        </w:tc>
        <w:tc>
          <w:tcPr>
            <w:tcW w:w="734"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11.1</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10.8</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27.4</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61.9</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81.7</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141.8</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137.9</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47.4</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24.9</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22.0</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7.2</w:t>
            </w:r>
          </w:p>
        </w:tc>
        <w:tc>
          <w:tcPr>
            <w:tcW w:w="726"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580.1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31"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平均日照数（h）</w:t>
            </w:r>
          </w:p>
        </w:tc>
        <w:tc>
          <w:tcPr>
            <w:tcW w:w="5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148.3</w:t>
            </w:r>
          </w:p>
        </w:tc>
        <w:tc>
          <w:tcPr>
            <w:tcW w:w="734"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162.0</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213.4</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235.0</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264.5</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225.7</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195.1</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198.7</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182.5</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186.5</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160.2</w:t>
            </w:r>
          </w:p>
        </w:tc>
        <w:tc>
          <w:tcPr>
            <w:tcW w:w="642"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143.7</w:t>
            </w:r>
          </w:p>
        </w:tc>
        <w:tc>
          <w:tcPr>
            <w:tcW w:w="726"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2315.6</w:t>
            </w:r>
          </w:p>
        </w:tc>
      </w:tr>
    </w:tbl>
    <w:p>
      <w:pPr>
        <w:pStyle w:val="2"/>
        <w:keepNext w:val="0"/>
        <w:keepLines w:val="0"/>
        <w:pageBreakBefore w:val="0"/>
        <w:widowControl w:val="0"/>
        <w:kinsoku/>
        <w:wordWrap/>
        <w:overflowPunct/>
        <w:topLinePunct w:val="0"/>
        <w:autoSpaceDE/>
        <w:autoSpaceDN/>
        <w:bidi w:val="0"/>
        <w:adjustRightInd/>
        <w:snapToGrid w:val="0"/>
        <w:spacing w:before="157" w:beforeLines="50" w:line="360" w:lineRule="auto"/>
        <w:jc w:val="center"/>
        <w:textAlignment w:val="auto"/>
        <w:rPr>
          <w:rFonts w:hint="default"/>
          <w:b/>
          <w:bCs/>
          <w:sz w:val="24"/>
          <w:szCs w:val="24"/>
          <w:lang w:val="en-US" w:eastAsia="zh-CN"/>
        </w:rPr>
      </w:pPr>
      <w:r>
        <w:rPr>
          <w:rFonts w:hint="eastAsia" w:ascii="Times New Roman" w:hAnsi="Times New Roman" w:eastAsia="宋体" w:cs="宋体"/>
          <w:b/>
          <w:bCs/>
          <w:color w:val="000000"/>
          <w:sz w:val="24"/>
          <w:szCs w:val="24"/>
        </w:rPr>
        <w:t>表</w:t>
      </w:r>
      <w:r>
        <w:rPr>
          <w:rFonts w:hint="eastAsia" w:ascii="Times New Roman" w:hAnsi="Times New Roman" w:cs="Times New Roman"/>
          <w:b/>
          <w:bCs/>
          <w:color w:val="000000"/>
          <w:sz w:val="24"/>
          <w:szCs w:val="24"/>
          <w:lang w:val="en-US" w:eastAsia="zh-CN"/>
        </w:rPr>
        <w:t>6.2</w:t>
      </w:r>
      <w:r>
        <w:rPr>
          <w:rFonts w:hint="default" w:ascii="Times New Roman" w:hAnsi="Times New Roman" w:eastAsia="宋体" w:cs="Times New Roman"/>
          <w:b/>
          <w:bCs/>
          <w:color w:val="000000"/>
          <w:sz w:val="24"/>
          <w:szCs w:val="24"/>
          <w:lang w:val="en-US" w:eastAsia="zh-CN"/>
        </w:rPr>
        <w:t>-</w:t>
      </w:r>
      <w:r>
        <w:rPr>
          <w:rFonts w:hint="eastAsia" w:ascii="Times New Roman" w:hAnsi="Times New Roman" w:cs="Times New Roman"/>
          <w:b/>
          <w:bCs/>
          <w:color w:val="000000"/>
          <w:sz w:val="24"/>
          <w:szCs w:val="24"/>
          <w:lang w:val="en-US" w:eastAsia="zh-CN"/>
        </w:rPr>
        <w:t>2</w:t>
      </w:r>
      <w:r>
        <w:rPr>
          <w:rFonts w:hint="eastAsia" w:ascii="Times New Roman" w:hAnsi="Times New Roman" w:eastAsia="宋体" w:cs="Times New Roman"/>
          <w:b/>
          <w:bCs/>
          <w:color w:val="000000"/>
          <w:sz w:val="24"/>
          <w:szCs w:val="24"/>
          <w:lang w:val="en-US" w:eastAsia="zh-CN"/>
        </w:rPr>
        <w:t xml:space="preserve"> </w:t>
      </w:r>
      <w:r>
        <w:rPr>
          <w:rFonts w:hint="eastAsia" w:ascii="Times New Roman" w:hAnsi="Times New Roman" w:eastAsia="宋体" w:cs="宋体"/>
          <w:b/>
          <w:bCs/>
          <w:color w:val="000000"/>
          <w:sz w:val="24"/>
          <w:szCs w:val="24"/>
        </w:rPr>
        <w:t xml:space="preserve"> 桓台气象站近20年（1999～2018年）各风向频率一览表（%）</w:t>
      </w:r>
    </w:p>
    <w:tbl>
      <w:tblPr>
        <w:tblStyle w:val="18"/>
        <w:tblW w:w="9381" w:type="dxa"/>
        <w:jc w:val="center"/>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396"/>
        <w:gridCol w:w="441"/>
        <w:gridCol w:w="586"/>
        <w:gridCol w:w="456"/>
        <w:gridCol w:w="566"/>
        <w:gridCol w:w="531"/>
        <w:gridCol w:w="537"/>
        <w:gridCol w:w="441"/>
        <w:gridCol w:w="527"/>
        <w:gridCol w:w="441"/>
        <w:gridCol w:w="587"/>
        <w:gridCol w:w="486"/>
        <w:gridCol w:w="656"/>
        <w:gridCol w:w="441"/>
        <w:gridCol w:w="686"/>
        <w:gridCol w:w="516"/>
        <w:gridCol w:w="646"/>
        <w:gridCol w:w="441"/>
      </w:tblGrid>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96"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风向</w:t>
            </w:r>
          </w:p>
        </w:tc>
        <w:tc>
          <w:tcPr>
            <w:tcW w:w="441"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N</w:t>
            </w:r>
          </w:p>
        </w:tc>
        <w:tc>
          <w:tcPr>
            <w:tcW w:w="586"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NNE</w:t>
            </w:r>
          </w:p>
        </w:tc>
        <w:tc>
          <w:tcPr>
            <w:tcW w:w="456"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NE</w:t>
            </w:r>
          </w:p>
        </w:tc>
        <w:tc>
          <w:tcPr>
            <w:tcW w:w="566"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ENE</w:t>
            </w:r>
          </w:p>
        </w:tc>
        <w:tc>
          <w:tcPr>
            <w:tcW w:w="531"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E</w:t>
            </w:r>
          </w:p>
        </w:tc>
        <w:tc>
          <w:tcPr>
            <w:tcW w:w="537"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ESE</w:t>
            </w:r>
          </w:p>
        </w:tc>
        <w:tc>
          <w:tcPr>
            <w:tcW w:w="441"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SE</w:t>
            </w:r>
          </w:p>
        </w:tc>
        <w:tc>
          <w:tcPr>
            <w:tcW w:w="527"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SSE</w:t>
            </w:r>
          </w:p>
        </w:tc>
        <w:tc>
          <w:tcPr>
            <w:tcW w:w="441"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S</w:t>
            </w:r>
          </w:p>
        </w:tc>
        <w:tc>
          <w:tcPr>
            <w:tcW w:w="587"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SSW</w:t>
            </w:r>
          </w:p>
        </w:tc>
        <w:tc>
          <w:tcPr>
            <w:tcW w:w="486"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SW</w:t>
            </w:r>
          </w:p>
        </w:tc>
        <w:tc>
          <w:tcPr>
            <w:tcW w:w="656"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WSW</w:t>
            </w:r>
          </w:p>
        </w:tc>
        <w:tc>
          <w:tcPr>
            <w:tcW w:w="441"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W</w:t>
            </w:r>
          </w:p>
        </w:tc>
        <w:tc>
          <w:tcPr>
            <w:tcW w:w="686"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WNW</w:t>
            </w:r>
          </w:p>
        </w:tc>
        <w:tc>
          <w:tcPr>
            <w:tcW w:w="516"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NW</w:t>
            </w:r>
          </w:p>
        </w:tc>
        <w:tc>
          <w:tcPr>
            <w:tcW w:w="646"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NNW</w:t>
            </w:r>
          </w:p>
        </w:tc>
        <w:tc>
          <w:tcPr>
            <w:tcW w:w="441"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C</w:t>
            </w:r>
          </w:p>
        </w:tc>
      </w:tr>
      <w:tr>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96" w:type="dxa"/>
            <w:noWrap w:val="0"/>
            <w:vAlign w:val="center"/>
          </w:tcPr>
          <w:p>
            <w:pPr>
              <w:keepNext w:val="0"/>
              <w:keepLines w:val="0"/>
              <w:pageBreakBefore w:val="0"/>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频率</w:t>
            </w:r>
          </w:p>
        </w:tc>
        <w:tc>
          <w:tcPr>
            <w:tcW w:w="441"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4</w:t>
            </w:r>
          </w:p>
        </w:tc>
        <w:tc>
          <w:tcPr>
            <w:tcW w:w="586"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w:t>
            </w:r>
          </w:p>
        </w:tc>
        <w:tc>
          <w:tcPr>
            <w:tcW w:w="456"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w:t>
            </w:r>
          </w:p>
        </w:tc>
        <w:tc>
          <w:tcPr>
            <w:tcW w:w="566"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7</w:t>
            </w:r>
          </w:p>
        </w:tc>
        <w:tc>
          <w:tcPr>
            <w:tcW w:w="531"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12</w:t>
            </w:r>
          </w:p>
        </w:tc>
        <w:tc>
          <w:tcPr>
            <w:tcW w:w="537"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9</w:t>
            </w:r>
          </w:p>
        </w:tc>
        <w:tc>
          <w:tcPr>
            <w:tcW w:w="441"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3</w:t>
            </w:r>
          </w:p>
        </w:tc>
        <w:tc>
          <w:tcPr>
            <w:tcW w:w="527"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3</w:t>
            </w:r>
          </w:p>
        </w:tc>
        <w:tc>
          <w:tcPr>
            <w:tcW w:w="441"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w:t>
            </w:r>
          </w:p>
        </w:tc>
        <w:tc>
          <w:tcPr>
            <w:tcW w:w="587"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6</w:t>
            </w:r>
          </w:p>
        </w:tc>
        <w:tc>
          <w:tcPr>
            <w:tcW w:w="486"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8</w:t>
            </w:r>
          </w:p>
        </w:tc>
        <w:tc>
          <w:tcPr>
            <w:tcW w:w="656"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7</w:t>
            </w:r>
          </w:p>
        </w:tc>
        <w:tc>
          <w:tcPr>
            <w:tcW w:w="441"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9</w:t>
            </w:r>
          </w:p>
        </w:tc>
        <w:tc>
          <w:tcPr>
            <w:tcW w:w="686"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6</w:t>
            </w:r>
          </w:p>
        </w:tc>
        <w:tc>
          <w:tcPr>
            <w:tcW w:w="516"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4</w:t>
            </w:r>
          </w:p>
        </w:tc>
        <w:tc>
          <w:tcPr>
            <w:tcW w:w="646"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4</w:t>
            </w:r>
          </w:p>
        </w:tc>
        <w:tc>
          <w:tcPr>
            <w:tcW w:w="441" w:type="dxa"/>
            <w:noWrap w:val="0"/>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ascii="Times New Roman" w:hAnsi="Times New Roman" w:eastAsia="宋体"/>
                <w:sz w:val="21"/>
                <w:szCs w:val="21"/>
              </w:rPr>
            </w:pPr>
            <w:r>
              <w:rPr>
                <w:rFonts w:ascii="Times New Roman" w:hAnsi="Times New Roman" w:eastAsia="宋体"/>
                <w:sz w:val="21"/>
                <w:szCs w:val="21"/>
              </w:rPr>
              <w:t>5</w:t>
            </w:r>
          </w:p>
        </w:tc>
      </w:tr>
    </w:tbl>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szCs w:val="21"/>
        </w:rPr>
        <w:drawing>
          <wp:inline distT="0" distB="0" distL="114300" distR="114300">
            <wp:extent cx="2150745" cy="1952625"/>
            <wp:effectExtent l="0" t="0" r="1905" b="9525"/>
            <wp:docPr id="1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2"/>
                    <pic:cNvPicPr>
                      <a:picLocks noChangeAspect="1"/>
                    </pic:cNvPicPr>
                  </pic:nvPicPr>
                  <pic:blipFill>
                    <a:blip r:embed="rId113"/>
                    <a:stretch>
                      <a:fillRect/>
                    </a:stretch>
                  </pic:blipFill>
                  <pic:spPr>
                    <a:xfrm>
                      <a:off x="0" y="0"/>
                      <a:ext cx="2150745" cy="1952625"/>
                    </a:xfrm>
                    <a:prstGeom prst="rect">
                      <a:avLst/>
                    </a:prstGeom>
                    <a:noFill/>
                    <a:ln>
                      <a:noFill/>
                    </a:ln>
                  </pic:spPr>
                </pic:pic>
              </a:graphicData>
            </a:graphic>
          </wp:inline>
        </w:drawing>
      </w:r>
    </w:p>
    <w:p>
      <w:pPr>
        <w:spacing w:after="120" w:afterLines="50"/>
        <w:jc w:val="center"/>
        <w:rPr>
          <w:rFonts w:ascii="Times New Roman" w:hAnsi="Times New Roman" w:eastAsia="宋体"/>
          <w:b/>
          <w:bCs/>
          <w:sz w:val="24"/>
          <w:szCs w:val="24"/>
        </w:rPr>
      </w:pPr>
      <w:r>
        <w:rPr>
          <w:rFonts w:ascii="Times New Roman" w:hAnsi="Times New Roman" w:eastAsia="宋体"/>
          <w:b/>
          <w:bCs/>
          <w:sz w:val="24"/>
          <w:szCs w:val="24"/>
        </w:rPr>
        <w:t>图6.2-1 桓台市近20年（1999～2018年）风向频率玫瑰图</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b/>
          <w:bCs/>
          <w:color w:val="auto"/>
          <w:sz w:val="28"/>
          <w:szCs w:val="28"/>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b/>
          <w:bCs/>
          <w:color w:val="auto"/>
          <w:sz w:val="28"/>
          <w:szCs w:val="28"/>
        </w:rPr>
        <w:t xml:space="preserve"> </w:t>
      </w:r>
      <w:r>
        <w:rPr>
          <w:rFonts w:hint="eastAsia"/>
          <w:b/>
          <w:bCs/>
          <w:color w:val="auto"/>
          <w:sz w:val="28"/>
          <w:szCs w:val="28"/>
        </w:rPr>
        <w:t>评价等级及评价范围</w:t>
      </w:r>
    </w:p>
    <w:p>
      <w:pPr>
        <w:pStyle w:val="25"/>
        <w:ind w:firstLine="482"/>
        <w:jc w:val="both"/>
        <w:rPr>
          <w:rFonts w:cs="Times New Roman"/>
          <w:b w:val="0"/>
          <w:bCs w:val="0"/>
          <w:color w:val="auto"/>
          <w:szCs w:val="24"/>
        </w:rPr>
      </w:pPr>
      <w:r>
        <w:rPr>
          <w:rFonts w:cs="Times New Roman"/>
          <w:b w:val="0"/>
          <w:bCs w:val="0"/>
          <w:color w:val="auto"/>
          <w:szCs w:val="24"/>
        </w:rPr>
        <w:t>1、评价等级判定</w:t>
      </w:r>
    </w:p>
    <w:p>
      <w:pPr>
        <w:pStyle w:val="25"/>
        <w:jc w:val="both"/>
        <w:rPr>
          <w:rFonts w:ascii="Times New Roman" w:hAnsi="Times New Roman" w:cs="Times New Roman"/>
          <w:color w:val="auto"/>
          <w:sz w:val="24"/>
          <w:szCs w:val="24"/>
        </w:rPr>
      </w:pPr>
      <w:r>
        <w:rPr>
          <w:rFonts w:ascii="Times New Roman" w:hAnsi="Times New Roman" w:cs="Times New Roman"/>
          <w:color w:val="auto"/>
          <w:sz w:val="24"/>
          <w:szCs w:val="24"/>
        </w:rPr>
        <w:t>（1）评价工作分级方法</w:t>
      </w:r>
    </w:p>
    <w:p>
      <w:pPr>
        <w:pStyle w:val="25"/>
        <w:jc w:val="both"/>
        <w:rPr>
          <w:rFonts w:ascii="Times New Roman" w:hAnsi="Times New Roman" w:cs="Times New Roman"/>
          <w:color w:val="auto"/>
          <w:sz w:val="24"/>
          <w:szCs w:val="24"/>
        </w:rPr>
      </w:pPr>
      <w:r>
        <w:rPr>
          <w:rFonts w:ascii="Times New Roman" w:hAnsi="Times New Roman" w:cs="Times New Roman"/>
          <w:color w:val="auto"/>
          <w:sz w:val="24"/>
          <w:szCs w:val="24"/>
        </w:rPr>
        <w:t>根据《环境影响评价技术导则 大气环境》（HJ2.2-2018）评价工作等级划分方案，选择项目污染源正常排放的主要污染物及排放系数，采用附录A推荐模型中估算模型分别计算项目污染源的最大环境影响，再评价工作分级判据进行分级。</w:t>
      </w:r>
    </w:p>
    <w:p>
      <w:pPr>
        <w:pStyle w:val="25"/>
        <w:jc w:val="both"/>
        <w:rPr>
          <w:rFonts w:ascii="Times New Roman" w:hAnsi="Times New Roman" w:cs="Times New Roman"/>
          <w:color w:val="auto"/>
          <w:sz w:val="24"/>
          <w:szCs w:val="24"/>
        </w:rPr>
      </w:pPr>
      <w:r>
        <w:rPr>
          <w:rFonts w:ascii="Times New Roman" w:hAnsi="Times New Roman" w:cs="Times New Roman"/>
          <w:color w:val="auto"/>
          <w:sz w:val="24"/>
          <w:szCs w:val="24"/>
        </w:rPr>
        <w:t>根据项目污染源初步调查结果，分别计算项目排放主要污染物的最大地面空气质量浓度占标率P</w:t>
      </w:r>
      <w:r>
        <w:rPr>
          <w:rFonts w:ascii="Times New Roman" w:hAnsi="Times New Roman" w:cs="Times New Roman"/>
          <w:color w:val="auto"/>
          <w:sz w:val="24"/>
          <w:szCs w:val="24"/>
          <w:vertAlign w:val="subscript"/>
        </w:rPr>
        <w:t>i</w:t>
      </w:r>
      <w:r>
        <w:rPr>
          <w:rFonts w:ascii="Times New Roman" w:hAnsi="Times New Roman" w:cs="Times New Roman"/>
          <w:color w:val="auto"/>
          <w:sz w:val="24"/>
          <w:szCs w:val="24"/>
        </w:rPr>
        <w:t>及第i个污染物的地面空气质量浓度达到标准值的10%时所对应的最远距离D</w:t>
      </w:r>
      <w:r>
        <w:rPr>
          <w:rFonts w:ascii="Times New Roman" w:hAnsi="Times New Roman" w:cs="Times New Roman"/>
          <w:color w:val="auto"/>
          <w:sz w:val="24"/>
          <w:szCs w:val="24"/>
          <w:vertAlign w:val="subscript"/>
        </w:rPr>
        <w:t>10%</w:t>
      </w:r>
      <w:r>
        <w:rPr>
          <w:rFonts w:ascii="Times New Roman" w:hAnsi="Times New Roman" w:cs="Times New Roman"/>
          <w:color w:val="auto"/>
          <w:sz w:val="24"/>
          <w:szCs w:val="24"/>
        </w:rPr>
        <w:t>。</w:t>
      </w:r>
    </w:p>
    <w:p>
      <w:pPr>
        <w:pStyle w:val="25"/>
        <w:ind w:firstLine="0" w:firstLineChars="0"/>
        <w:jc w:val="center"/>
        <w:rPr>
          <w:rFonts w:ascii="Times New Roman" w:hAnsi="Times New Roman" w:cs="Times New Roman"/>
          <w:color w:val="auto"/>
          <w:sz w:val="24"/>
          <w:szCs w:val="24"/>
        </w:rPr>
      </w:pPr>
      <w:r>
        <w:rPr>
          <w:rFonts w:ascii="Times New Roman" w:hAnsi="Times New Roman" w:cs="Times New Roman"/>
          <w:color w:val="auto"/>
          <w:position w:val="-30"/>
          <w:sz w:val="24"/>
          <w:szCs w:val="24"/>
        </w:rPr>
        <w:object>
          <v:shape id="_x0000_i1032" o:spt="75" type="#_x0000_t75" style="height:38.05pt;width:87.3pt;" o:ole="t" filled="f" o:preferrelative="t" stroked="f" coordsize="21600,21600">
            <v:path/>
            <v:fill on="f" focussize="0,0"/>
            <v:stroke on="f"/>
            <v:imagedata r:id="rId115" o:title=""/>
            <o:lock v:ext="edit" aspectratio="t"/>
            <w10:wrap type="none"/>
            <w10:anchorlock/>
          </v:shape>
          <o:OLEObject Type="Embed" ProgID="Equation.KSEE3" ShapeID="_x0000_i1032" DrawAspect="Content" ObjectID="_1468075732" r:id="rId114">
            <o:LockedField>false</o:LockedField>
          </o:OLEObject>
        </w:object>
      </w:r>
    </w:p>
    <w:p>
      <w:pPr>
        <w:pStyle w:val="25"/>
        <w:rPr>
          <w:rFonts w:ascii="Times New Roman" w:hAnsi="Times New Roman" w:cs="Times New Roman"/>
          <w:color w:val="auto"/>
          <w:sz w:val="24"/>
          <w:szCs w:val="24"/>
        </w:rPr>
      </w:pPr>
      <w:r>
        <w:rPr>
          <w:rFonts w:ascii="Times New Roman" w:hAnsi="Times New Roman" w:cs="Times New Roman"/>
          <w:color w:val="auto"/>
          <w:sz w:val="24"/>
          <w:szCs w:val="24"/>
        </w:rPr>
        <w:t>式中：P</w:t>
      </w:r>
      <w:r>
        <w:rPr>
          <w:rFonts w:ascii="Times New Roman" w:hAnsi="Times New Roman" w:cs="Times New Roman"/>
          <w:color w:val="auto"/>
          <w:sz w:val="24"/>
          <w:szCs w:val="24"/>
          <w:vertAlign w:val="subscript"/>
        </w:rPr>
        <w:t>i</w:t>
      </w:r>
      <w:r>
        <w:rPr>
          <w:rFonts w:ascii="Times New Roman" w:hAnsi="Times New Roman" w:cs="Times New Roman"/>
          <w:color w:val="auto"/>
          <w:sz w:val="24"/>
          <w:szCs w:val="24"/>
        </w:rPr>
        <w:t>—第i个污染物的最大地面空气质量浓度占标率，%；</w:t>
      </w:r>
    </w:p>
    <w:p>
      <w:pPr>
        <w:pStyle w:val="25"/>
        <w:ind w:firstLine="1200" w:firstLineChars="500"/>
        <w:rPr>
          <w:rFonts w:ascii="Times New Roman" w:hAnsi="Times New Roman" w:cs="Times New Roman"/>
          <w:color w:val="auto"/>
          <w:sz w:val="24"/>
          <w:szCs w:val="24"/>
        </w:rPr>
      </w:pPr>
      <w:r>
        <w:rPr>
          <w:rFonts w:ascii="Times New Roman" w:hAnsi="Times New Roman" w:cs="Times New Roman"/>
          <w:color w:val="auto"/>
          <w:sz w:val="24"/>
          <w:szCs w:val="24"/>
        </w:rPr>
        <w:t>C</w:t>
      </w:r>
      <w:r>
        <w:rPr>
          <w:rFonts w:ascii="Times New Roman" w:hAnsi="Times New Roman" w:cs="Times New Roman"/>
          <w:color w:val="auto"/>
          <w:sz w:val="24"/>
          <w:szCs w:val="24"/>
          <w:vertAlign w:val="subscript"/>
        </w:rPr>
        <w:t>i</w:t>
      </w:r>
      <w:r>
        <w:rPr>
          <w:rFonts w:ascii="Times New Roman" w:hAnsi="Times New Roman" w:cs="Times New Roman"/>
          <w:color w:val="auto"/>
          <w:sz w:val="24"/>
          <w:szCs w:val="24"/>
        </w:rPr>
        <w:t>—采用估算模型计算出的第i个污染物的最大1h地面空气质量浓度，μg/m</w:t>
      </w:r>
      <w:r>
        <w:rPr>
          <w:rFonts w:ascii="Times New Roman" w:hAnsi="Times New Roman" w:cs="Times New Roman"/>
          <w:color w:val="auto"/>
          <w:sz w:val="24"/>
          <w:szCs w:val="24"/>
          <w:vertAlign w:val="superscript"/>
        </w:rPr>
        <w:t>3</w:t>
      </w:r>
      <w:r>
        <w:rPr>
          <w:rFonts w:ascii="Times New Roman" w:hAnsi="Times New Roman" w:cs="Times New Roman"/>
          <w:color w:val="auto"/>
          <w:sz w:val="24"/>
          <w:szCs w:val="24"/>
        </w:rPr>
        <w:t>；</w:t>
      </w:r>
    </w:p>
    <w:p>
      <w:pPr>
        <w:pStyle w:val="25"/>
        <w:ind w:firstLine="1200" w:firstLineChars="500"/>
        <w:jc w:val="both"/>
        <w:rPr>
          <w:rFonts w:ascii="Times New Roman" w:hAnsi="Times New Roman" w:cs="Times New Roman"/>
          <w:color w:val="auto"/>
          <w:sz w:val="24"/>
          <w:szCs w:val="24"/>
        </w:rPr>
      </w:pPr>
      <w:r>
        <w:rPr>
          <w:rFonts w:ascii="Times New Roman" w:hAnsi="Times New Roman" w:cs="Times New Roman"/>
          <w:color w:val="auto"/>
          <w:sz w:val="24"/>
          <w:szCs w:val="24"/>
        </w:rPr>
        <w:t>C</w:t>
      </w:r>
      <w:r>
        <w:rPr>
          <w:rFonts w:ascii="Times New Roman" w:hAnsi="Times New Roman" w:cs="Times New Roman"/>
          <w:color w:val="auto"/>
          <w:sz w:val="24"/>
          <w:szCs w:val="24"/>
          <w:vertAlign w:val="subscript"/>
        </w:rPr>
        <w:t>0i</w:t>
      </w:r>
      <w:r>
        <w:rPr>
          <w:rFonts w:ascii="Times New Roman" w:hAnsi="Times New Roman" w:cs="Times New Roman"/>
          <w:color w:val="auto"/>
          <w:sz w:val="24"/>
          <w:szCs w:val="24"/>
        </w:rPr>
        <w:t>—第i个污染物的环境空气质量浓度标准，μg/m</w:t>
      </w:r>
      <w:r>
        <w:rPr>
          <w:rFonts w:ascii="Times New Roman" w:hAnsi="Times New Roman" w:cs="Times New Roman"/>
          <w:color w:val="auto"/>
          <w:sz w:val="24"/>
          <w:szCs w:val="24"/>
          <w:vertAlign w:val="superscript"/>
        </w:rPr>
        <w:t>3</w:t>
      </w:r>
      <w:r>
        <w:rPr>
          <w:rFonts w:ascii="Times New Roman" w:hAnsi="Times New Roman" w:cs="Times New Roman"/>
          <w:color w:val="auto"/>
          <w:sz w:val="24"/>
          <w:szCs w:val="24"/>
        </w:rPr>
        <w:t>。</w:t>
      </w:r>
      <w:r>
        <w:rPr>
          <w:rFonts w:ascii="Times New Roman" w:hAnsi="Times New Roman" w:cs="Times New Roman"/>
          <w:color w:val="auto"/>
          <w:kern w:val="0"/>
          <w:sz w:val="24"/>
        </w:rPr>
        <w:t>一般选用GB3095中1h平均质量浓度的二级浓度限值；对仅有8h平均质量浓度限值、日平均质量浓度限值或年平均质量浓度限值的，可分别按2倍、3倍、6倍折算为1h平均质量浓度限值。</w:t>
      </w:r>
    </w:p>
    <w:p>
      <w:pPr>
        <w:pStyle w:val="25"/>
        <w:jc w:val="both"/>
        <w:rPr>
          <w:rFonts w:ascii="Times New Roman" w:hAnsi="Times New Roman" w:eastAsia="宋体" w:cs="Times New Roman"/>
          <w:color w:val="auto"/>
          <w:szCs w:val="24"/>
        </w:rPr>
      </w:pPr>
      <w:r>
        <w:rPr>
          <w:rFonts w:ascii="Times New Roman" w:hAnsi="Times New Roman" w:eastAsia="宋体" w:cs="Times New Roman"/>
          <w:color w:val="auto"/>
          <w:szCs w:val="24"/>
        </w:rPr>
        <w:t>（2）评价标准确定</w:t>
      </w:r>
    </w:p>
    <w:p>
      <w:pPr>
        <w:pStyle w:val="25"/>
        <w:jc w:val="both"/>
        <w:rPr>
          <w:rFonts w:ascii="Times New Roman" w:hAnsi="Times New Roman" w:eastAsia="宋体" w:cs="Times New Roman"/>
          <w:color w:val="auto"/>
          <w:szCs w:val="24"/>
        </w:rPr>
      </w:pPr>
      <w:r>
        <w:rPr>
          <w:rFonts w:ascii="Times New Roman" w:hAnsi="Times New Roman" w:eastAsia="宋体" w:cs="Times New Roman"/>
          <w:color w:val="auto"/>
          <w:szCs w:val="24"/>
        </w:rPr>
        <w:t>环境空气评价标准见表</w:t>
      </w:r>
      <w:r>
        <w:rPr>
          <w:rFonts w:hint="eastAsia" w:ascii="Times New Roman" w:hAnsi="Times New Roman" w:eastAsia="宋体" w:cs="Times New Roman"/>
          <w:color w:val="auto"/>
          <w:szCs w:val="24"/>
          <w:lang w:val="en-US" w:eastAsia="zh-CN"/>
        </w:rPr>
        <w:t>6.2</w:t>
      </w:r>
      <w:r>
        <w:rPr>
          <w:rFonts w:ascii="Times New Roman" w:hAnsi="Times New Roman" w:eastAsia="宋体" w:cs="Times New Roman"/>
          <w:color w:val="auto"/>
          <w:szCs w:val="24"/>
        </w:rPr>
        <w:t>-</w:t>
      </w:r>
      <w:r>
        <w:rPr>
          <w:rFonts w:hint="eastAsia" w:ascii="Times New Roman" w:hAnsi="Times New Roman" w:eastAsia="宋体" w:cs="Times New Roman"/>
          <w:color w:val="auto"/>
          <w:szCs w:val="24"/>
          <w:lang w:val="en-US" w:eastAsia="zh-CN"/>
        </w:rPr>
        <w:t>3</w:t>
      </w:r>
      <w:r>
        <w:rPr>
          <w:rFonts w:ascii="Times New Roman" w:hAnsi="Times New Roman" w:eastAsia="宋体" w:cs="Times New Roman"/>
          <w:color w:val="auto"/>
          <w:szCs w:val="24"/>
        </w:rPr>
        <w:t>。</w:t>
      </w:r>
    </w:p>
    <w:p>
      <w:pPr>
        <w:pStyle w:val="25"/>
        <w:jc w:val="center"/>
        <w:rPr>
          <w:rFonts w:ascii="Times New Roman" w:hAnsi="Times New Roman" w:eastAsia="宋体" w:cs="Times New Roman"/>
          <w:color w:val="auto"/>
          <w:szCs w:val="24"/>
        </w:rPr>
      </w:pPr>
      <w:r>
        <w:rPr>
          <w:rFonts w:ascii="Times New Roman" w:hAnsi="Times New Roman" w:eastAsia="宋体" w:cs="Times New Roman"/>
          <w:b/>
          <w:bCs/>
          <w:color w:val="auto"/>
          <w:szCs w:val="24"/>
        </w:rPr>
        <w:t>表</w:t>
      </w:r>
      <w:r>
        <w:rPr>
          <w:rFonts w:hint="eastAsia" w:ascii="Times New Roman" w:hAnsi="Times New Roman" w:eastAsia="宋体" w:cs="Times New Roman"/>
          <w:b/>
          <w:bCs/>
          <w:color w:val="auto"/>
          <w:szCs w:val="24"/>
          <w:lang w:val="en-US" w:eastAsia="zh-CN"/>
        </w:rPr>
        <w:t>6</w:t>
      </w:r>
      <w:r>
        <w:rPr>
          <w:rFonts w:ascii="Times New Roman" w:hAnsi="Times New Roman" w:eastAsia="宋体" w:cs="Times New Roman"/>
          <w:b/>
          <w:bCs/>
          <w:color w:val="auto"/>
          <w:szCs w:val="24"/>
        </w:rPr>
        <w:t>.</w:t>
      </w:r>
      <w:r>
        <w:rPr>
          <w:rFonts w:hint="eastAsia" w:ascii="Times New Roman" w:hAnsi="Times New Roman" w:eastAsia="宋体" w:cs="Times New Roman"/>
          <w:b/>
          <w:bCs/>
          <w:color w:val="auto"/>
          <w:szCs w:val="24"/>
          <w:lang w:val="en-US" w:eastAsia="zh-CN"/>
        </w:rPr>
        <w:t>2</w:t>
      </w:r>
      <w:r>
        <w:rPr>
          <w:rFonts w:ascii="Times New Roman" w:hAnsi="Times New Roman" w:eastAsia="宋体" w:cs="Times New Roman"/>
          <w:b/>
          <w:bCs/>
          <w:color w:val="auto"/>
          <w:szCs w:val="24"/>
        </w:rPr>
        <w:t>-</w:t>
      </w:r>
      <w:r>
        <w:rPr>
          <w:rFonts w:hint="eastAsia" w:ascii="Times New Roman" w:hAnsi="Times New Roman" w:eastAsia="宋体" w:cs="Times New Roman"/>
          <w:b/>
          <w:bCs/>
          <w:color w:val="auto"/>
          <w:szCs w:val="24"/>
          <w:lang w:val="en-US" w:eastAsia="zh-CN"/>
        </w:rPr>
        <w:t>3</w:t>
      </w:r>
      <w:r>
        <w:rPr>
          <w:rFonts w:ascii="Times New Roman" w:hAnsi="Times New Roman" w:eastAsia="宋体" w:cs="Times New Roman"/>
          <w:b/>
          <w:bCs/>
          <w:color w:val="auto"/>
          <w:szCs w:val="24"/>
        </w:rPr>
        <w:t xml:space="preserve">  </w:t>
      </w:r>
      <w:r>
        <w:rPr>
          <w:rFonts w:hint="eastAsia" w:ascii="Times New Roman" w:hAnsi="Times New Roman" w:eastAsia="宋体" w:cs="Times New Roman"/>
          <w:b/>
          <w:bCs/>
          <w:color w:val="auto"/>
          <w:szCs w:val="24"/>
        </w:rPr>
        <w:t>评价因子和评价标准表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8"/>
        <w:gridCol w:w="2615"/>
        <w:gridCol w:w="1105"/>
        <w:gridCol w:w="3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1398"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评价因子</w:t>
            </w:r>
          </w:p>
        </w:tc>
        <w:tc>
          <w:tcPr>
            <w:tcW w:w="261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平均时段</w:t>
            </w:r>
          </w:p>
        </w:tc>
        <w:tc>
          <w:tcPr>
            <w:tcW w:w="110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标准值（</w:t>
            </w:r>
            <w:r>
              <w:rPr>
                <w:rFonts w:hint="default" w:ascii="Times New Roman" w:hAnsi="Times New Roman" w:eastAsia="宋体" w:cs="Times New Roman"/>
                <w:color w:val="auto"/>
                <w:sz w:val="21"/>
                <w:szCs w:val="21"/>
                <w:vertAlign w:val="baseline"/>
                <w:lang w:val="en-US" w:eastAsia="zh-CN"/>
              </w:rPr>
              <w:t>μ</w:t>
            </w:r>
            <w:r>
              <w:rPr>
                <w:rFonts w:hint="eastAsia" w:ascii="Times New Roman" w:hAnsi="Times New Roman" w:eastAsia="宋体" w:cs="Times New Roman"/>
                <w:color w:val="auto"/>
                <w:sz w:val="21"/>
                <w:szCs w:val="21"/>
                <w:vertAlign w:val="baseline"/>
                <w:lang w:val="en-US" w:eastAsia="zh-CN"/>
              </w:rPr>
              <w:t>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w:t>
            </w:r>
          </w:p>
        </w:tc>
        <w:tc>
          <w:tcPr>
            <w:tcW w:w="3047"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1398"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SO</w:t>
            </w:r>
            <w:r>
              <w:rPr>
                <w:rFonts w:hint="eastAsia" w:ascii="Times New Roman" w:hAnsi="Times New Roman" w:eastAsia="宋体" w:cs="Times New Roman"/>
                <w:color w:val="auto"/>
                <w:sz w:val="21"/>
                <w:szCs w:val="21"/>
                <w:vertAlign w:val="subscript"/>
                <w:lang w:val="en-US" w:eastAsia="zh-CN"/>
              </w:rPr>
              <w:t>2</w:t>
            </w:r>
          </w:p>
        </w:tc>
        <w:tc>
          <w:tcPr>
            <w:tcW w:w="261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1h平均质量浓度</w:t>
            </w:r>
          </w:p>
        </w:tc>
        <w:tc>
          <w:tcPr>
            <w:tcW w:w="110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w:t>
            </w:r>
            <w:r>
              <w:rPr>
                <w:rFonts w:hint="eastAsia" w:ascii="Times New Roman" w:hAnsi="Times New Roman" w:eastAsia="宋体" w:cs="Times New Roman"/>
                <w:color w:val="auto"/>
                <w:sz w:val="21"/>
                <w:szCs w:val="21"/>
                <w:vertAlign w:val="baseline"/>
                <w:lang w:val="en-US" w:eastAsia="zh-CN"/>
              </w:rPr>
              <w:t>00</w:t>
            </w:r>
          </w:p>
        </w:tc>
        <w:tc>
          <w:tcPr>
            <w:tcW w:w="30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398"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NO</w:t>
            </w:r>
            <w:r>
              <w:rPr>
                <w:rFonts w:hint="eastAsia" w:ascii="Times New Roman" w:hAnsi="Times New Roman" w:eastAsia="宋体" w:cs="Times New Roman"/>
                <w:color w:val="auto"/>
                <w:sz w:val="21"/>
                <w:szCs w:val="21"/>
                <w:vertAlign w:val="subscript"/>
                <w:lang w:val="en-US" w:eastAsia="zh-CN"/>
              </w:rPr>
              <w:t>2</w:t>
            </w:r>
          </w:p>
        </w:tc>
        <w:tc>
          <w:tcPr>
            <w:tcW w:w="261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1h平均质量浓度</w:t>
            </w:r>
          </w:p>
        </w:tc>
        <w:tc>
          <w:tcPr>
            <w:tcW w:w="110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200</w:t>
            </w:r>
          </w:p>
        </w:tc>
        <w:tc>
          <w:tcPr>
            <w:tcW w:w="30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highlight w:val="none"/>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398"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TSP</w:t>
            </w:r>
          </w:p>
        </w:tc>
        <w:tc>
          <w:tcPr>
            <w:tcW w:w="261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24h平均质量浓度的3倍</w:t>
            </w:r>
          </w:p>
        </w:tc>
        <w:tc>
          <w:tcPr>
            <w:tcW w:w="110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900</w:t>
            </w:r>
          </w:p>
        </w:tc>
        <w:tc>
          <w:tcPr>
            <w:tcW w:w="3047"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398"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VOCs（非甲烷总烃）</w:t>
            </w:r>
          </w:p>
        </w:tc>
        <w:tc>
          <w:tcPr>
            <w:tcW w:w="261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color w:val="auto"/>
                <w:sz w:val="21"/>
                <w:szCs w:val="21"/>
                <w:vertAlign w:val="baseline"/>
                <w:lang w:val="en-US" w:eastAsia="zh-CN"/>
              </w:rPr>
              <w:t>1h平均质量浓度</w:t>
            </w:r>
          </w:p>
        </w:tc>
        <w:tc>
          <w:tcPr>
            <w:tcW w:w="110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2000</w:t>
            </w:r>
          </w:p>
        </w:tc>
        <w:tc>
          <w:tcPr>
            <w:tcW w:w="3047"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0"/>
                <w:sz w:val="21"/>
                <w:szCs w:val="21"/>
                <w:highlight w:val="none"/>
                <w:lang w:eastAsia="zh-CN"/>
              </w:rPr>
              <w:t>《</w:t>
            </w:r>
            <w:r>
              <w:rPr>
                <w:rFonts w:hint="eastAsia" w:ascii="Times New Roman" w:hAnsi="Times New Roman" w:eastAsia="宋体" w:cs="Times New Roman"/>
                <w:color w:val="auto"/>
                <w:kern w:val="0"/>
                <w:sz w:val="21"/>
                <w:szCs w:val="21"/>
                <w:highlight w:val="none"/>
                <w:lang w:val="en-US" w:eastAsia="zh-CN"/>
              </w:rPr>
              <w:t>大气污染物综合排放标准详解</w:t>
            </w:r>
            <w:r>
              <w:rPr>
                <w:rFonts w:hint="eastAsia" w:ascii="Times New Roman" w:hAnsi="Times New Roman" w:eastAsia="宋体" w:cs="Times New Roman"/>
                <w:color w:val="auto"/>
                <w:kern w:val="0"/>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398"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异丙醇</w:t>
            </w:r>
          </w:p>
        </w:tc>
        <w:tc>
          <w:tcPr>
            <w:tcW w:w="261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color w:val="auto"/>
                <w:sz w:val="21"/>
                <w:szCs w:val="21"/>
                <w:vertAlign w:val="baseline"/>
                <w:lang w:val="en-US" w:eastAsia="zh-CN"/>
              </w:rPr>
              <w:t>1h平均质量浓度</w:t>
            </w:r>
          </w:p>
        </w:tc>
        <w:tc>
          <w:tcPr>
            <w:tcW w:w="1105"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600</w:t>
            </w:r>
          </w:p>
        </w:tc>
        <w:tc>
          <w:tcPr>
            <w:tcW w:w="3047"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r>
              <w:rPr>
                <w:color w:val="auto"/>
                <w:kern w:val="0"/>
                <w:szCs w:val="21"/>
              </w:rPr>
              <w:t>前苏联居民区大气中有害物质的最大允许浓度（CH 245-71）</w:t>
            </w:r>
          </w:p>
        </w:tc>
      </w:tr>
    </w:tbl>
    <w:p>
      <w:pPr>
        <w:pStyle w:val="25"/>
        <w:jc w:val="both"/>
        <w:rPr>
          <w:rFonts w:ascii="Times New Roman" w:hAnsi="Times New Roman" w:eastAsia="宋体" w:cs="Times New Roman"/>
          <w:color w:val="auto"/>
          <w:szCs w:val="24"/>
        </w:rPr>
      </w:pPr>
      <w:r>
        <w:rPr>
          <w:rFonts w:ascii="Times New Roman" w:hAnsi="Times New Roman" w:eastAsia="宋体" w:cs="Times New Roman"/>
          <w:color w:val="auto"/>
          <w:szCs w:val="24"/>
        </w:rPr>
        <w:t>（3）估算模型参数</w:t>
      </w:r>
    </w:p>
    <w:p>
      <w:pPr>
        <w:pStyle w:val="25"/>
        <w:jc w:val="both"/>
        <w:rPr>
          <w:rFonts w:ascii="Times New Roman" w:hAnsi="Times New Roman" w:eastAsia="宋体" w:cs="Times New Roman"/>
          <w:color w:val="auto"/>
          <w:szCs w:val="24"/>
        </w:rPr>
      </w:pPr>
      <w:r>
        <w:rPr>
          <w:rFonts w:ascii="Times New Roman" w:hAnsi="Times New Roman" w:eastAsia="宋体" w:cs="Times New Roman"/>
          <w:color w:val="auto"/>
          <w:szCs w:val="24"/>
        </w:rPr>
        <w:t>根据《环境影响评价技术导则 大气环境》（HJ2.2-2018），采用AerScreen估算模型进行计算，估算模型参数见表</w:t>
      </w:r>
      <w:r>
        <w:rPr>
          <w:rFonts w:hint="eastAsia" w:ascii="Times New Roman" w:hAnsi="Times New Roman" w:eastAsia="宋体" w:cs="Times New Roman"/>
          <w:color w:val="auto"/>
          <w:szCs w:val="24"/>
          <w:lang w:val="en-US" w:eastAsia="zh-CN"/>
        </w:rPr>
        <w:t>6</w:t>
      </w:r>
      <w:r>
        <w:rPr>
          <w:rFonts w:ascii="Times New Roman" w:hAnsi="Times New Roman" w:eastAsia="宋体" w:cs="Times New Roman"/>
          <w:color w:val="auto"/>
          <w:szCs w:val="24"/>
        </w:rPr>
        <w:t>.2-</w:t>
      </w:r>
      <w:r>
        <w:rPr>
          <w:rFonts w:hint="eastAsia" w:ascii="Times New Roman" w:hAnsi="Times New Roman" w:eastAsia="宋体" w:cs="Times New Roman"/>
          <w:color w:val="auto"/>
          <w:szCs w:val="24"/>
          <w:lang w:val="en-US" w:eastAsia="zh-CN"/>
        </w:rPr>
        <w:t>4</w:t>
      </w:r>
      <w:r>
        <w:rPr>
          <w:rFonts w:ascii="Times New Roman" w:hAnsi="Times New Roman" w:eastAsia="宋体" w:cs="Times New Roman"/>
          <w:color w:val="auto"/>
          <w:szCs w:val="24"/>
        </w:rPr>
        <w:t>。</w:t>
      </w:r>
    </w:p>
    <w:p>
      <w:pPr>
        <w:pStyle w:val="25"/>
        <w:ind w:firstLine="0" w:firstLineChars="0"/>
        <w:jc w:val="center"/>
        <w:rPr>
          <w:rFonts w:ascii="Times New Roman" w:hAnsi="Times New Roman" w:eastAsia="宋体" w:cs="Times New Roman"/>
          <w:b/>
          <w:bCs/>
          <w:color w:val="auto"/>
          <w:szCs w:val="24"/>
        </w:rPr>
      </w:pPr>
      <w:r>
        <w:rPr>
          <w:rFonts w:ascii="Times New Roman" w:hAnsi="Times New Roman" w:eastAsia="宋体" w:cs="Times New Roman"/>
          <w:b/>
          <w:bCs/>
          <w:color w:val="auto"/>
          <w:szCs w:val="24"/>
        </w:rPr>
        <w:t>表</w:t>
      </w:r>
      <w:r>
        <w:rPr>
          <w:rFonts w:hint="eastAsia" w:ascii="Times New Roman" w:hAnsi="Times New Roman" w:eastAsia="宋体" w:cs="Times New Roman"/>
          <w:b/>
          <w:bCs/>
          <w:color w:val="auto"/>
          <w:szCs w:val="24"/>
          <w:lang w:val="en-US" w:eastAsia="zh-CN"/>
        </w:rPr>
        <w:t>6</w:t>
      </w:r>
      <w:r>
        <w:rPr>
          <w:rFonts w:ascii="Times New Roman" w:hAnsi="Times New Roman" w:eastAsia="宋体" w:cs="Times New Roman"/>
          <w:b/>
          <w:bCs/>
          <w:color w:val="auto"/>
          <w:szCs w:val="24"/>
        </w:rPr>
        <w:t>.</w:t>
      </w:r>
      <w:r>
        <w:rPr>
          <w:rFonts w:hint="eastAsia" w:ascii="Times New Roman" w:hAnsi="Times New Roman" w:eastAsia="宋体" w:cs="Times New Roman"/>
          <w:b/>
          <w:bCs/>
          <w:color w:val="auto"/>
          <w:szCs w:val="24"/>
          <w:lang w:val="en-US" w:eastAsia="zh-CN"/>
        </w:rPr>
        <w:t>2</w:t>
      </w:r>
      <w:r>
        <w:rPr>
          <w:rFonts w:ascii="Times New Roman" w:hAnsi="Times New Roman" w:eastAsia="宋体" w:cs="Times New Roman"/>
          <w:b/>
          <w:bCs/>
          <w:color w:val="auto"/>
          <w:szCs w:val="24"/>
        </w:rPr>
        <w:t>-</w:t>
      </w:r>
      <w:r>
        <w:rPr>
          <w:rFonts w:hint="eastAsia" w:ascii="Times New Roman" w:hAnsi="Times New Roman" w:eastAsia="宋体" w:cs="Times New Roman"/>
          <w:b/>
          <w:bCs/>
          <w:color w:val="auto"/>
          <w:szCs w:val="24"/>
          <w:lang w:val="en-US" w:eastAsia="zh-CN"/>
        </w:rPr>
        <w:t>4</w:t>
      </w:r>
      <w:r>
        <w:rPr>
          <w:rFonts w:ascii="Times New Roman" w:hAnsi="Times New Roman" w:eastAsia="宋体" w:cs="Times New Roman"/>
          <w:b/>
          <w:bCs/>
          <w:color w:val="auto"/>
          <w:szCs w:val="24"/>
        </w:rPr>
        <w:t xml:space="preserve">  大气环境影响评价估算模型参数</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9"/>
        <w:gridCol w:w="3196"/>
        <w:gridCol w:w="3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4645" w:type="dxa"/>
            <w:gridSpan w:val="2"/>
            <w:noWrap w:val="0"/>
            <w:vAlign w:val="center"/>
          </w:tcPr>
          <w:p>
            <w:pPr>
              <w:pStyle w:val="25"/>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参数</w:t>
            </w:r>
          </w:p>
        </w:tc>
        <w:tc>
          <w:tcPr>
            <w:tcW w:w="3322" w:type="dxa"/>
            <w:noWrap w:val="0"/>
            <w:vAlign w:val="center"/>
          </w:tcPr>
          <w:p>
            <w:pPr>
              <w:pStyle w:val="25"/>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449" w:type="dxa"/>
            <w:vMerge w:val="restart"/>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城市/农村选项</w:t>
            </w:r>
          </w:p>
        </w:tc>
        <w:tc>
          <w:tcPr>
            <w:tcW w:w="3196"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城市/农村</w:t>
            </w:r>
          </w:p>
        </w:tc>
        <w:tc>
          <w:tcPr>
            <w:tcW w:w="3322"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449" w:type="dxa"/>
            <w:vMerge w:val="continue"/>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p>
        </w:tc>
        <w:tc>
          <w:tcPr>
            <w:tcW w:w="3196"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人口数（城市选项时）</w:t>
            </w:r>
          </w:p>
        </w:tc>
        <w:tc>
          <w:tcPr>
            <w:tcW w:w="3322"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4645" w:type="dxa"/>
            <w:gridSpan w:val="2"/>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最高环境温度/℃</w:t>
            </w:r>
          </w:p>
        </w:tc>
        <w:tc>
          <w:tcPr>
            <w:tcW w:w="3322" w:type="dxa"/>
            <w:noWrap w:val="0"/>
            <w:vAlign w:val="center"/>
          </w:tcPr>
          <w:p>
            <w:pPr>
              <w:pStyle w:val="25"/>
              <w:spacing w:line="240" w:lineRule="auto"/>
              <w:ind w:firstLine="0" w:firstLineChars="0"/>
              <w:jc w:val="center"/>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40.</w:t>
            </w:r>
            <w:r>
              <w:rPr>
                <w:rFonts w:hint="eastAsia" w:ascii="Times New Roman" w:hAnsi="Times New Roman" w:eastAsia="宋体" w:cs="Times New Roman"/>
                <w:color w:val="auto"/>
                <w:sz w:val="21"/>
                <w:szCs w:val="21"/>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4645" w:type="dxa"/>
            <w:gridSpan w:val="2"/>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最低环境温度/℃</w:t>
            </w:r>
          </w:p>
        </w:tc>
        <w:tc>
          <w:tcPr>
            <w:tcW w:w="3322" w:type="dxa"/>
            <w:noWrap w:val="0"/>
            <w:vAlign w:val="center"/>
          </w:tcPr>
          <w:p>
            <w:pPr>
              <w:pStyle w:val="25"/>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val="en-US" w:eastAsia="zh-CN"/>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645" w:type="dxa"/>
            <w:gridSpan w:val="2"/>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土地利用类型</w:t>
            </w:r>
          </w:p>
        </w:tc>
        <w:tc>
          <w:tcPr>
            <w:tcW w:w="3322"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4645" w:type="dxa"/>
            <w:gridSpan w:val="2"/>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区域湿度条件</w:t>
            </w:r>
          </w:p>
        </w:tc>
        <w:tc>
          <w:tcPr>
            <w:tcW w:w="3322"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为半湿润区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449" w:type="dxa"/>
            <w:vMerge w:val="restart"/>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是否考虑地形</w:t>
            </w:r>
          </w:p>
        </w:tc>
        <w:tc>
          <w:tcPr>
            <w:tcW w:w="3196"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考虑地形</w:t>
            </w:r>
          </w:p>
        </w:tc>
        <w:tc>
          <w:tcPr>
            <w:tcW w:w="3322"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 xml:space="preserve">是  </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449" w:type="dxa"/>
            <w:vMerge w:val="continue"/>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p>
        </w:tc>
        <w:tc>
          <w:tcPr>
            <w:tcW w:w="3196"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地形数据分辨率/m</w:t>
            </w:r>
          </w:p>
        </w:tc>
        <w:tc>
          <w:tcPr>
            <w:tcW w:w="3322"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449" w:type="dxa"/>
            <w:vMerge w:val="restart"/>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是否考虑岸线熏烟</w:t>
            </w:r>
          </w:p>
        </w:tc>
        <w:tc>
          <w:tcPr>
            <w:tcW w:w="3196"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考虑岸线熏烟</w:t>
            </w:r>
          </w:p>
        </w:tc>
        <w:tc>
          <w:tcPr>
            <w:tcW w:w="3322"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 xml:space="preserve">是  </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449" w:type="dxa"/>
            <w:vMerge w:val="continue"/>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p>
        </w:tc>
        <w:tc>
          <w:tcPr>
            <w:tcW w:w="3196"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岸线距离/km</w:t>
            </w:r>
          </w:p>
        </w:tc>
        <w:tc>
          <w:tcPr>
            <w:tcW w:w="3322"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449" w:type="dxa"/>
            <w:vMerge w:val="continue"/>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p>
        </w:tc>
        <w:tc>
          <w:tcPr>
            <w:tcW w:w="3196"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岸线方向/°</w:t>
            </w:r>
          </w:p>
        </w:tc>
        <w:tc>
          <w:tcPr>
            <w:tcW w:w="3322"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无特定方向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4645" w:type="dxa"/>
            <w:gridSpan w:val="2"/>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是否考虑建筑物下洗</w:t>
            </w:r>
          </w:p>
        </w:tc>
        <w:tc>
          <w:tcPr>
            <w:tcW w:w="3322"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 xml:space="preserve">是  </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否</w:t>
            </w:r>
          </w:p>
        </w:tc>
      </w:tr>
    </w:tbl>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sectPr>
          <w:headerReference r:id="rId41"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5"/>
        <w:ind w:firstLine="0" w:firstLineChars="0"/>
        <w:jc w:val="center"/>
        <w:rPr>
          <w:rFonts w:hint="default" w:ascii="Times New Roman" w:hAnsi="Times New Roman" w:eastAsia="宋体" w:cs="Times New Roman"/>
          <w:b/>
          <w:bCs/>
          <w:color w:val="auto"/>
          <w:szCs w:val="24"/>
          <w:lang w:val="en-US" w:eastAsia="zh-CN"/>
        </w:rPr>
      </w:pPr>
      <w:r>
        <w:rPr>
          <w:rFonts w:ascii="Times New Roman" w:hAnsi="Times New Roman" w:eastAsia="宋体" w:cs="Times New Roman"/>
          <w:b/>
          <w:bCs/>
          <w:color w:val="auto"/>
          <w:szCs w:val="24"/>
        </w:rPr>
        <w:t>表</w:t>
      </w:r>
      <w:r>
        <w:rPr>
          <w:rFonts w:hint="eastAsia" w:ascii="Times New Roman" w:hAnsi="Times New Roman" w:eastAsia="宋体" w:cs="Times New Roman"/>
          <w:b/>
          <w:bCs/>
          <w:color w:val="auto"/>
          <w:szCs w:val="24"/>
          <w:lang w:val="en-US" w:eastAsia="zh-CN"/>
        </w:rPr>
        <w:t>6</w:t>
      </w:r>
      <w:r>
        <w:rPr>
          <w:rFonts w:ascii="Times New Roman" w:hAnsi="Times New Roman" w:eastAsia="宋体" w:cs="Times New Roman"/>
          <w:b/>
          <w:bCs/>
          <w:color w:val="auto"/>
          <w:szCs w:val="24"/>
        </w:rPr>
        <w:t>.</w:t>
      </w:r>
      <w:r>
        <w:rPr>
          <w:rFonts w:hint="eastAsia" w:ascii="Times New Roman" w:hAnsi="Times New Roman" w:eastAsia="宋体" w:cs="Times New Roman"/>
          <w:b/>
          <w:bCs/>
          <w:color w:val="auto"/>
          <w:szCs w:val="24"/>
          <w:lang w:val="en-US" w:eastAsia="zh-CN"/>
        </w:rPr>
        <w:t>2</w:t>
      </w:r>
      <w:r>
        <w:rPr>
          <w:rFonts w:ascii="Times New Roman" w:hAnsi="Times New Roman" w:eastAsia="宋体" w:cs="Times New Roman"/>
          <w:b/>
          <w:bCs/>
          <w:color w:val="auto"/>
          <w:szCs w:val="24"/>
        </w:rPr>
        <w:t>-</w:t>
      </w:r>
      <w:r>
        <w:rPr>
          <w:rFonts w:hint="eastAsia" w:ascii="Times New Roman" w:hAnsi="Times New Roman" w:eastAsia="宋体" w:cs="Times New Roman"/>
          <w:b/>
          <w:bCs/>
          <w:color w:val="auto"/>
          <w:szCs w:val="24"/>
          <w:lang w:val="en-US" w:eastAsia="zh-CN"/>
        </w:rPr>
        <w:t>5</w:t>
      </w:r>
      <w:r>
        <w:rPr>
          <w:rFonts w:ascii="Times New Roman" w:hAnsi="Times New Roman" w:eastAsia="宋体" w:cs="Times New Roman"/>
          <w:b/>
          <w:bCs/>
          <w:color w:val="auto"/>
          <w:szCs w:val="24"/>
        </w:rPr>
        <w:t xml:space="preserve">  </w:t>
      </w:r>
      <w:r>
        <w:rPr>
          <w:rFonts w:hint="eastAsia" w:ascii="Times New Roman" w:hAnsi="Times New Roman" w:eastAsia="宋体" w:cs="Times New Roman"/>
          <w:b/>
          <w:bCs/>
          <w:color w:val="auto"/>
          <w:szCs w:val="24"/>
          <w:lang w:val="en-US" w:eastAsia="zh-CN"/>
        </w:rPr>
        <w:t>本项目有组织排放计算参数表（正产工况）-点源参数</w:t>
      </w:r>
    </w:p>
    <w:tbl>
      <w:tblPr>
        <w:tblStyle w:val="19"/>
        <w:tblW w:w="143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1"/>
        <w:gridCol w:w="983"/>
        <w:gridCol w:w="1214"/>
        <w:gridCol w:w="1214"/>
        <w:gridCol w:w="1169"/>
        <w:gridCol w:w="809"/>
        <w:gridCol w:w="1071"/>
        <w:gridCol w:w="1134"/>
        <w:gridCol w:w="1131"/>
        <w:gridCol w:w="1084"/>
        <w:gridCol w:w="798"/>
        <w:gridCol w:w="1329"/>
        <w:gridCol w:w="1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135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名称</w:t>
            </w:r>
          </w:p>
        </w:tc>
        <w:tc>
          <w:tcPr>
            <w:tcW w:w="983"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排气筒编号</w:t>
            </w:r>
          </w:p>
        </w:tc>
        <w:tc>
          <w:tcPr>
            <w:tcW w:w="2428" w:type="dxa"/>
            <w:gridSpan w:val="2"/>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排气筒底部中心坐标（m）</w:t>
            </w:r>
          </w:p>
        </w:tc>
        <w:tc>
          <w:tcPr>
            <w:tcW w:w="1169"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排气筒底部海拔高度（m）</w:t>
            </w:r>
          </w:p>
        </w:tc>
        <w:tc>
          <w:tcPr>
            <w:tcW w:w="1880" w:type="dxa"/>
            <w:gridSpan w:val="2"/>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排气筒</w:t>
            </w:r>
          </w:p>
        </w:tc>
        <w:tc>
          <w:tcPr>
            <w:tcW w:w="113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烟气出口流速（m/s）</w:t>
            </w:r>
          </w:p>
        </w:tc>
        <w:tc>
          <w:tcPr>
            <w:tcW w:w="113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烟气出口温度（</w:t>
            </w:r>
            <w:r>
              <w:rPr>
                <w:rFonts w:hint="default" w:ascii="Times New Roman" w:hAnsi="Times New Roman" w:eastAsia="宋体" w:cs="Times New Roman"/>
                <w:vertAlign w:val="baseline"/>
                <w:lang w:val="en-US" w:eastAsia="zh-CN"/>
              </w:rPr>
              <w:t>℃</w:t>
            </w:r>
            <w:r>
              <w:rPr>
                <w:rFonts w:hint="eastAsia" w:ascii="Times New Roman" w:hAnsi="Times New Roman" w:eastAsia="宋体"/>
                <w:vertAlign w:val="baseline"/>
                <w:lang w:val="en-US" w:eastAsia="zh-CN"/>
              </w:rPr>
              <w:t>）</w:t>
            </w:r>
          </w:p>
        </w:tc>
        <w:tc>
          <w:tcPr>
            <w:tcW w:w="108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年排放小时数（h）</w:t>
            </w:r>
          </w:p>
        </w:tc>
        <w:tc>
          <w:tcPr>
            <w:tcW w:w="798"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排放工况</w:t>
            </w:r>
          </w:p>
        </w:tc>
        <w:tc>
          <w:tcPr>
            <w:tcW w:w="2356" w:type="dxa"/>
            <w:gridSpan w:val="2"/>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X</w:t>
            </w:r>
          </w:p>
        </w:tc>
        <w:tc>
          <w:tcPr>
            <w:tcW w:w="1214"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Y</w:t>
            </w: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高度（m）</w:t>
            </w:r>
          </w:p>
        </w:tc>
        <w:tc>
          <w:tcPr>
            <w:tcW w:w="107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出口内径（m）</w:t>
            </w: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2356" w:type="dxa"/>
            <w:gridSpan w:val="2"/>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35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RTO系统</w:t>
            </w:r>
          </w:p>
        </w:tc>
        <w:tc>
          <w:tcPr>
            <w:tcW w:w="983"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DA</w:t>
            </w:r>
            <w:r>
              <w:rPr>
                <w:rFonts w:hint="eastAsia" w:ascii="Times New Roman" w:hAnsi="Times New Roman"/>
                <w:vertAlign w:val="baseline"/>
                <w:lang w:val="en-US" w:eastAsia="zh-CN"/>
              </w:rPr>
              <w:t>019</w:t>
            </w:r>
          </w:p>
        </w:tc>
        <w:tc>
          <w:tcPr>
            <w:tcW w:w="121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4102196.80</w:t>
            </w:r>
          </w:p>
        </w:tc>
        <w:tc>
          <w:tcPr>
            <w:tcW w:w="121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577979.79</w:t>
            </w:r>
          </w:p>
        </w:tc>
        <w:tc>
          <w:tcPr>
            <w:tcW w:w="1169"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12</w:t>
            </w:r>
          </w:p>
        </w:tc>
        <w:tc>
          <w:tcPr>
            <w:tcW w:w="809"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25</w:t>
            </w:r>
          </w:p>
        </w:tc>
        <w:tc>
          <w:tcPr>
            <w:tcW w:w="107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1.2</w:t>
            </w:r>
          </w:p>
        </w:tc>
        <w:tc>
          <w:tcPr>
            <w:tcW w:w="113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2.0</w:t>
            </w:r>
          </w:p>
        </w:tc>
        <w:tc>
          <w:tcPr>
            <w:tcW w:w="113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50</w:t>
            </w:r>
          </w:p>
        </w:tc>
        <w:tc>
          <w:tcPr>
            <w:tcW w:w="108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8160</w:t>
            </w:r>
          </w:p>
        </w:tc>
        <w:tc>
          <w:tcPr>
            <w:tcW w:w="798"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连续</w:t>
            </w: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异丙醇</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7.06</w:t>
            </w:r>
            <w:r>
              <w:rPr>
                <w:rFonts w:hint="default" w:ascii="Times New Roman" w:hAnsi="Times New Roman" w:eastAsia="宋体" w:cs="Arial"/>
                <w:sz w:val="21"/>
                <w:szCs w:val="21"/>
                <w:vertAlign w:val="baseline"/>
                <w:lang w:val="en-US" w:eastAsia="zh-CN"/>
              </w:rPr>
              <w:t>×</w:t>
            </w:r>
            <w:r>
              <w:rPr>
                <w:rFonts w:hint="eastAsia" w:ascii="Times New Roman" w:hAnsi="Times New Roman" w:eastAsia="宋体"/>
                <w:sz w:val="21"/>
                <w:szCs w:val="21"/>
                <w:vertAlign w:val="baseline"/>
                <w:lang w:val="en-US" w:eastAsia="zh-CN"/>
              </w:rPr>
              <w:t>10</w:t>
            </w:r>
            <w:r>
              <w:rPr>
                <w:rFonts w:hint="eastAsia" w:ascii="Times New Roman" w:hAnsi="Times New Roman" w:eastAsia="宋体"/>
                <w:sz w:val="21"/>
                <w:szCs w:val="21"/>
                <w:vertAlign w:val="superscript"/>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0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VOCs</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0.0042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二氧化硫</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sz w:val="21"/>
                <w:szCs w:val="21"/>
                <w:vertAlign w:val="baseline"/>
                <w:lang w:val="en-US" w:eastAsia="zh-CN"/>
              </w:rPr>
              <w:t>0.016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氮氧化物</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颗粒物</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0.0014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5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碱回收炉</w:t>
            </w:r>
          </w:p>
        </w:tc>
        <w:tc>
          <w:tcPr>
            <w:tcW w:w="983"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DA00</w:t>
            </w:r>
            <w:r>
              <w:rPr>
                <w:rFonts w:hint="eastAsia" w:ascii="Times New Roman" w:hAnsi="Times New Roman"/>
                <w:vertAlign w:val="baseline"/>
                <w:lang w:val="en-US" w:eastAsia="zh-CN"/>
              </w:rPr>
              <w:t>6</w:t>
            </w:r>
          </w:p>
        </w:tc>
        <w:tc>
          <w:tcPr>
            <w:tcW w:w="121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4102014.83</w:t>
            </w:r>
          </w:p>
        </w:tc>
        <w:tc>
          <w:tcPr>
            <w:tcW w:w="121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579634.67</w:t>
            </w:r>
          </w:p>
        </w:tc>
        <w:tc>
          <w:tcPr>
            <w:tcW w:w="1169"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13</w:t>
            </w:r>
          </w:p>
        </w:tc>
        <w:tc>
          <w:tcPr>
            <w:tcW w:w="809"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80</w:t>
            </w:r>
          </w:p>
        </w:tc>
        <w:tc>
          <w:tcPr>
            <w:tcW w:w="107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3.5</w:t>
            </w:r>
          </w:p>
        </w:tc>
        <w:tc>
          <w:tcPr>
            <w:tcW w:w="113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3.54</w:t>
            </w:r>
          </w:p>
        </w:tc>
        <w:tc>
          <w:tcPr>
            <w:tcW w:w="113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50</w:t>
            </w:r>
          </w:p>
        </w:tc>
        <w:tc>
          <w:tcPr>
            <w:tcW w:w="108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8160</w:t>
            </w:r>
          </w:p>
        </w:tc>
        <w:tc>
          <w:tcPr>
            <w:tcW w:w="798"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连续</w:t>
            </w: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olor w:val="auto"/>
                <w:sz w:val="21"/>
                <w:szCs w:val="21"/>
                <w:vertAlign w:val="baseline"/>
                <w:lang w:val="en-US" w:eastAsia="zh-CN"/>
              </w:rPr>
              <w:t>颗粒物</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highlight w:val="none"/>
                <w:vertAlign w:val="baseline"/>
                <w:lang w:val="en-US" w:eastAsia="zh-CN"/>
              </w:rPr>
              <w:t>0.256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olor w:val="auto"/>
                <w:sz w:val="21"/>
                <w:szCs w:val="21"/>
                <w:vertAlign w:val="baseline"/>
                <w:lang w:val="en-US" w:eastAsia="zh-CN"/>
              </w:rPr>
              <w:t>二氧化硫</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color w:val="auto"/>
                <w:sz w:val="21"/>
                <w:szCs w:val="21"/>
                <w:vertAlign w:val="baseline"/>
                <w:lang w:val="en-US" w:eastAsia="zh-CN"/>
              </w:rPr>
              <w:t>氮氧化物</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sz w:val="21"/>
                <w:szCs w:val="21"/>
                <w:highlight w:val="none"/>
                <w:vertAlign w:val="baseline"/>
                <w:lang w:val="en-US" w:eastAsia="zh-CN"/>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7" w:hRule="atLeast"/>
        </w:trPr>
        <w:tc>
          <w:tcPr>
            <w:tcW w:w="135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碱回收系统石灰破碎车间</w:t>
            </w:r>
          </w:p>
        </w:tc>
        <w:tc>
          <w:tcPr>
            <w:tcW w:w="983"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DA0</w:t>
            </w:r>
            <w:r>
              <w:rPr>
                <w:rFonts w:hint="eastAsia" w:ascii="Times New Roman" w:hAnsi="Times New Roman"/>
                <w:vertAlign w:val="baseline"/>
                <w:lang w:val="en-US" w:eastAsia="zh-CN"/>
              </w:rPr>
              <w:t>20</w:t>
            </w:r>
          </w:p>
        </w:tc>
        <w:tc>
          <w:tcPr>
            <w:tcW w:w="1214"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579609.14</w:t>
            </w:r>
          </w:p>
        </w:tc>
        <w:tc>
          <w:tcPr>
            <w:tcW w:w="1214"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4102093.14</w:t>
            </w:r>
          </w:p>
        </w:tc>
        <w:tc>
          <w:tcPr>
            <w:tcW w:w="1169"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11</w:t>
            </w:r>
          </w:p>
        </w:tc>
        <w:tc>
          <w:tcPr>
            <w:tcW w:w="809"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15</w:t>
            </w:r>
          </w:p>
        </w:tc>
        <w:tc>
          <w:tcPr>
            <w:tcW w:w="107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1.2</w:t>
            </w:r>
          </w:p>
        </w:tc>
        <w:tc>
          <w:tcPr>
            <w:tcW w:w="1134"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1.5</w:t>
            </w:r>
          </w:p>
        </w:tc>
        <w:tc>
          <w:tcPr>
            <w:tcW w:w="113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20</w:t>
            </w:r>
          </w:p>
        </w:tc>
        <w:tc>
          <w:tcPr>
            <w:tcW w:w="1084"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680</w:t>
            </w:r>
          </w:p>
        </w:tc>
        <w:tc>
          <w:tcPr>
            <w:tcW w:w="798"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不连续</w:t>
            </w:r>
          </w:p>
        </w:tc>
        <w:tc>
          <w:tcPr>
            <w:tcW w:w="1329"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颗粒物</w:t>
            </w:r>
          </w:p>
        </w:tc>
        <w:tc>
          <w:tcPr>
            <w:tcW w:w="1027"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0.034</w:t>
            </w:r>
          </w:p>
        </w:tc>
      </w:tr>
    </w:tbl>
    <w:p>
      <w:pPr>
        <w:pStyle w:val="25"/>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0" w:firstLineChars="0"/>
        <w:jc w:val="center"/>
        <w:textAlignment w:val="baseline"/>
        <w:rPr>
          <w:rFonts w:hint="default" w:ascii="Times New Roman" w:hAnsi="Times New Roman" w:eastAsia="宋体" w:cs="Times New Roman"/>
          <w:b/>
          <w:bCs/>
          <w:color w:val="auto"/>
          <w:szCs w:val="24"/>
          <w:lang w:val="en-US" w:eastAsia="zh-CN"/>
        </w:rPr>
      </w:pPr>
      <w:r>
        <w:rPr>
          <w:rFonts w:ascii="Times New Roman" w:hAnsi="Times New Roman" w:eastAsia="宋体" w:cs="Times New Roman"/>
          <w:b/>
          <w:bCs/>
          <w:color w:val="auto"/>
          <w:szCs w:val="24"/>
        </w:rPr>
        <w:t>表</w:t>
      </w:r>
      <w:r>
        <w:rPr>
          <w:rFonts w:hint="eastAsia" w:ascii="Times New Roman" w:hAnsi="Times New Roman" w:eastAsia="宋体" w:cs="Times New Roman"/>
          <w:b/>
          <w:bCs/>
          <w:color w:val="auto"/>
          <w:szCs w:val="24"/>
          <w:lang w:val="en-US" w:eastAsia="zh-CN"/>
        </w:rPr>
        <w:t>6</w:t>
      </w:r>
      <w:r>
        <w:rPr>
          <w:rFonts w:ascii="Times New Roman" w:hAnsi="Times New Roman" w:eastAsia="宋体" w:cs="Times New Roman"/>
          <w:b/>
          <w:bCs/>
          <w:color w:val="auto"/>
          <w:szCs w:val="24"/>
        </w:rPr>
        <w:t>.</w:t>
      </w:r>
      <w:r>
        <w:rPr>
          <w:rFonts w:hint="eastAsia" w:ascii="Times New Roman" w:hAnsi="Times New Roman" w:eastAsia="宋体" w:cs="Times New Roman"/>
          <w:b/>
          <w:bCs/>
          <w:color w:val="auto"/>
          <w:szCs w:val="24"/>
          <w:lang w:val="en-US" w:eastAsia="zh-CN"/>
        </w:rPr>
        <w:t>2</w:t>
      </w:r>
      <w:r>
        <w:rPr>
          <w:rFonts w:ascii="Times New Roman" w:hAnsi="Times New Roman" w:eastAsia="宋体" w:cs="Times New Roman"/>
          <w:b/>
          <w:bCs/>
          <w:color w:val="auto"/>
          <w:szCs w:val="24"/>
        </w:rPr>
        <w:t>-</w:t>
      </w:r>
      <w:r>
        <w:rPr>
          <w:rFonts w:hint="eastAsia" w:ascii="Times New Roman" w:hAnsi="Times New Roman" w:eastAsia="宋体" w:cs="Times New Roman"/>
          <w:b/>
          <w:bCs/>
          <w:color w:val="auto"/>
          <w:szCs w:val="24"/>
          <w:lang w:val="en-US" w:eastAsia="zh-CN"/>
        </w:rPr>
        <w:t>6</w:t>
      </w:r>
      <w:r>
        <w:rPr>
          <w:rFonts w:ascii="Times New Roman" w:hAnsi="Times New Roman" w:eastAsia="宋体" w:cs="Times New Roman"/>
          <w:b/>
          <w:bCs/>
          <w:color w:val="auto"/>
          <w:szCs w:val="24"/>
        </w:rPr>
        <w:t xml:space="preserve">  </w:t>
      </w:r>
      <w:r>
        <w:rPr>
          <w:rFonts w:hint="eastAsia" w:ascii="Times New Roman" w:hAnsi="Times New Roman" w:eastAsia="宋体" w:cs="Times New Roman"/>
          <w:b/>
          <w:bCs/>
          <w:color w:val="auto"/>
          <w:szCs w:val="24"/>
          <w:lang w:val="en-US" w:eastAsia="zh-CN"/>
        </w:rPr>
        <w:t>本项目无组织排放计算参数表（正产工况）-点源参数</w:t>
      </w:r>
    </w:p>
    <w:tbl>
      <w:tblPr>
        <w:tblStyle w:val="19"/>
        <w:tblW w:w="144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4"/>
        <w:gridCol w:w="1174"/>
        <w:gridCol w:w="1206"/>
        <w:gridCol w:w="1214"/>
        <w:gridCol w:w="1174"/>
        <w:gridCol w:w="1175"/>
        <w:gridCol w:w="1175"/>
        <w:gridCol w:w="1175"/>
        <w:gridCol w:w="1174"/>
        <w:gridCol w:w="1176"/>
        <w:gridCol w:w="769"/>
        <w:gridCol w:w="919"/>
        <w:gridCol w:w="9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18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编号</w:t>
            </w:r>
          </w:p>
        </w:tc>
        <w:tc>
          <w:tcPr>
            <w:tcW w:w="118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污染源名称</w:t>
            </w:r>
          </w:p>
        </w:tc>
        <w:tc>
          <w:tcPr>
            <w:tcW w:w="2362" w:type="dxa"/>
            <w:gridSpan w:val="2"/>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面源起点坐标/m</w:t>
            </w:r>
          </w:p>
        </w:tc>
        <w:tc>
          <w:tcPr>
            <w:tcW w:w="118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面源海拔高度/m</w:t>
            </w:r>
          </w:p>
        </w:tc>
        <w:tc>
          <w:tcPr>
            <w:tcW w:w="118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面源长度/m</w:t>
            </w:r>
          </w:p>
        </w:tc>
        <w:tc>
          <w:tcPr>
            <w:tcW w:w="118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面源宽度/m</w:t>
            </w:r>
          </w:p>
        </w:tc>
        <w:tc>
          <w:tcPr>
            <w:tcW w:w="118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与正北向夹角/</w:t>
            </w:r>
            <w:r>
              <w:rPr>
                <w:rFonts w:hint="eastAsia" w:ascii="Times New Roman" w:hAnsi="Times New Roman" w:eastAsia="宋体" w:cs="微软雅黑"/>
                <w:vertAlign w:val="baseline"/>
                <w:lang w:val="en-US" w:eastAsia="zh-CN"/>
              </w:rPr>
              <w:t>°</w:t>
            </w:r>
          </w:p>
        </w:tc>
        <w:tc>
          <w:tcPr>
            <w:tcW w:w="118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面源有效排放高度/m</w:t>
            </w:r>
          </w:p>
        </w:tc>
        <w:tc>
          <w:tcPr>
            <w:tcW w:w="118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年排放小时数/h</w:t>
            </w:r>
          </w:p>
        </w:tc>
        <w:tc>
          <w:tcPr>
            <w:tcW w:w="77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排放工况/h</w:t>
            </w:r>
          </w:p>
        </w:tc>
        <w:tc>
          <w:tcPr>
            <w:tcW w:w="1900" w:type="dxa"/>
            <w:gridSpan w:val="2"/>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18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8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X</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Y</w:t>
            </w:r>
          </w:p>
        </w:tc>
        <w:tc>
          <w:tcPr>
            <w:tcW w:w="118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8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8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8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8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8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7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900" w:type="dxa"/>
            <w:gridSpan w:val="2"/>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堆场和备料车间</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4102118.35</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578060.26</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12</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200</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110</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100</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8160</w:t>
            </w:r>
          </w:p>
        </w:tc>
        <w:tc>
          <w:tcPr>
            <w:tcW w:w="77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连续</w:t>
            </w:r>
          </w:p>
        </w:tc>
        <w:tc>
          <w:tcPr>
            <w:tcW w:w="922"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颗粒物</w:t>
            </w:r>
          </w:p>
        </w:tc>
        <w:tc>
          <w:tcPr>
            <w:tcW w:w="978"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vertAlign w:val="baseline"/>
                <w:lang w:val="en-US" w:eastAsia="zh-CN"/>
              </w:rPr>
              <w:t>0.284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碱回收系统石灰粉碎工段</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579609.14</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4102093.14</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11</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15</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10</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0</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w:t>
            </w:r>
          </w:p>
        </w:tc>
        <w:tc>
          <w:tcPr>
            <w:tcW w:w="118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8160</w:t>
            </w:r>
          </w:p>
        </w:tc>
        <w:tc>
          <w:tcPr>
            <w:tcW w:w="77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连续</w:t>
            </w:r>
          </w:p>
        </w:tc>
        <w:tc>
          <w:tcPr>
            <w:tcW w:w="922"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颗粒物</w:t>
            </w:r>
          </w:p>
        </w:tc>
        <w:tc>
          <w:tcPr>
            <w:tcW w:w="978"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0.013</w:t>
            </w:r>
          </w:p>
        </w:tc>
      </w:tr>
    </w:tbl>
    <w:p>
      <w:pPr>
        <w:pStyle w:val="25"/>
        <w:ind w:firstLine="0" w:firstLineChars="0"/>
        <w:jc w:val="center"/>
        <w:rPr>
          <w:rFonts w:hint="default" w:ascii="Times New Roman" w:hAnsi="Times New Roman" w:eastAsia="宋体" w:cs="Times New Roman"/>
          <w:b/>
          <w:bCs/>
          <w:color w:val="auto"/>
          <w:szCs w:val="24"/>
          <w:lang w:val="en-US" w:eastAsia="zh-CN"/>
        </w:rPr>
      </w:pPr>
      <w:r>
        <w:rPr>
          <w:rFonts w:ascii="Times New Roman" w:hAnsi="Times New Roman" w:eastAsia="宋体" w:cs="Times New Roman"/>
          <w:b/>
          <w:bCs/>
          <w:color w:val="auto"/>
          <w:szCs w:val="24"/>
        </w:rPr>
        <w:t>表</w:t>
      </w:r>
      <w:r>
        <w:rPr>
          <w:rFonts w:hint="eastAsia" w:ascii="Times New Roman" w:hAnsi="Times New Roman" w:eastAsia="宋体" w:cs="Times New Roman"/>
          <w:b/>
          <w:bCs/>
          <w:color w:val="auto"/>
          <w:szCs w:val="24"/>
          <w:lang w:val="en-US" w:eastAsia="zh-CN"/>
        </w:rPr>
        <w:t>6</w:t>
      </w:r>
      <w:r>
        <w:rPr>
          <w:rFonts w:ascii="Times New Roman" w:hAnsi="Times New Roman" w:eastAsia="宋体" w:cs="Times New Roman"/>
          <w:b/>
          <w:bCs/>
          <w:color w:val="auto"/>
          <w:szCs w:val="24"/>
        </w:rPr>
        <w:t>.</w:t>
      </w:r>
      <w:r>
        <w:rPr>
          <w:rFonts w:hint="eastAsia" w:ascii="Times New Roman" w:hAnsi="Times New Roman" w:eastAsia="宋体" w:cs="Times New Roman"/>
          <w:b/>
          <w:bCs/>
          <w:color w:val="auto"/>
          <w:szCs w:val="24"/>
          <w:lang w:val="en-US" w:eastAsia="zh-CN"/>
        </w:rPr>
        <w:t>2</w:t>
      </w:r>
      <w:r>
        <w:rPr>
          <w:rFonts w:ascii="Times New Roman" w:hAnsi="Times New Roman" w:eastAsia="宋体" w:cs="Times New Roman"/>
          <w:b/>
          <w:bCs/>
          <w:color w:val="auto"/>
          <w:szCs w:val="24"/>
        </w:rPr>
        <w:t>-</w:t>
      </w:r>
      <w:r>
        <w:rPr>
          <w:rFonts w:hint="eastAsia" w:ascii="Times New Roman" w:hAnsi="Times New Roman" w:eastAsia="宋体" w:cs="Times New Roman"/>
          <w:b/>
          <w:bCs/>
          <w:color w:val="auto"/>
          <w:szCs w:val="24"/>
          <w:lang w:val="en-US" w:eastAsia="zh-CN"/>
        </w:rPr>
        <w:t>7</w:t>
      </w:r>
      <w:r>
        <w:rPr>
          <w:rFonts w:ascii="Times New Roman" w:hAnsi="Times New Roman" w:eastAsia="宋体" w:cs="Times New Roman"/>
          <w:b/>
          <w:bCs/>
          <w:color w:val="auto"/>
          <w:szCs w:val="24"/>
        </w:rPr>
        <w:t xml:space="preserve">  </w:t>
      </w:r>
      <w:r>
        <w:rPr>
          <w:rFonts w:hint="eastAsia" w:ascii="Times New Roman" w:hAnsi="Times New Roman" w:eastAsia="宋体" w:cs="Times New Roman"/>
          <w:b/>
          <w:bCs/>
          <w:color w:val="auto"/>
          <w:szCs w:val="24"/>
          <w:lang w:val="en-US" w:eastAsia="zh-CN"/>
        </w:rPr>
        <w:t>本项目有组织排放计算参数表（非正产工况）-点源参数</w:t>
      </w:r>
    </w:p>
    <w:tbl>
      <w:tblPr>
        <w:tblStyle w:val="19"/>
        <w:tblW w:w="143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1"/>
        <w:gridCol w:w="983"/>
        <w:gridCol w:w="1214"/>
        <w:gridCol w:w="1214"/>
        <w:gridCol w:w="1169"/>
        <w:gridCol w:w="809"/>
        <w:gridCol w:w="1071"/>
        <w:gridCol w:w="1134"/>
        <w:gridCol w:w="1131"/>
        <w:gridCol w:w="1084"/>
        <w:gridCol w:w="798"/>
        <w:gridCol w:w="1329"/>
        <w:gridCol w:w="1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135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名称</w:t>
            </w:r>
          </w:p>
        </w:tc>
        <w:tc>
          <w:tcPr>
            <w:tcW w:w="983"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排气筒编号</w:t>
            </w:r>
          </w:p>
        </w:tc>
        <w:tc>
          <w:tcPr>
            <w:tcW w:w="2428" w:type="dxa"/>
            <w:gridSpan w:val="2"/>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排气筒底部中心坐标（m）</w:t>
            </w:r>
          </w:p>
        </w:tc>
        <w:tc>
          <w:tcPr>
            <w:tcW w:w="1169"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排气筒底部海拔高度（m）</w:t>
            </w:r>
          </w:p>
        </w:tc>
        <w:tc>
          <w:tcPr>
            <w:tcW w:w="1880" w:type="dxa"/>
            <w:gridSpan w:val="2"/>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排气筒</w:t>
            </w:r>
          </w:p>
        </w:tc>
        <w:tc>
          <w:tcPr>
            <w:tcW w:w="113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烟气出口流速（m/s）</w:t>
            </w:r>
          </w:p>
        </w:tc>
        <w:tc>
          <w:tcPr>
            <w:tcW w:w="113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烟气出口温度（</w:t>
            </w:r>
            <w:r>
              <w:rPr>
                <w:rFonts w:hint="default" w:ascii="Times New Roman" w:hAnsi="Times New Roman" w:eastAsia="宋体" w:cs="Times New Roman"/>
                <w:vertAlign w:val="baseline"/>
                <w:lang w:val="en-US" w:eastAsia="zh-CN"/>
              </w:rPr>
              <w:t>℃</w:t>
            </w:r>
            <w:r>
              <w:rPr>
                <w:rFonts w:hint="eastAsia" w:ascii="Times New Roman" w:hAnsi="Times New Roman" w:eastAsia="宋体"/>
                <w:vertAlign w:val="baseline"/>
                <w:lang w:val="en-US" w:eastAsia="zh-CN"/>
              </w:rPr>
              <w:t>）</w:t>
            </w:r>
          </w:p>
        </w:tc>
        <w:tc>
          <w:tcPr>
            <w:tcW w:w="108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年排放小时数（h）</w:t>
            </w:r>
          </w:p>
        </w:tc>
        <w:tc>
          <w:tcPr>
            <w:tcW w:w="798"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排放工况</w:t>
            </w:r>
          </w:p>
        </w:tc>
        <w:tc>
          <w:tcPr>
            <w:tcW w:w="2356" w:type="dxa"/>
            <w:gridSpan w:val="2"/>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X</w:t>
            </w:r>
          </w:p>
        </w:tc>
        <w:tc>
          <w:tcPr>
            <w:tcW w:w="1214"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Y</w:t>
            </w: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高度（m）</w:t>
            </w:r>
          </w:p>
        </w:tc>
        <w:tc>
          <w:tcPr>
            <w:tcW w:w="107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出口内径（m）</w:t>
            </w: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2356" w:type="dxa"/>
            <w:gridSpan w:val="2"/>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35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RTO系统</w:t>
            </w:r>
          </w:p>
        </w:tc>
        <w:tc>
          <w:tcPr>
            <w:tcW w:w="983"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DA0</w:t>
            </w:r>
            <w:r>
              <w:rPr>
                <w:rFonts w:hint="eastAsia" w:ascii="Times New Roman" w:hAnsi="Times New Roman"/>
                <w:vertAlign w:val="baseline"/>
                <w:lang w:val="en-US" w:eastAsia="zh-CN"/>
              </w:rPr>
              <w:t>19</w:t>
            </w:r>
          </w:p>
        </w:tc>
        <w:tc>
          <w:tcPr>
            <w:tcW w:w="121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4102196.80</w:t>
            </w:r>
          </w:p>
        </w:tc>
        <w:tc>
          <w:tcPr>
            <w:tcW w:w="121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577979.79</w:t>
            </w:r>
          </w:p>
        </w:tc>
        <w:tc>
          <w:tcPr>
            <w:tcW w:w="1169"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12</w:t>
            </w:r>
          </w:p>
        </w:tc>
        <w:tc>
          <w:tcPr>
            <w:tcW w:w="809"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25</w:t>
            </w:r>
          </w:p>
        </w:tc>
        <w:tc>
          <w:tcPr>
            <w:tcW w:w="107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1.2</w:t>
            </w:r>
          </w:p>
        </w:tc>
        <w:tc>
          <w:tcPr>
            <w:tcW w:w="113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2.0</w:t>
            </w:r>
          </w:p>
        </w:tc>
        <w:tc>
          <w:tcPr>
            <w:tcW w:w="113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50</w:t>
            </w:r>
          </w:p>
        </w:tc>
        <w:tc>
          <w:tcPr>
            <w:tcW w:w="108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8160</w:t>
            </w:r>
          </w:p>
        </w:tc>
        <w:tc>
          <w:tcPr>
            <w:tcW w:w="798"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连续</w:t>
            </w: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异丙醇</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7.06</w:t>
            </w:r>
            <w:r>
              <w:rPr>
                <w:rFonts w:hint="default" w:ascii="Times New Roman" w:hAnsi="Times New Roman" w:eastAsia="宋体" w:cs="Arial"/>
                <w:sz w:val="21"/>
                <w:szCs w:val="21"/>
                <w:vertAlign w:val="baseline"/>
                <w:lang w:val="en-US" w:eastAsia="zh-CN"/>
              </w:rPr>
              <w:t>×</w:t>
            </w:r>
            <w:r>
              <w:rPr>
                <w:rFonts w:hint="eastAsia" w:ascii="Times New Roman" w:hAnsi="Times New Roman" w:eastAsia="宋体"/>
                <w:sz w:val="21"/>
                <w:szCs w:val="21"/>
                <w:vertAlign w:val="baseline"/>
                <w:lang w:val="en-US" w:eastAsia="zh-CN"/>
              </w:rPr>
              <w:t>10</w:t>
            </w:r>
            <w:r>
              <w:rPr>
                <w:rFonts w:hint="eastAsia" w:ascii="Times New Roman" w:hAnsi="Times New Roman" w:eastAsia="宋体"/>
                <w:sz w:val="21"/>
                <w:szCs w:val="21"/>
                <w:vertAlign w:val="superscript"/>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0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VOCs</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0.0042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二氧化硫</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0.041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氮氧化物</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颗粒物</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5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碱回收炉</w:t>
            </w:r>
          </w:p>
        </w:tc>
        <w:tc>
          <w:tcPr>
            <w:tcW w:w="983"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DA00</w:t>
            </w:r>
            <w:r>
              <w:rPr>
                <w:rFonts w:hint="eastAsia" w:ascii="Times New Roman" w:hAnsi="Times New Roman"/>
                <w:vertAlign w:val="baseline"/>
                <w:lang w:val="en-US" w:eastAsia="zh-CN"/>
              </w:rPr>
              <w:t>6</w:t>
            </w:r>
          </w:p>
        </w:tc>
        <w:tc>
          <w:tcPr>
            <w:tcW w:w="121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4102014.83</w:t>
            </w:r>
          </w:p>
        </w:tc>
        <w:tc>
          <w:tcPr>
            <w:tcW w:w="121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579634.67</w:t>
            </w:r>
          </w:p>
        </w:tc>
        <w:tc>
          <w:tcPr>
            <w:tcW w:w="1169"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13</w:t>
            </w:r>
          </w:p>
        </w:tc>
        <w:tc>
          <w:tcPr>
            <w:tcW w:w="809"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80</w:t>
            </w:r>
          </w:p>
        </w:tc>
        <w:tc>
          <w:tcPr>
            <w:tcW w:w="107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3.5</w:t>
            </w:r>
          </w:p>
        </w:tc>
        <w:tc>
          <w:tcPr>
            <w:tcW w:w="113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3.54</w:t>
            </w:r>
          </w:p>
        </w:tc>
        <w:tc>
          <w:tcPr>
            <w:tcW w:w="1131"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50</w:t>
            </w:r>
          </w:p>
        </w:tc>
        <w:tc>
          <w:tcPr>
            <w:tcW w:w="1084"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8160</w:t>
            </w:r>
          </w:p>
        </w:tc>
        <w:tc>
          <w:tcPr>
            <w:tcW w:w="798" w:type="dxa"/>
            <w:vMerge w:val="restart"/>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连续</w:t>
            </w: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olor w:val="auto"/>
                <w:sz w:val="21"/>
                <w:szCs w:val="21"/>
                <w:vertAlign w:val="baseline"/>
                <w:lang w:val="en-US" w:eastAsia="zh-CN"/>
              </w:rPr>
              <w:t>颗粒物</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highlight w:val="none"/>
                <w:vertAlign w:val="baseline"/>
                <w:lang w:val="en-US" w:eastAsia="zh-CN"/>
              </w:rPr>
              <w:t>85.37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color w:val="auto"/>
                <w:sz w:val="21"/>
                <w:szCs w:val="21"/>
                <w:vertAlign w:val="baseline"/>
                <w:lang w:val="en-US" w:eastAsia="zh-CN"/>
              </w:rPr>
              <w:t>二氧化硫</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35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983"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21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6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809"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7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13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p>
        </w:tc>
        <w:tc>
          <w:tcPr>
            <w:tcW w:w="1131"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084"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798" w:type="dxa"/>
            <w:vMerge w:val="continue"/>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color w:val="auto"/>
                <w:sz w:val="21"/>
                <w:szCs w:val="21"/>
                <w:vertAlign w:val="baseline"/>
                <w:lang w:val="en-US" w:eastAsia="zh-CN"/>
              </w:rPr>
              <w:t>氮氧化物</w:t>
            </w:r>
          </w:p>
        </w:tc>
        <w:tc>
          <w:tcPr>
            <w:tcW w:w="10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sz w:val="21"/>
                <w:szCs w:val="21"/>
                <w:highlight w:val="none"/>
                <w:vertAlign w:val="baseline"/>
                <w:lang w:val="en-US" w:eastAsia="zh-CN"/>
              </w:rPr>
              <w:t>7.29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7" w:hRule="atLeast"/>
        </w:trPr>
        <w:tc>
          <w:tcPr>
            <w:tcW w:w="135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碱回收系统石灰破碎车间</w:t>
            </w:r>
          </w:p>
        </w:tc>
        <w:tc>
          <w:tcPr>
            <w:tcW w:w="983"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DA0</w:t>
            </w:r>
            <w:r>
              <w:rPr>
                <w:rFonts w:hint="eastAsia" w:ascii="Times New Roman" w:hAnsi="Times New Roman"/>
                <w:vertAlign w:val="baseline"/>
                <w:lang w:val="en-US" w:eastAsia="zh-CN"/>
              </w:rPr>
              <w:t>20</w:t>
            </w:r>
          </w:p>
        </w:tc>
        <w:tc>
          <w:tcPr>
            <w:tcW w:w="1214"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579609.14</w:t>
            </w:r>
          </w:p>
        </w:tc>
        <w:tc>
          <w:tcPr>
            <w:tcW w:w="1214"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4102093.14</w:t>
            </w:r>
          </w:p>
        </w:tc>
        <w:tc>
          <w:tcPr>
            <w:tcW w:w="1169"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11</w:t>
            </w:r>
          </w:p>
        </w:tc>
        <w:tc>
          <w:tcPr>
            <w:tcW w:w="809"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15</w:t>
            </w:r>
          </w:p>
        </w:tc>
        <w:tc>
          <w:tcPr>
            <w:tcW w:w="107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1.2</w:t>
            </w:r>
          </w:p>
        </w:tc>
        <w:tc>
          <w:tcPr>
            <w:tcW w:w="1134"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1.5</w:t>
            </w:r>
          </w:p>
        </w:tc>
        <w:tc>
          <w:tcPr>
            <w:tcW w:w="1131"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20</w:t>
            </w:r>
          </w:p>
        </w:tc>
        <w:tc>
          <w:tcPr>
            <w:tcW w:w="1084"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680</w:t>
            </w:r>
          </w:p>
        </w:tc>
        <w:tc>
          <w:tcPr>
            <w:tcW w:w="798"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不连续</w:t>
            </w:r>
          </w:p>
        </w:tc>
        <w:tc>
          <w:tcPr>
            <w:tcW w:w="1329"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颗粒物</w:t>
            </w:r>
          </w:p>
        </w:tc>
        <w:tc>
          <w:tcPr>
            <w:tcW w:w="1027" w:type="dxa"/>
            <w:vAlign w:val="center"/>
          </w:tcPr>
          <w:p>
            <w:pPr>
              <w:pStyle w:val="16"/>
              <w:keepNext w:val="0"/>
              <w:keepLines w:val="0"/>
              <w:pageBreakBefore w:val="0"/>
              <w:widowControl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3.38</w:t>
            </w:r>
          </w:p>
        </w:tc>
      </w:tr>
    </w:tbl>
    <w:p>
      <w:pPr>
        <w:pStyle w:val="16"/>
        <w:rPr>
          <w:rFonts w:hint="default"/>
          <w:lang w:val="en-US" w:eastAsia="zh-CN"/>
        </w:rPr>
        <w:sectPr>
          <w:headerReference r:id="rId42" w:type="default"/>
          <w:footerReference r:id="rId43"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w:t>
      </w:r>
      <w:r>
        <w:rPr>
          <w:rFonts w:hint="default" w:ascii="Times New Roman" w:hAnsi="Times New Roman" w:cs="Times New Roman"/>
          <w:sz w:val="24"/>
          <w:szCs w:val="24"/>
          <w:lang w:val="en-US" w:eastAsia="zh-CN"/>
        </w:rPr>
        <w:t>4</w:t>
      </w:r>
      <w:r>
        <w:rPr>
          <w:rFonts w:hint="eastAsia"/>
          <w:sz w:val="24"/>
          <w:szCs w:val="24"/>
          <w:lang w:val="en-US" w:eastAsia="zh-CN"/>
        </w:rPr>
        <w:t>）评价等级的确定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本项目所有污染源的正常排放的污染物</w:t>
      </w:r>
      <w:r>
        <w:rPr>
          <w:rFonts w:hint="default" w:ascii="Times New Roman" w:hAnsi="Times New Roman" w:cs="Times New Roman"/>
          <w:sz w:val="24"/>
          <w:szCs w:val="24"/>
          <w:lang w:val="en-US" w:eastAsia="zh-CN"/>
        </w:rPr>
        <w:t>P</w:t>
      </w:r>
      <w:r>
        <w:rPr>
          <w:rFonts w:hint="eastAsia"/>
          <w:sz w:val="24"/>
          <w:szCs w:val="24"/>
          <w:lang w:val="en-US" w:eastAsia="zh-CN"/>
        </w:rPr>
        <w:t>和</w:t>
      </w:r>
      <w:r>
        <w:rPr>
          <w:rFonts w:hint="default" w:ascii="Times New Roman" w:hAnsi="Times New Roman" w:cs="Times New Roman"/>
          <w:sz w:val="24"/>
          <w:szCs w:val="24"/>
          <w:lang w:val="en-US" w:eastAsia="zh-CN"/>
        </w:rPr>
        <w:t>D10%</w:t>
      </w:r>
      <w:r>
        <w:rPr>
          <w:rFonts w:hint="eastAsia"/>
          <w:sz w:val="24"/>
          <w:szCs w:val="24"/>
          <w:lang w:val="en-US" w:eastAsia="zh-CN"/>
        </w:rPr>
        <w:t>预测结果见表</w:t>
      </w:r>
      <w:r>
        <w:rPr>
          <w:rFonts w:hint="default" w:ascii="Times New Roman" w:hAnsi="Times New Roman" w:cs="Times New Roman"/>
          <w:sz w:val="24"/>
          <w:szCs w:val="24"/>
          <w:lang w:val="en-US" w:eastAsia="zh-CN"/>
        </w:rPr>
        <w:t>6.2-8</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sz w:val="24"/>
          <w:szCs w:val="24"/>
          <w:lang w:val="en-US" w:eastAsia="zh-CN"/>
        </w:rPr>
      </w:pPr>
      <w:r>
        <w:rPr>
          <w:rFonts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lang w:val="en-US" w:eastAsia="zh-CN"/>
        </w:rPr>
        <w:t>6</w:t>
      </w:r>
      <w:r>
        <w:rPr>
          <w:rFonts w:ascii="Times New Roman" w:hAnsi="Times New Roman" w:eastAsia="宋体" w:cs="Times New Roman"/>
          <w:b/>
          <w:bCs/>
          <w:color w:val="auto"/>
          <w:sz w:val="24"/>
          <w:szCs w:val="24"/>
        </w:rPr>
        <w:t>.</w:t>
      </w:r>
      <w:r>
        <w:rPr>
          <w:rFonts w:hint="eastAsia" w:ascii="Times New Roman" w:hAnsi="Times New Roman" w:eastAsia="宋体" w:cs="Times New Roman"/>
          <w:b/>
          <w:bCs/>
          <w:color w:val="auto"/>
          <w:sz w:val="24"/>
          <w:szCs w:val="24"/>
          <w:lang w:val="en-US" w:eastAsia="zh-CN"/>
        </w:rPr>
        <w:t>2</w:t>
      </w:r>
      <w:r>
        <w:rPr>
          <w:rFonts w:ascii="Times New Roman" w:hAnsi="Times New Roman" w:eastAsia="宋体" w:cs="Times New Roman"/>
          <w:b/>
          <w:bCs/>
          <w:color w:val="auto"/>
          <w:sz w:val="24"/>
          <w:szCs w:val="24"/>
        </w:rPr>
        <w:t>-</w:t>
      </w:r>
      <w:r>
        <w:rPr>
          <w:rFonts w:hint="eastAsia" w:ascii="Times New Roman" w:hAnsi="Times New Roman" w:cs="Times New Roman"/>
          <w:b/>
          <w:bCs/>
          <w:color w:val="auto"/>
          <w:sz w:val="24"/>
          <w:szCs w:val="24"/>
          <w:lang w:val="en-US" w:eastAsia="zh-CN"/>
        </w:rPr>
        <w:t>8</w:t>
      </w:r>
      <w:r>
        <w:rPr>
          <w:rFonts w:ascii="Times New Roman" w:hAnsi="Times New Roman" w:eastAsia="宋体" w:cs="Times New Roman"/>
          <w:b/>
          <w:bCs/>
          <w:color w:val="auto"/>
          <w:sz w:val="24"/>
          <w:szCs w:val="24"/>
        </w:rPr>
        <w:t xml:space="preserve">  </w:t>
      </w:r>
      <w:r>
        <w:rPr>
          <w:rFonts w:hint="eastAsia" w:ascii="Times New Roman" w:hAnsi="Times New Roman" w:eastAsia="宋体" w:cs="Times New Roman"/>
          <w:b/>
          <w:bCs/>
          <w:color w:val="auto"/>
          <w:sz w:val="24"/>
          <w:szCs w:val="24"/>
          <w:lang w:val="en-US" w:eastAsia="zh-CN"/>
        </w:rPr>
        <w:t>P和D</w:t>
      </w:r>
      <w:r>
        <w:rPr>
          <w:rFonts w:hint="eastAsia" w:ascii="Times New Roman" w:hAnsi="Times New Roman" w:eastAsia="宋体" w:cs="Times New Roman"/>
          <w:b/>
          <w:bCs/>
          <w:color w:val="auto"/>
          <w:sz w:val="24"/>
          <w:szCs w:val="24"/>
          <w:vertAlign w:val="subscript"/>
          <w:lang w:val="en-US" w:eastAsia="zh-CN"/>
        </w:rPr>
        <w:t>10%</w:t>
      </w:r>
      <w:r>
        <w:rPr>
          <w:rFonts w:hint="eastAsia" w:ascii="Times New Roman" w:hAnsi="Times New Roman" w:eastAsia="宋体" w:cs="Times New Roman"/>
          <w:b/>
          <w:bCs/>
          <w:color w:val="auto"/>
          <w:sz w:val="24"/>
          <w:szCs w:val="24"/>
          <w:lang w:val="en-US" w:eastAsia="zh-CN"/>
        </w:rPr>
        <w:t>预测结果</w:t>
      </w:r>
      <w:r>
        <w:rPr>
          <w:rFonts w:hint="eastAsia" w:ascii="Times New Roman" w:hAnsi="Times New Roman" w:cs="Times New Roman"/>
          <w:b/>
          <w:bCs/>
          <w:color w:val="auto"/>
          <w:sz w:val="24"/>
          <w:szCs w:val="24"/>
          <w:lang w:val="en-US" w:eastAsia="zh-CN"/>
        </w:rPr>
        <w:t>一览表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5"/>
        <w:gridCol w:w="1512"/>
        <w:gridCol w:w="1000"/>
        <w:gridCol w:w="1038"/>
        <w:gridCol w:w="1025"/>
        <w:gridCol w:w="1162"/>
        <w:gridCol w:w="1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5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污染源名称</w:t>
            </w:r>
          </w:p>
        </w:tc>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离源距离（m）</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SO</w:t>
            </w:r>
            <w:r>
              <w:rPr>
                <w:rFonts w:hint="default" w:ascii="Times New Roman" w:hAnsi="Times New Roman" w:eastAsia="宋体" w:cs="Times New Roman"/>
                <w:sz w:val="21"/>
                <w:szCs w:val="21"/>
                <w:vertAlign w:val="subscript"/>
                <w:lang w:val="en-US" w:eastAsia="zh-CN"/>
              </w:rPr>
              <w:t>2</w:t>
            </w:r>
            <w:r>
              <w:rPr>
                <w:rFonts w:hint="eastAsia" w:ascii="Times New Roman" w:hAnsi="Times New Roman" w:eastAsia="宋体"/>
              </w:rPr>
              <w:t>|</w:t>
            </w:r>
            <w:r>
              <w:rPr>
                <w:rFonts w:hint="default" w:ascii="Times New Roman" w:hAnsi="Times New Roman" w:eastAsia="宋体" w:cs="Times New Roman"/>
                <w:sz w:val="21"/>
                <w:szCs w:val="21"/>
                <w:vertAlign w:val="baseline"/>
                <w:lang w:val="en-US" w:eastAsia="zh-CN"/>
              </w:rPr>
              <w:t>D10</w:t>
            </w:r>
          </w:p>
        </w:tc>
        <w:tc>
          <w:tcPr>
            <w:tcW w:w="10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N</w:t>
            </w:r>
            <w:r>
              <w:rPr>
                <w:rFonts w:hint="default" w:ascii="Times New Roman" w:hAnsi="Times New Roman" w:eastAsia="宋体" w:cs="Times New Roman"/>
                <w:sz w:val="21"/>
                <w:szCs w:val="21"/>
                <w:vertAlign w:val="baseline"/>
                <w:lang w:val="en-US" w:eastAsia="zh-CN"/>
              </w:rPr>
              <w:t>O</w:t>
            </w:r>
            <w:r>
              <w:rPr>
                <w:rFonts w:hint="default" w:ascii="Times New Roman" w:hAnsi="Times New Roman" w:eastAsia="宋体" w:cs="Times New Roman"/>
                <w:sz w:val="21"/>
                <w:szCs w:val="21"/>
                <w:vertAlign w:val="subscript"/>
                <w:lang w:val="en-US" w:eastAsia="zh-CN"/>
              </w:rPr>
              <w:t>2</w:t>
            </w:r>
            <w:r>
              <w:rPr>
                <w:rFonts w:hint="eastAsia" w:ascii="Times New Roman" w:hAnsi="Times New Roman" w:eastAsia="宋体"/>
              </w:rPr>
              <w:t>|</w:t>
            </w:r>
            <w:r>
              <w:rPr>
                <w:rFonts w:hint="default" w:ascii="Times New Roman" w:hAnsi="Times New Roman" w:eastAsia="宋体" w:cs="Times New Roman"/>
                <w:sz w:val="21"/>
                <w:szCs w:val="21"/>
                <w:vertAlign w:val="baseline"/>
                <w:lang w:val="en-US" w:eastAsia="zh-CN"/>
              </w:rPr>
              <w:t>D10</w:t>
            </w:r>
          </w:p>
        </w:tc>
        <w:tc>
          <w:tcPr>
            <w:tcW w:w="10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TSP</w:t>
            </w:r>
            <w:r>
              <w:rPr>
                <w:rFonts w:hint="eastAsia" w:ascii="Times New Roman" w:hAnsi="Times New Roman" w:eastAsia="宋体"/>
              </w:rPr>
              <w:t>|</w:t>
            </w:r>
            <w:r>
              <w:rPr>
                <w:rFonts w:hint="default" w:ascii="Times New Roman" w:hAnsi="Times New Roman" w:eastAsia="宋体" w:cs="Times New Roman"/>
                <w:sz w:val="21"/>
                <w:szCs w:val="21"/>
                <w:vertAlign w:val="baseline"/>
                <w:lang w:val="en-US" w:eastAsia="zh-CN"/>
              </w:rPr>
              <w:t>D10</w:t>
            </w:r>
          </w:p>
        </w:tc>
        <w:tc>
          <w:tcPr>
            <w:tcW w:w="116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VOCs</w:t>
            </w:r>
            <w:r>
              <w:rPr>
                <w:rFonts w:hint="eastAsia" w:ascii="Times New Roman" w:hAnsi="Times New Roman" w:eastAsia="宋体"/>
              </w:rPr>
              <w:t>|</w:t>
            </w:r>
            <w:r>
              <w:rPr>
                <w:rFonts w:hint="default" w:ascii="Times New Roman" w:hAnsi="Times New Roman" w:eastAsia="宋体" w:cs="Times New Roman"/>
                <w:sz w:val="21"/>
                <w:szCs w:val="21"/>
                <w:vertAlign w:val="baseline"/>
                <w:lang w:val="en-US" w:eastAsia="zh-CN"/>
              </w:rPr>
              <w:t>D10</w:t>
            </w:r>
          </w:p>
        </w:tc>
        <w:tc>
          <w:tcPr>
            <w:tcW w:w="13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异丙醇</w:t>
            </w:r>
            <w:r>
              <w:rPr>
                <w:rFonts w:hint="eastAsia" w:ascii="Times New Roman" w:hAnsi="Times New Roman" w:eastAsia="宋体"/>
              </w:rPr>
              <w:t>|</w:t>
            </w:r>
            <w:r>
              <w:rPr>
                <w:rFonts w:hint="default" w:ascii="Times New Roman" w:hAnsi="Times New Roman" w:eastAsia="宋体" w:cs="Times New Roman"/>
                <w:sz w:val="21"/>
                <w:szCs w:val="21"/>
                <w:vertAlign w:val="baseline"/>
                <w:lang w:val="en-US" w:eastAsia="zh-CN"/>
              </w:rPr>
              <w:t>D10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5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RTO系统</w:t>
            </w:r>
          </w:p>
        </w:tc>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0.05|0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0.54|0</w:t>
            </w:r>
          </w:p>
        </w:tc>
        <w:tc>
          <w:tcPr>
            <w:tcW w:w="10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0.02|0</w:t>
            </w:r>
          </w:p>
        </w:tc>
        <w:tc>
          <w:tcPr>
            <w:tcW w:w="10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16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3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5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碱回收炉</w:t>
            </w:r>
          </w:p>
        </w:tc>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0.15|0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2.22|0</w:t>
            </w:r>
          </w:p>
        </w:tc>
        <w:tc>
          <w:tcPr>
            <w:tcW w:w="10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0.04|0</w:t>
            </w:r>
          </w:p>
        </w:tc>
        <w:tc>
          <w:tcPr>
            <w:tcW w:w="10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16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3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5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石灰破碎系统</w:t>
            </w:r>
          </w:p>
        </w:tc>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0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0.26|0</w:t>
            </w:r>
          </w:p>
        </w:tc>
        <w:tc>
          <w:tcPr>
            <w:tcW w:w="10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16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3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5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堆场及备料车间</w:t>
            </w:r>
          </w:p>
        </w:tc>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0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6.36|0</w:t>
            </w:r>
          </w:p>
        </w:tc>
        <w:tc>
          <w:tcPr>
            <w:tcW w:w="10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16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3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5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碱回收系统石灰破碎车间</w:t>
            </w:r>
          </w:p>
        </w:tc>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00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0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1.12|0</w:t>
            </w:r>
          </w:p>
        </w:tc>
        <w:tc>
          <w:tcPr>
            <w:tcW w:w="10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16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c>
          <w:tcPr>
            <w:tcW w:w="13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rPr>
              <w:t>0.00|0</w:t>
            </w:r>
          </w:p>
        </w:tc>
      </w:tr>
    </w:tbl>
    <w:p>
      <w:pPr>
        <w:pStyle w:val="25"/>
        <w:jc w:val="both"/>
        <w:rPr>
          <w:rFonts w:cs="Times New Roman"/>
          <w:color w:val="auto"/>
          <w:szCs w:val="24"/>
        </w:rPr>
      </w:pPr>
      <w:r>
        <w:rPr>
          <w:rFonts w:cs="Times New Roman"/>
          <w:color w:val="auto"/>
          <w:szCs w:val="24"/>
        </w:rPr>
        <w:t>评价工作等级划分原则见表</w:t>
      </w:r>
      <w:r>
        <w:rPr>
          <w:rFonts w:hint="eastAsia" w:ascii="Times New Roman" w:hAnsi="Times New Roman" w:cs="Times New Roman"/>
          <w:color w:val="auto"/>
          <w:szCs w:val="24"/>
          <w:lang w:val="en-US" w:eastAsia="zh-CN"/>
        </w:rPr>
        <w:t>6</w:t>
      </w:r>
      <w:r>
        <w:rPr>
          <w:rFonts w:hint="default" w:ascii="Times New Roman" w:hAnsi="Times New Roman" w:cs="Times New Roman"/>
          <w:color w:val="auto"/>
          <w:szCs w:val="24"/>
        </w:rPr>
        <w:t>.2-</w:t>
      </w:r>
      <w:r>
        <w:rPr>
          <w:rFonts w:hint="default" w:ascii="Times New Roman" w:hAnsi="Times New Roman" w:cs="Times New Roman"/>
          <w:color w:val="auto"/>
          <w:szCs w:val="24"/>
          <w:lang w:val="en-US" w:eastAsia="zh-CN"/>
        </w:rPr>
        <w:t>9</w:t>
      </w:r>
      <w:r>
        <w:rPr>
          <w:rFonts w:cs="Times New Roman"/>
          <w:color w:val="auto"/>
          <w:szCs w:val="24"/>
        </w:rPr>
        <w:t>。</w:t>
      </w:r>
    </w:p>
    <w:p>
      <w:pPr>
        <w:pStyle w:val="25"/>
        <w:ind w:firstLine="0" w:firstLineChars="0"/>
        <w:jc w:val="center"/>
        <w:rPr>
          <w:rFonts w:ascii="Times New Roman" w:hAnsi="Times New Roman" w:eastAsia="宋体" w:cs="Times New Roman"/>
          <w:b/>
          <w:bCs/>
          <w:color w:val="auto"/>
          <w:szCs w:val="24"/>
        </w:rPr>
      </w:pPr>
      <w:r>
        <w:rPr>
          <w:rFonts w:cs="Times New Roman"/>
          <w:b/>
          <w:bCs/>
          <w:color w:val="auto"/>
          <w:szCs w:val="24"/>
        </w:rPr>
        <w:t>表</w:t>
      </w:r>
      <w:r>
        <w:rPr>
          <w:rFonts w:hint="eastAsia" w:ascii="Times New Roman" w:hAnsi="Times New Roman" w:eastAsia="宋体" w:cs="Times New Roman"/>
          <w:b/>
          <w:bCs/>
          <w:color w:val="auto"/>
          <w:szCs w:val="24"/>
          <w:lang w:val="en-US" w:eastAsia="zh-CN"/>
        </w:rPr>
        <w:t>6</w:t>
      </w:r>
      <w:r>
        <w:rPr>
          <w:rFonts w:ascii="Times New Roman" w:hAnsi="Times New Roman" w:eastAsia="宋体" w:cs="Times New Roman"/>
          <w:b/>
          <w:bCs/>
          <w:color w:val="auto"/>
          <w:szCs w:val="24"/>
        </w:rPr>
        <w:t>.2-</w:t>
      </w:r>
      <w:r>
        <w:rPr>
          <w:rFonts w:hint="eastAsia" w:ascii="Times New Roman" w:hAnsi="Times New Roman" w:eastAsia="宋体" w:cs="Times New Roman"/>
          <w:b/>
          <w:bCs/>
          <w:color w:val="auto"/>
          <w:szCs w:val="24"/>
          <w:lang w:val="en-US" w:eastAsia="zh-CN"/>
        </w:rPr>
        <w:t>9</w:t>
      </w:r>
      <w:r>
        <w:rPr>
          <w:rFonts w:ascii="Times New Roman" w:hAnsi="Times New Roman" w:eastAsia="宋体" w:cs="Times New Roman"/>
          <w:b/>
          <w:bCs/>
          <w:color w:val="auto"/>
          <w:szCs w:val="24"/>
        </w:rPr>
        <w:t xml:space="preserve">  评价工作等级划分原则</w:t>
      </w:r>
    </w:p>
    <w:tbl>
      <w:tblPr>
        <w:tblStyle w:val="18"/>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02"/>
        <w:gridCol w:w="40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02" w:type="dxa"/>
            <w:noWrap w:val="0"/>
            <w:vAlign w:val="center"/>
          </w:tcPr>
          <w:p>
            <w:pPr>
              <w:pStyle w:val="25"/>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评价工作等级</w:t>
            </w:r>
          </w:p>
        </w:tc>
        <w:tc>
          <w:tcPr>
            <w:tcW w:w="4017" w:type="dxa"/>
            <w:noWrap w:val="0"/>
            <w:vAlign w:val="center"/>
          </w:tcPr>
          <w:p>
            <w:pPr>
              <w:pStyle w:val="25"/>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02"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一级</w:t>
            </w:r>
          </w:p>
        </w:tc>
        <w:tc>
          <w:tcPr>
            <w:tcW w:w="4017"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02"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二级</w:t>
            </w:r>
          </w:p>
        </w:tc>
        <w:tc>
          <w:tcPr>
            <w:tcW w:w="4017"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02"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三级</w:t>
            </w:r>
          </w:p>
        </w:tc>
        <w:tc>
          <w:tcPr>
            <w:tcW w:w="4017"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Pmax＜1%</w:t>
            </w:r>
          </w:p>
        </w:tc>
      </w:tr>
    </w:tbl>
    <w:p>
      <w:pPr>
        <w:pStyle w:val="25"/>
        <w:jc w:val="both"/>
        <w:rPr>
          <w:rFonts w:ascii="Times New Roman" w:hAnsi="Times New Roman" w:cs="Times New Roman"/>
          <w:color w:val="auto"/>
          <w:szCs w:val="24"/>
        </w:rPr>
      </w:pPr>
      <w:r>
        <w:rPr>
          <w:rFonts w:hint="default"/>
          <w:sz w:val="24"/>
          <w:szCs w:val="24"/>
          <w:lang w:val="en-US" w:eastAsia="zh-CN"/>
        </w:rPr>
        <w:t>综上，根据《环境影响评价技术导则 大气环境》</w:t>
      </w:r>
      <w:r>
        <w:rPr>
          <w:rFonts w:hint="default" w:ascii="Times New Roman" w:hAnsi="Times New Roman"/>
          <w:sz w:val="24"/>
          <w:szCs w:val="24"/>
          <w:lang w:val="en-US" w:eastAsia="zh-CN"/>
        </w:rPr>
        <w:t>（HJ2.2-2018），</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项目污染物最大地面空气质量浓度占标率Pmax为</w:t>
      </w:r>
      <w:r>
        <w:rPr>
          <w:rFonts w:hint="eastAsia" w:ascii="Times New Roman" w:hAnsi="Times New Roman"/>
          <w:sz w:val="24"/>
          <w:szCs w:val="24"/>
          <w:lang w:val="en-US" w:eastAsia="zh-CN"/>
        </w:rPr>
        <w:t>6.36</w:t>
      </w:r>
      <w:r>
        <w:rPr>
          <w:rFonts w:hint="default" w:ascii="Times New Roman" w:hAnsi="Times New Roman"/>
          <w:sz w:val="24"/>
          <w:szCs w:val="24"/>
          <w:lang w:val="en-US" w:eastAsia="zh-CN"/>
        </w:rPr>
        <w:t>%（堆场及备料车间），</w:t>
      </w:r>
      <w:r>
        <w:rPr>
          <w:rFonts w:hint="eastAsia" w:ascii="Times New Roman" w:hAnsi="Times New Roman"/>
          <w:sz w:val="24"/>
          <w:szCs w:val="24"/>
          <w:lang w:val="en-US" w:eastAsia="zh-CN"/>
        </w:rPr>
        <w:t>1%</w:t>
      </w:r>
      <w:r>
        <w:rPr>
          <w:rFonts w:hint="default" w:ascii="Times New Roman" w:hAnsi="Times New Roman"/>
          <w:sz w:val="24"/>
          <w:szCs w:val="24"/>
          <w:lang w:val="en-US" w:eastAsia="zh-CN"/>
        </w:rPr>
        <w:t>＜</w:t>
      </w:r>
      <w:r>
        <w:rPr>
          <w:rFonts w:hint="eastAsia" w:ascii="Times New Roman" w:hAnsi="Times New Roman"/>
          <w:sz w:val="24"/>
          <w:szCs w:val="24"/>
          <w:lang w:val="en-US" w:eastAsia="zh-CN"/>
        </w:rPr>
        <w:t>6.36</w:t>
      </w:r>
      <w:r>
        <w:rPr>
          <w:rFonts w:hint="default" w:ascii="Times New Roman" w:hAnsi="Times New Roman"/>
          <w:sz w:val="24"/>
          <w:szCs w:val="24"/>
          <w:lang w:val="en-US" w:eastAsia="zh-CN"/>
        </w:rPr>
        <w:t>%＜1</w:t>
      </w:r>
      <w:r>
        <w:rPr>
          <w:rFonts w:hint="eastAsia" w:ascii="Times New Roman" w:hAnsi="Times New Roman"/>
          <w:sz w:val="24"/>
          <w:szCs w:val="24"/>
          <w:lang w:val="en-US" w:eastAsia="zh-CN"/>
        </w:rPr>
        <w:t>0</w:t>
      </w:r>
      <w:r>
        <w:rPr>
          <w:rFonts w:hint="default" w:ascii="Times New Roman" w:hAnsi="Times New Roman"/>
          <w:sz w:val="24"/>
          <w:szCs w:val="24"/>
          <w:lang w:val="en-US" w:eastAsia="zh-CN"/>
        </w:rPr>
        <w:t>%，评价等级为</w:t>
      </w:r>
      <w:r>
        <w:rPr>
          <w:rFonts w:hint="eastAsia" w:ascii="Times New Roman" w:hAnsi="Times New Roman"/>
          <w:sz w:val="24"/>
          <w:szCs w:val="24"/>
          <w:lang w:val="en-US" w:eastAsia="zh-CN"/>
        </w:rPr>
        <w:t>二</w:t>
      </w:r>
      <w:r>
        <w:rPr>
          <w:rFonts w:hint="default" w:ascii="Times New Roman" w:hAnsi="Times New Roman"/>
          <w:sz w:val="24"/>
          <w:szCs w:val="24"/>
          <w:lang w:val="en-US" w:eastAsia="zh-CN"/>
        </w:rPr>
        <w:t>级。</w:t>
      </w:r>
      <w:r>
        <w:rPr>
          <w:rFonts w:hint="eastAsia" w:ascii="Times New Roman" w:hAnsi="Times New Roman" w:cs="Times New Roman"/>
          <w:color w:val="auto"/>
          <w:szCs w:val="24"/>
          <w:highlight w:val="none"/>
          <w:lang w:eastAsia="zh-CN"/>
        </w:rPr>
        <w:t>评价范围为以项目厂址为中心，边长为 5km的矩形区域。大气环境影响评价范围及基本信息底图见图</w:t>
      </w:r>
      <w:r>
        <w:rPr>
          <w:rFonts w:hint="default" w:ascii="Times New Roman" w:hAnsi="Times New Roman" w:cs="Times New Roman"/>
          <w:color w:val="auto"/>
          <w:szCs w:val="24"/>
          <w:highlight w:val="none"/>
          <w:lang w:eastAsia="zh-CN"/>
        </w:rPr>
        <w:t>1.</w:t>
      </w:r>
      <w:r>
        <w:rPr>
          <w:rFonts w:hint="default" w:ascii="Times New Roman" w:hAnsi="Times New Roman" w:cs="Times New Roman"/>
          <w:color w:val="auto"/>
          <w:szCs w:val="24"/>
          <w:highlight w:val="none"/>
          <w:lang w:val="en-US" w:eastAsia="zh-CN"/>
        </w:rPr>
        <w:t>5</w:t>
      </w:r>
      <w:r>
        <w:rPr>
          <w:rFonts w:hint="default" w:ascii="Times New Roman" w:hAnsi="Times New Roman" w:cs="Times New Roman"/>
          <w:color w:val="auto"/>
          <w:szCs w:val="24"/>
          <w:highlight w:val="none"/>
          <w:lang w:eastAsia="zh-CN"/>
        </w:rPr>
        <w:t>-1</w:t>
      </w:r>
      <w:r>
        <w:rPr>
          <w:rFonts w:ascii="Times New Roman" w:hAnsi="Times New Roman" w:cs="Times New Roman"/>
          <w:color w:val="auto"/>
          <w:szCs w:val="24"/>
        </w:rPr>
        <w:t>。</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b/>
          <w:bCs/>
          <w:color w:val="auto"/>
          <w:sz w:val="28"/>
          <w:szCs w:val="28"/>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b/>
          <w:bCs/>
          <w:color w:val="auto"/>
          <w:sz w:val="28"/>
          <w:szCs w:val="28"/>
        </w:rPr>
        <w:t xml:space="preserve"> </w:t>
      </w:r>
      <w:r>
        <w:rPr>
          <w:rFonts w:hint="eastAsia"/>
          <w:b/>
          <w:bCs/>
          <w:color w:val="auto"/>
          <w:sz w:val="28"/>
          <w:szCs w:val="28"/>
        </w:rPr>
        <w:t>大气防护距离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根据《环境影响评价技术导则 大气环境》（HJ2.2-2018），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根据估算模型 AERSCREEN计算结果可知，本项目各污染物厂界外大气污染物短期贡献浓度均未超过环境质量浓度限值，无需设置大气环境防护距离。</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b/>
          <w:bCs/>
          <w:color w:val="auto"/>
          <w:sz w:val="28"/>
          <w:szCs w:val="28"/>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4</w:t>
      </w:r>
      <w:r>
        <w:rPr>
          <w:b/>
          <w:bCs/>
          <w:color w:val="auto"/>
          <w:sz w:val="28"/>
          <w:szCs w:val="28"/>
        </w:rPr>
        <w:t xml:space="preserve"> </w:t>
      </w:r>
      <w:r>
        <w:rPr>
          <w:rFonts w:hint="eastAsia"/>
          <w:b/>
          <w:bCs/>
          <w:color w:val="auto"/>
          <w:sz w:val="28"/>
          <w:szCs w:val="28"/>
        </w:rPr>
        <w:t>污染物排放量核算结果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项目大气污染物有组织排放量核算情况见表</w:t>
      </w:r>
      <w:r>
        <w:rPr>
          <w:rFonts w:hint="eastAsia" w:ascii="Times New Roman" w:hAnsi="Times New Roman"/>
          <w:sz w:val="24"/>
          <w:szCs w:val="24"/>
          <w:lang w:val="en-US" w:eastAsia="zh-CN"/>
        </w:rPr>
        <w:t>6</w:t>
      </w:r>
      <w:r>
        <w:rPr>
          <w:rFonts w:hint="default" w:ascii="Times New Roman" w:hAnsi="Times New Roman"/>
          <w:sz w:val="24"/>
          <w:szCs w:val="24"/>
          <w:lang w:val="en-US" w:eastAsia="zh-CN"/>
        </w:rPr>
        <w:t>.2-10，无组织排放量核算情况见表</w:t>
      </w:r>
      <w:r>
        <w:rPr>
          <w:rFonts w:hint="eastAsia" w:ascii="Times New Roman" w:hAnsi="Times New Roman"/>
          <w:sz w:val="24"/>
          <w:szCs w:val="24"/>
          <w:lang w:val="en-US" w:eastAsia="zh-CN"/>
        </w:rPr>
        <w:t>6</w:t>
      </w:r>
      <w:r>
        <w:rPr>
          <w:rFonts w:hint="default" w:ascii="Times New Roman" w:hAnsi="Times New Roman"/>
          <w:sz w:val="24"/>
          <w:szCs w:val="24"/>
          <w:lang w:val="en-US" w:eastAsia="zh-CN"/>
        </w:rPr>
        <w:t>.2-11，年排放量情况见表</w:t>
      </w:r>
      <w:r>
        <w:rPr>
          <w:rFonts w:hint="eastAsia" w:ascii="Times New Roman" w:hAnsi="Times New Roman"/>
          <w:sz w:val="24"/>
          <w:szCs w:val="24"/>
          <w:lang w:val="en-US" w:eastAsia="zh-CN"/>
        </w:rPr>
        <w:t>6</w:t>
      </w:r>
      <w:r>
        <w:rPr>
          <w:rFonts w:hint="default" w:ascii="Times New Roman" w:hAnsi="Times New Roman"/>
          <w:sz w:val="24"/>
          <w:szCs w:val="24"/>
          <w:lang w:val="en-US" w:eastAsia="zh-CN"/>
        </w:rPr>
        <w:t>.2-12，非正常排放量情况见表</w:t>
      </w:r>
      <w:r>
        <w:rPr>
          <w:rFonts w:hint="eastAsia" w:ascii="Times New Roman" w:hAnsi="Times New Roman"/>
          <w:sz w:val="24"/>
          <w:szCs w:val="24"/>
          <w:lang w:val="en-US" w:eastAsia="zh-CN"/>
        </w:rPr>
        <w:t>6</w:t>
      </w:r>
      <w:r>
        <w:rPr>
          <w:rFonts w:hint="default" w:ascii="Times New Roman" w:hAnsi="Times New Roman"/>
          <w:sz w:val="24"/>
          <w:szCs w:val="24"/>
          <w:lang w:val="en-US" w:eastAsia="zh-CN"/>
        </w:rPr>
        <w:t>.2-13。</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sz w:val="24"/>
          <w:szCs w:val="24"/>
          <w:lang w:val="en-US" w:eastAsia="zh-CN"/>
        </w:rPr>
      </w:pPr>
      <w:r>
        <w:rPr>
          <w:rFonts w:cs="Times New Roman"/>
          <w:b/>
          <w:bCs/>
          <w:color w:val="auto"/>
          <w:sz w:val="24"/>
          <w:szCs w:val="24"/>
        </w:rPr>
        <w:t>表</w:t>
      </w:r>
      <w:r>
        <w:rPr>
          <w:rFonts w:hint="default" w:ascii="Times New Roman" w:hAnsi="Times New Roman" w:cs="Times New Roman"/>
          <w:b/>
          <w:bCs/>
          <w:color w:val="auto"/>
          <w:sz w:val="24"/>
          <w:szCs w:val="24"/>
          <w:lang w:val="en-US" w:eastAsia="zh-CN"/>
        </w:rPr>
        <w:t>6</w:t>
      </w:r>
      <w:r>
        <w:rPr>
          <w:rFonts w:hint="default" w:ascii="Times New Roman" w:hAnsi="Times New Roman" w:cs="Times New Roman"/>
          <w:b/>
          <w:bCs/>
          <w:color w:val="auto"/>
          <w:sz w:val="24"/>
          <w:szCs w:val="24"/>
        </w:rPr>
        <w:t>.2-</w:t>
      </w:r>
      <w:r>
        <w:rPr>
          <w:rFonts w:hint="default" w:ascii="Times New Roman" w:hAnsi="Times New Roman" w:cs="Times New Roman"/>
          <w:b/>
          <w:bCs/>
          <w:color w:val="auto"/>
          <w:sz w:val="24"/>
          <w:szCs w:val="24"/>
          <w:lang w:val="en-US" w:eastAsia="zh-CN"/>
        </w:rPr>
        <w:t>10</w:t>
      </w:r>
      <w:r>
        <w:rPr>
          <w:rFonts w:cs="Times New Roman"/>
          <w:b/>
          <w:bCs/>
          <w:color w:val="auto"/>
          <w:sz w:val="24"/>
          <w:szCs w:val="24"/>
        </w:rPr>
        <w:t xml:space="preserve">  </w:t>
      </w:r>
      <w:r>
        <w:rPr>
          <w:rFonts w:hint="eastAsia" w:cs="Times New Roman"/>
          <w:b/>
          <w:bCs/>
          <w:color w:val="auto"/>
          <w:sz w:val="24"/>
          <w:szCs w:val="24"/>
        </w:rPr>
        <w:t>大气污染物有组织排放量核算表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4"/>
        <w:gridCol w:w="1890"/>
        <w:gridCol w:w="1383"/>
        <w:gridCol w:w="1382"/>
        <w:gridCol w:w="1383"/>
        <w:gridCol w:w="13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874" w:type="dxa"/>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序号</w:t>
            </w:r>
          </w:p>
        </w:tc>
        <w:tc>
          <w:tcPr>
            <w:tcW w:w="1890" w:type="dxa"/>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排放口编号</w:t>
            </w:r>
          </w:p>
        </w:tc>
        <w:tc>
          <w:tcPr>
            <w:tcW w:w="1383" w:type="dxa"/>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污染物</w:t>
            </w:r>
          </w:p>
        </w:tc>
        <w:tc>
          <w:tcPr>
            <w:tcW w:w="1382" w:type="dxa"/>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核算排放浓度（mg/m</w:t>
            </w:r>
            <w:r>
              <w:rPr>
                <w:rFonts w:ascii="Times New Roman" w:hAnsi="Times New Roman" w:eastAsia="宋体"/>
                <w:b/>
                <w:bCs/>
                <w:color w:val="auto"/>
                <w:szCs w:val="21"/>
                <w:vertAlign w:val="superscript"/>
              </w:rPr>
              <w:t>3</w:t>
            </w:r>
            <w:r>
              <w:rPr>
                <w:rFonts w:ascii="Times New Roman" w:hAnsi="Times New Roman" w:eastAsia="宋体"/>
                <w:b/>
                <w:bCs/>
                <w:color w:val="auto"/>
                <w:szCs w:val="21"/>
              </w:rPr>
              <w:t>）</w:t>
            </w:r>
          </w:p>
        </w:tc>
        <w:tc>
          <w:tcPr>
            <w:tcW w:w="1383" w:type="dxa"/>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核算排放速率（kg/h）</w:t>
            </w:r>
          </w:p>
        </w:tc>
        <w:tc>
          <w:tcPr>
            <w:tcW w:w="1383" w:type="dxa"/>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核算年排放量（kg/a）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8295" w:type="dxa"/>
            <w:gridSpan w:val="6"/>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874" w:type="dxa"/>
            <w:vMerge w:val="restart"/>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r>
              <w:rPr>
                <w:rFonts w:ascii="Times New Roman" w:hAnsi="Times New Roman" w:eastAsia="宋体"/>
                <w:color w:val="auto"/>
                <w:szCs w:val="21"/>
              </w:rPr>
              <w:t>1</w:t>
            </w:r>
          </w:p>
        </w:tc>
        <w:tc>
          <w:tcPr>
            <w:tcW w:w="1890" w:type="dxa"/>
            <w:vMerge w:val="restart"/>
            <w:noWrap w:val="0"/>
            <w:vAlign w:val="center"/>
          </w:tcPr>
          <w:p>
            <w:pPr>
              <w:pStyle w:val="17"/>
              <w:widowControl/>
              <w:adjustRightInd w:val="0"/>
              <w:snapToGrid w:val="0"/>
              <w:spacing w:after="0"/>
              <w:ind w:firstLine="0" w:firstLineChars="0"/>
              <w:jc w:val="center"/>
              <w:rPr>
                <w:rFonts w:hint="default" w:ascii="Times New Roman" w:hAnsi="Times New Roman" w:eastAsia="宋体"/>
                <w:color w:val="auto"/>
                <w:szCs w:val="21"/>
                <w:lang w:val="en-US" w:eastAsia="zh-CN"/>
              </w:rPr>
            </w:pPr>
            <w:r>
              <w:rPr>
                <w:rFonts w:ascii="Times New Roman" w:hAnsi="Times New Roman" w:eastAsia="宋体"/>
                <w:color w:val="auto"/>
                <w:szCs w:val="21"/>
              </w:rPr>
              <w:t>排气筒</w:t>
            </w:r>
            <w:r>
              <w:rPr>
                <w:rFonts w:hint="eastAsia" w:ascii="Times New Roman" w:hAnsi="Times New Roman" w:eastAsia="宋体"/>
                <w:color w:val="auto"/>
                <w:szCs w:val="21"/>
                <w:lang w:val="en-US" w:eastAsia="zh-CN"/>
              </w:rPr>
              <w:t>DA0</w:t>
            </w:r>
            <w:r>
              <w:rPr>
                <w:rFonts w:hint="eastAsia" w:ascii="Times New Roman" w:hAnsi="Times New Roman"/>
                <w:color w:val="auto"/>
                <w:szCs w:val="21"/>
                <w:lang w:val="en-US" w:eastAsia="zh-CN"/>
              </w:rPr>
              <w:t>19</w:t>
            </w:r>
          </w:p>
        </w:tc>
        <w:tc>
          <w:tcPr>
            <w:tcW w:w="1383" w:type="dxa"/>
            <w:noWrap w:val="0"/>
            <w:vAlign w:val="center"/>
          </w:tcPr>
          <w:p>
            <w:pPr>
              <w:pStyle w:val="25"/>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非甲烷总烃</w:t>
            </w:r>
          </w:p>
        </w:tc>
        <w:tc>
          <w:tcPr>
            <w:tcW w:w="138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0.209</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0.00418</w:t>
            </w:r>
          </w:p>
        </w:tc>
        <w:tc>
          <w:tcPr>
            <w:tcW w:w="1383" w:type="dxa"/>
            <w:noWrap w:val="0"/>
            <w:vAlign w:val="center"/>
          </w:tcPr>
          <w:p>
            <w:pPr>
              <w:keepNext w:val="0"/>
              <w:keepLines w:val="0"/>
              <w:widowControl/>
              <w:suppressLineNumbers w:val="0"/>
              <w:jc w:val="center"/>
              <w:textAlignment w:val="center"/>
              <w:rPr>
                <w:rFonts w:hint="default" w:ascii="Times New Roman" w:hAnsi="Times New Roman" w:eastAsia="宋体"/>
                <w:color w:val="auto"/>
                <w:szCs w:val="21"/>
                <w:lang w:val="en-US" w:eastAsia="zh-CN"/>
              </w:rPr>
            </w:pPr>
            <w:r>
              <w:rPr>
                <w:rFonts w:hint="eastAsia" w:ascii="Times New Roman" w:hAnsi="Times New Roman" w:eastAsia="宋体" w:cs="Times New Roman"/>
                <w:i w:val="0"/>
                <w:iCs w:val="0"/>
                <w:color w:val="000000"/>
                <w:kern w:val="0"/>
                <w:sz w:val="21"/>
                <w:szCs w:val="21"/>
                <w:u w:val="none"/>
                <w:lang w:val="en-US" w:eastAsia="zh-CN" w:bidi="ar"/>
              </w:rPr>
              <w:t>34.08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874"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890"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sz w:val="21"/>
                <w:szCs w:val="21"/>
                <w:vertAlign w:val="baseline"/>
                <w:lang w:val="en-US" w:eastAsia="zh-CN"/>
              </w:rPr>
              <w:t>异丙醇</w:t>
            </w:r>
          </w:p>
        </w:tc>
        <w:tc>
          <w:tcPr>
            <w:tcW w:w="138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0.00035</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7.06</w:t>
            </w:r>
            <w:r>
              <w:rPr>
                <w:rFonts w:hint="default" w:ascii="Times New Roman" w:hAnsi="Times New Roman" w:eastAsia="宋体" w:cs="Arial"/>
                <w:sz w:val="21"/>
                <w:szCs w:val="21"/>
                <w:vertAlign w:val="baseline"/>
                <w:lang w:val="en-US" w:eastAsia="zh-CN"/>
              </w:rPr>
              <w:t>×</w:t>
            </w:r>
            <w:r>
              <w:rPr>
                <w:rFonts w:hint="eastAsia" w:ascii="Times New Roman" w:hAnsi="Times New Roman" w:eastAsia="宋体"/>
                <w:sz w:val="21"/>
                <w:szCs w:val="21"/>
                <w:vertAlign w:val="baseline"/>
                <w:lang w:val="en-US" w:eastAsia="zh-CN"/>
              </w:rPr>
              <w:t>10</w:t>
            </w:r>
            <w:r>
              <w:rPr>
                <w:rFonts w:hint="eastAsia" w:ascii="Times New Roman" w:hAnsi="Times New Roman" w:eastAsia="宋体"/>
                <w:sz w:val="21"/>
                <w:szCs w:val="21"/>
                <w:vertAlign w:val="superscript"/>
                <w:lang w:val="en-US" w:eastAsia="zh-CN"/>
              </w:rPr>
              <w:t>-6</w:t>
            </w:r>
          </w:p>
        </w:tc>
        <w:tc>
          <w:tcPr>
            <w:tcW w:w="1383" w:type="dxa"/>
            <w:noWrap w:val="0"/>
            <w:vAlign w:val="center"/>
          </w:tcPr>
          <w:p>
            <w:pPr>
              <w:keepNext w:val="0"/>
              <w:keepLines w:val="0"/>
              <w:widowControl/>
              <w:suppressLineNumbers w:val="0"/>
              <w:jc w:val="center"/>
              <w:textAlignment w:val="center"/>
              <w:rPr>
                <w:rFonts w:hint="eastAsia" w:ascii="Times New Roman" w:hAnsi="Times New Roman" w:eastAsia="宋体"/>
                <w:color w:val="auto"/>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874"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890"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sz w:val="21"/>
                <w:szCs w:val="21"/>
                <w:vertAlign w:val="baseline"/>
                <w:lang w:val="en-US" w:eastAsia="zh-CN"/>
              </w:rPr>
              <w:t>VOCs</w:t>
            </w:r>
          </w:p>
        </w:tc>
        <w:tc>
          <w:tcPr>
            <w:tcW w:w="138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0.21</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0.0042</w:t>
            </w:r>
          </w:p>
        </w:tc>
        <w:tc>
          <w:tcPr>
            <w:tcW w:w="1383" w:type="dxa"/>
            <w:noWrap w:val="0"/>
            <w:vAlign w:val="center"/>
          </w:tcPr>
          <w:p>
            <w:pPr>
              <w:keepNext w:val="0"/>
              <w:keepLines w:val="0"/>
              <w:widowControl/>
              <w:suppressLineNumbers w:val="0"/>
              <w:jc w:val="center"/>
              <w:textAlignment w:val="center"/>
              <w:rPr>
                <w:rFonts w:hint="eastAsia" w:ascii="Times New Roman" w:hAnsi="Times New Roman" w:eastAsia="宋体"/>
                <w:color w:val="auto"/>
                <w:szCs w:val="21"/>
                <w:lang w:val="en-US" w:eastAsia="zh-CN"/>
              </w:rPr>
            </w:pPr>
            <w:r>
              <w:rPr>
                <w:rFonts w:hint="eastAsia" w:ascii="Times New Roman" w:hAnsi="Times New Roman" w:eastAsia="宋体" w:cs="Times New Roman"/>
                <w:i w:val="0"/>
                <w:iCs w:val="0"/>
                <w:color w:val="000000"/>
                <w:kern w:val="0"/>
                <w:sz w:val="21"/>
                <w:szCs w:val="21"/>
                <w:u w:val="none"/>
                <w:lang w:val="en-US" w:eastAsia="zh-CN" w:bidi="ar"/>
              </w:rPr>
              <w:t>34.14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874"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890"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sz w:val="21"/>
                <w:szCs w:val="21"/>
                <w:vertAlign w:val="baseline"/>
                <w:lang w:val="en-US" w:eastAsia="zh-CN"/>
              </w:rPr>
              <w:t>二氧化硫</w:t>
            </w:r>
          </w:p>
        </w:tc>
        <w:tc>
          <w:tcPr>
            <w:tcW w:w="138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sz w:val="21"/>
                <w:szCs w:val="21"/>
                <w:vertAlign w:val="baseline"/>
                <w:lang w:val="en-US" w:eastAsia="zh-CN"/>
              </w:rPr>
              <w:t>0.81</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sz w:val="21"/>
                <w:szCs w:val="21"/>
                <w:vertAlign w:val="baseline"/>
                <w:lang w:val="en-US" w:eastAsia="zh-CN"/>
              </w:rPr>
              <w:t>0.016</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sz w:val="21"/>
                <w:szCs w:val="21"/>
                <w:vertAlign w:val="baseline"/>
                <w:lang w:val="en-US" w:eastAsia="zh-CN"/>
              </w:rPr>
              <w:t>132.93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874"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890"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sz w:val="21"/>
                <w:szCs w:val="21"/>
                <w:vertAlign w:val="baseline"/>
                <w:lang w:val="en-US" w:eastAsia="zh-CN"/>
              </w:rPr>
              <w:t>氮氧化物</w:t>
            </w:r>
          </w:p>
        </w:tc>
        <w:tc>
          <w:tcPr>
            <w:tcW w:w="138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3.5</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0.07</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571.32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874"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890"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sz w:val="21"/>
                <w:szCs w:val="21"/>
                <w:vertAlign w:val="baseline"/>
                <w:lang w:val="en-US" w:eastAsia="zh-CN"/>
              </w:rPr>
              <w:t>颗粒物</w:t>
            </w:r>
          </w:p>
        </w:tc>
        <w:tc>
          <w:tcPr>
            <w:tcW w:w="138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0.07</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0.0014</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11.34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874"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890"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383" w:type="dxa"/>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臭气浓度</w:t>
            </w:r>
          </w:p>
          <w:p>
            <w:pPr>
              <w:pStyle w:val="25"/>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（无量纲）</w:t>
            </w:r>
          </w:p>
        </w:tc>
        <w:tc>
          <w:tcPr>
            <w:tcW w:w="4148" w:type="dxa"/>
            <w:gridSpan w:val="3"/>
            <w:noWrap w:val="0"/>
            <w:vAlign w:val="center"/>
          </w:tcPr>
          <w:p>
            <w:pPr>
              <w:keepNext w:val="0"/>
              <w:keepLines w:val="0"/>
              <w:widowControl/>
              <w:suppressLineNumbers w:val="0"/>
              <w:jc w:val="center"/>
              <w:textAlignment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874" w:type="dxa"/>
            <w:vMerge w:val="restart"/>
            <w:noWrap w:val="0"/>
            <w:vAlign w:val="center"/>
          </w:tcPr>
          <w:p>
            <w:pPr>
              <w:pStyle w:val="17"/>
              <w:widowControl/>
              <w:adjustRightInd w:val="0"/>
              <w:snapToGrid w:val="0"/>
              <w:spacing w:after="0"/>
              <w:ind w:firstLine="0" w:firstLineChars="0"/>
              <w:jc w:val="center"/>
              <w:rPr>
                <w:rFonts w:hint="eastAsia" w:ascii="Times New Roman" w:hAnsi="Times New Roman" w:eastAsia="宋体"/>
                <w:color w:val="auto"/>
                <w:szCs w:val="21"/>
                <w:lang w:eastAsia="zh-CN"/>
              </w:rPr>
            </w:pPr>
            <w:r>
              <w:rPr>
                <w:rFonts w:hint="eastAsia" w:ascii="Times New Roman" w:hAnsi="Times New Roman" w:eastAsia="宋体"/>
                <w:color w:val="auto"/>
                <w:szCs w:val="21"/>
                <w:lang w:val="en-US" w:eastAsia="zh-CN"/>
              </w:rPr>
              <w:t>2</w:t>
            </w:r>
          </w:p>
        </w:tc>
        <w:tc>
          <w:tcPr>
            <w:tcW w:w="1890" w:type="dxa"/>
            <w:vMerge w:val="restart"/>
            <w:noWrap w:val="0"/>
            <w:vAlign w:val="center"/>
          </w:tcPr>
          <w:p>
            <w:pPr>
              <w:pStyle w:val="17"/>
              <w:widowControl/>
              <w:adjustRightInd w:val="0"/>
              <w:snapToGrid w:val="0"/>
              <w:spacing w:after="0"/>
              <w:ind w:firstLine="0" w:firstLineChars="0"/>
              <w:jc w:val="center"/>
              <w:rPr>
                <w:rFonts w:hint="default" w:ascii="Times New Roman" w:hAnsi="Times New Roman" w:eastAsia="宋体"/>
                <w:color w:val="auto"/>
                <w:szCs w:val="21"/>
                <w:lang w:val="en-US" w:eastAsia="zh-CN"/>
              </w:rPr>
            </w:pPr>
            <w:r>
              <w:rPr>
                <w:rFonts w:ascii="Times New Roman" w:hAnsi="Times New Roman" w:eastAsia="宋体"/>
                <w:color w:val="auto"/>
                <w:szCs w:val="21"/>
              </w:rPr>
              <w:t>排气筒</w:t>
            </w:r>
            <w:r>
              <w:rPr>
                <w:rFonts w:hint="eastAsia" w:ascii="Times New Roman" w:hAnsi="Times New Roman" w:eastAsia="宋体"/>
                <w:color w:val="auto"/>
                <w:szCs w:val="21"/>
                <w:lang w:val="en-US" w:eastAsia="zh-CN"/>
              </w:rPr>
              <w:t>DA00</w:t>
            </w:r>
            <w:r>
              <w:rPr>
                <w:rFonts w:hint="eastAsia" w:ascii="Times New Roman" w:hAnsi="Times New Roman"/>
                <w:color w:val="auto"/>
                <w:szCs w:val="21"/>
                <w:lang w:val="en-US" w:eastAsia="zh-CN"/>
              </w:rPr>
              <w:t>6</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颗粒物</w:t>
            </w:r>
          </w:p>
        </w:tc>
        <w:tc>
          <w:tcPr>
            <w:tcW w:w="138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kern w:val="0"/>
                <w:szCs w:val="21"/>
                <w:lang w:val="en-US" w:eastAsia="zh-CN" w:bidi="ar"/>
              </w:rPr>
            </w:pPr>
            <w:r>
              <w:rPr>
                <w:rFonts w:hint="eastAsia" w:ascii="Times New Roman" w:hAnsi="Times New Roman" w:eastAsia="宋体"/>
                <w:sz w:val="21"/>
                <w:szCs w:val="21"/>
                <w:highlight w:val="none"/>
                <w:vertAlign w:val="baseline"/>
                <w:lang w:val="en-US" w:eastAsia="zh-CN"/>
              </w:rPr>
              <w:t>1.8</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szCs w:val="21"/>
                <w:lang w:val="en-US" w:eastAsia="zh-CN"/>
              </w:rPr>
            </w:pPr>
            <w:r>
              <w:rPr>
                <w:rFonts w:hint="eastAsia" w:ascii="Times New Roman" w:hAnsi="Times New Roman" w:eastAsia="宋体"/>
                <w:sz w:val="21"/>
                <w:szCs w:val="21"/>
                <w:highlight w:val="none"/>
                <w:vertAlign w:val="baseline"/>
                <w:lang w:val="en-US" w:eastAsia="zh-CN"/>
              </w:rPr>
              <w:t>0.256</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szCs w:val="21"/>
                <w:lang w:val="en-US" w:eastAsia="zh-CN"/>
              </w:rPr>
            </w:pPr>
            <w:r>
              <w:rPr>
                <w:rFonts w:hint="eastAsia" w:ascii="Times New Roman" w:hAnsi="Times New Roman"/>
                <w:sz w:val="21"/>
                <w:szCs w:val="21"/>
                <w:highlight w:val="none"/>
                <w:vertAlign w:val="baseline"/>
                <w:lang w:val="en-US" w:eastAsia="zh-CN"/>
              </w:rPr>
              <w:t>2090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874" w:type="dxa"/>
            <w:vMerge w:val="continue"/>
            <w:noWrap w:val="0"/>
            <w:vAlign w:val="center"/>
          </w:tcPr>
          <w:p>
            <w:pPr>
              <w:pStyle w:val="17"/>
              <w:widowControl/>
              <w:adjustRightInd w:val="0"/>
              <w:snapToGrid w:val="0"/>
              <w:spacing w:after="0"/>
              <w:ind w:firstLine="0" w:firstLineChars="0"/>
              <w:jc w:val="center"/>
              <w:rPr>
                <w:rFonts w:hint="eastAsia" w:ascii="Times New Roman" w:hAnsi="Times New Roman" w:eastAsia="宋体"/>
                <w:color w:val="auto"/>
                <w:szCs w:val="21"/>
                <w:lang w:val="en-US" w:eastAsia="zh-CN"/>
              </w:rPr>
            </w:pPr>
          </w:p>
        </w:tc>
        <w:tc>
          <w:tcPr>
            <w:tcW w:w="1890"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kern w:val="0"/>
                <w:szCs w:val="21"/>
                <w:lang w:val="en-US" w:eastAsia="zh-CN"/>
              </w:rPr>
            </w:pPr>
            <w:r>
              <w:rPr>
                <w:rFonts w:hint="eastAsia" w:ascii="Times New Roman" w:hAnsi="Times New Roman" w:eastAsia="宋体"/>
                <w:sz w:val="21"/>
                <w:szCs w:val="21"/>
                <w:vertAlign w:val="baseline"/>
                <w:lang w:val="en-US" w:eastAsia="zh-CN"/>
              </w:rPr>
              <w:t>二氧化硫</w:t>
            </w:r>
          </w:p>
        </w:tc>
        <w:tc>
          <w:tcPr>
            <w:tcW w:w="138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kern w:val="0"/>
                <w:szCs w:val="21"/>
                <w:lang w:val="en-US" w:eastAsia="zh-CN" w:bidi="ar"/>
              </w:rPr>
            </w:pPr>
            <w:r>
              <w:rPr>
                <w:rFonts w:hint="eastAsia" w:ascii="Times New Roman" w:hAnsi="Times New Roman" w:eastAsia="宋体"/>
                <w:sz w:val="21"/>
                <w:szCs w:val="21"/>
                <w:vertAlign w:val="baseline"/>
                <w:lang w:val="en-US" w:eastAsia="zh-CN"/>
              </w:rPr>
              <w:t>3.49</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0.50</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szCs w:val="21"/>
                <w:lang w:val="en-US" w:eastAsia="zh-CN"/>
              </w:rPr>
            </w:pPr>
            <w:r>
              <w:rPr>
                <w:rFonts w:hint="eastAsia" w:ascii="Times New Roman" w:hAnsi="Times New Roman"/>
                <w:sz w:val="21"/>
                <w:szCs w:val="21"/>
                <w:vertAlign w:val="baseline"/>
                <w:lang w:val="en-US" w:eastAsia="zh-CN"/>
              </w:rPr>
              <w:t>4570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874" w:type="dxa"/>
            <w:vMerge w:val="continue"/>
            <w:noWrap w:val="0"/>
            <w:vAlign w:val="center"/>
          </w:tcPr>
          <w:p>
            <w:pPr>
              <w:pStyle w:val="17"/>
              <w:widowControl/>
              <w:adjustRightInd w:val="0"/>
              <w:snapToGrid w:val="0"/>
              <w:spacing w:after="0"/>
              <w:ind w:firstLine="0" w:firstLineChars="0"/>
              <w:jc w:val="center"/>
              <w:rPr>
                <w:rFonts w:hint="eastAsia" w:ascii="Times New Roman" w:hAnsi="Times New Roman" w:eastAsia="宋体"/>
                <w:color w:val="auto"/>
                <w:szCs w:val="21"/>
                <w:lang w:val="en-US" w:eastAsia="zh-CN"/>
              </w:rPr>
            </w:pPr>
          </w:p>
        </w:tc>
        <w:tc>
          <w:tcPr>
            <w:tcW w:w="1890"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kern w:val="0"/>
                <w:szCs w:val="21"/>
                <w:lang w:val="en-US" w:eastAsia="zh-CN"/>
              </w:rPr>
            </w:pPr>
            <w:r>
              <w:rPr>
                <w:rFonts w:hint="eastAsia" w:ascii="Times New Roman" w:hAnsi="Times New Roman" w:eastAsia="宋体"/>
                <w:sz w:val="21"/>
                <w:szCs w:val="21"/>
                <w:vertAlign w:val="baseline"/>
                <w:lang w:val="en-US" w:eastAsia="zh-CN"/>
              </w:rPr>
              <w:t>氮氧化物</w:t>
            </w:r>
          </w:p>
        </w:tc>
        <w:tc>
          <w:tcPr>
            <w:tcW w:w="138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kern w:val="0"/>
                <w:szCs w:val="21"/>
                <w:lang w:val="en-US" w:eastAsia="zh-CN" w:bidi="ar"/>
              </w:rPr>
            </w:pPr>
            <w:r>
              <w:rPr>
                <w:rFonts w:hint="eastAsia" w:ascii="Times New Roman" w:hAnsi="Times New Roman" w:eastAsia="宋体"/>
                <w:sz w:val="21"/>
                <w:szCs w:val="21"/>
                <w:highlight w:val="none"/>
                <w:vertAlign w:val="baseline"/>
                <w:lang w:val="en-US" w:eastAsia="zh-CN"/>
              </w:rPr>
              <w:t>20.4</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szCs w:val="21"/>
                <w:lang w:val="en-US" w:eastAsia="zh-CN"/>
              </w:rPr>
            </w:pPr>
            <w:r>
              <w:rPr>
                <w:rFonts w:hint="eastAsia" w:ascii="Times New Roman" w:hAnsi="Times New Roman" w:eastAsia="宋体"/>
                <w:sz w:val="21"/>
                <w:szCs w:val="21"/>
                <w:highlight w:val="none"/>
                <w:vertAlign w:val="baseline"/>
                <w:lang w:val="en-US" w:eastAsia="zh-CN"/>
              </w:rPr>
              <w:t>2.92</w:t>
            </w:r>
          </w:p>
        </w:tc>
        <w:tc>
          <w:tcPr>
            <w:tcW w:w="138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szCs w:val="21"/>
                <w:lang w:val="en-US" w:eastAsia="zh-CN"/>
              </w:rPr>
            </w:pPr>
            <w:r>
              <w:rPr>
                <w:rFonts w:hint="eastAsia" w:ascii="Times New Roman" w:hAnsi="Times New Roman"/>
                <w:sz w:val="21"/>
                <w:szCs w:val="21"/>
                <w:highlight w:val="none"/>
                <w:vertAlign w:val="baseline"/>
                <w:lang w:val="en-US" w:eastAsia="zh-CN"/>
              </w:rPr>
              <w:t>23790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874" w:type="dxa"/>
            <w:noWrap w:val="0"/>
            <w:vAlign w:val="center"/>
          </w:tcPr>
          <w:p>
            <w:pPr>
              <w:pStyle w:val="17"/>
              <w:widowControl/>
              <w:adjustRightInd w:val="0"/>
              <w:snapToGrid w:val="0"/>
              <w:spacing w:after="0"/>
              <w:ind w:firstLine="0" w:firstLineChars="0"/>
              <w:jc w:val="center"/>
              <w:rPr>
                <w:rFonts w:hint="eastAsia" w:ascii="Times New Roman" w:hAnsi="Times New Roman" w:eastAsia="宋体"/>
                <w:color w:val="auto"/>
                <w:szCs w:val="21"/>
                <w:lang w:eastAsia="zh-CN"/>
              </w:rPr>
            </w:pPr>
            <w:r>
              <w:rPr>
                <w:rFonts w:hint="eastAsia" w:ascii="Times New Roman" w:hAnsi="Times New Roman" w:eastAsia="宋体"/>
                <w:color w:val="auto"/>
                <w:szCs w:val="21"/>
                <w:lang w:val="en-US" w:eastAsia="zh-CN"/>
              </w:rPr>
              <w:t>3</w:t>
            </w:r>
          </w:p>
        </w:tc>
        <w:tc>
          <w:tcPr>
            <w:tcW w:w="1890" w:type="dxa"/>
            <w:noWrap w:val="0"/>
            <w:vAlign w:val="center"/>
          </w:tcPr>
          <w:p>
            <w:pPr>
              <w:pStyle w:val="17"/>
              <w:widowControl/>
              <w:adjustRightInd w:val="0"/>
              <w:snapToGrid w:val="0"/>
              <w:spacing w:after="0"/>
              <w:ind w:firstLine="0" w:firstLineChars="0"/>
              <w:jc w:val="center"/>
              <w:rPr>
                <w:rFonts w:hint="default" w:ascii="Times New Roman" w:hAnsi="Times New Roman" w:eastAsia="宋体"/>
                <w:color w:val="auto"/>
                <w:szCs w:val="21"/>
                <w:lang w:val="en-US"/>
              </w:rPr>
            </w:pPr>
            <w:r>
              <w:rPr>
                <w:rFonts w:ascii="Times New Roman" w:hAnsi="Times New Roman" w:eastAsia="宋体"/>
                <w:color w:val="auto"/>
                <w:szCs w:val="21"/>
              </w:rPr>
              <w:t>排气筒</w:t>
            </w:r>
            <w:r>
              <w:rPr>
                <w:rFonts w:hint="eastAsia" w:ascii="Times New Roman" w:hAnsi="Times New Roman" w:eastAsia="宋体"/>
                <w:color w:val="auto"/>
                <w:szCs w:val="21"/>
                <w:lang w:val="en-US" w:eastAsia="zh-CN"/>
              </w:rPr>
              <w:t>DA0</w:t>
            </w:r>
            <w:r>
              <w:rPr>
                <w:rFonts w:hint="eastAsia" w:ascii="Times New Roman" w:hAnsi="Times New Roman"/>
                <w:color w:val="auto"/>
                <w:szCs w:val="21"/>
                <w:lang w:val="en-US" w:eastAsia="zh-CN"/>
              </w:rPr>
              <w:t>20</w:t>
            </w:r>
          </w:p>
        </w:tc>
        <w:tc>
          <w:tcPr>
            <w:tcW w:w="1383" w:type="dxa"/>
            <w:noWrap w:val="0"/>
            <w:vAlign w:val="center"/>
          </w:tcPr>
          <w:p>
            <w:pPr>
              <w:widowControl/>
              <w:adjustRightInd w:val="0"/>
              <w:snapToGrid w:val="0"/>
              <w:jc w:val="center"/>
              <w:textAlignment w:val="center"/>
              <w:rPr>
                <w:rFonts w:ascii="Times New Roman" w:hAnsi="Times New Roman" w:eastAsia="宋体"/>
                <w:color w:val="auto"/>
                <w:szCs w:val="21"/>
              </w:rPr>
            </w:pPr>
            <w:r>
              <w:rPr>
                <w:rFonts w:hint="eastAsia" w:ascii="Times New Roman" w:hAnsi="Times New Roman" w:eastAsia="宋体" w:cs="Times New Roman"/>
                <w:color w:val="auto"/>
                <w:sz w:val="21"/>
                <w:szCs w:val="21"/>
                <w:lang w:val="en-US" w:eastAsia="zh-CN"/>
              </w:rPr>
              <w:t>颗粒物</w:t>
            </w:r>
          </w:p>
        </w:tc>
        <w:tc>
          <w:tcPr>
            <w:tcW w:w="1382" w:type="dxa"/>
            <w:noWrap w:val="0"/>
            <w:vAlign w:val="center"/>
          </w:tcPr>
          <w:p>
            <w:pPr>
              <w:widowControl/>
              <w:adjustRightInd w:val="0"/>
              <w:snapToGrid w:val="0"/>
              <w:jc w:val="center"/>
              <w:textAlignment w:val="center"/>
              <w:rPr>
                <w:rFonts w:hint="default" w:ascii="Times New Roman" w:hAnsi="Times New Roman" w:eastAsia="宋体"/>
                <w:color w:val="auto"/>
                <w:kern w:val="0"/>
                <w:szCs w:val="21"/>
                <w:lang w:val="en-US" w:eastAsia="zh-CN" w:bidi="ar"/>
              </w:rPr>
            </w:pPr>
            <w:r>
              <w:rPr>
                <w:rFonts w:hint="eastAsia" w:ascii="Times New Roman" w:hAnsi="Times New Roman" w:eastAsia="宋体"/>
                <w:color w:val="auto"/>
                <w:kern w:val="0"/>
                <w:szCs w:val="21"/>
                <w:lang w:val="en-US" w:eastAsia="zh-CN" w:bidi="ar"/>
              </w:rPr>
              <w:t>6.8</w:t>
            </w:r>
          </w:p>
        </w:tc>
        <w:tc>
          <w:tcPr>
            <w:tcW w:w="1383" w:type="dxa"/>
            <w:noWrap w:val="0"/>
            <w:vAlign w:val="center"/>
          </w:tcPr>
          <w:p>
            <w:pPr>
              <w:widowControl/>
              <w:adjustRightInd w:val="0"/>
              <w:snapToGrid w:val="0"/>
              <w:jc w:val="center"/>
              <w:textAlignment w:val="center"/>
              <w:rPr>
                <w:rFonts w:hint="default" w:ascii="Times New Roman" w:hAnsi="Times New Roman" w:eastAsia="宋体"/>
                <w:color w:val="auto"/>
                <w:kern w:val="0"/>
                <w:szCs w:val="21"/>
                <w:lang w:val="en-US" w:eastAsia="zh-CN" w:bidi="ar"/>
              </w:rPr>
            </w:pPr>
            <w:r>
              <w:rPr>
                <w:rFonts w:hint="eastAsia" w:ascii="Times New Roman" w:hAnsi="Times New Roman" w:eastAsia="宋体"/>
                <w:color w:val="auto"/>
                <w:kern w:val="0"/>
                <w:szCs w:val="21"/>
                <w:lang w:val="en-US" w:eastAsia="zh-CN" w:bidi="ar"/>
              </w:rPr>
              <w:t>0.034</w:t>
            </w:r>
          </w:p>
        </w:tc>
        <w:tc>
          <w:tcPr>
            <w:tcW w:w="1383" w:type="dxa"/>
            <w:noWrap w:val="0"/>
            <w:vAlign w:val="center"/>
          </w:tcPr>
          <w:p>
            <w:pPr>
              <w:widowControl/>
              <w:adjustRightInd w:val="0"/>
              <w:snapToGrid w:val="0"/>
              <w:jc w:val="center"/>
              <w:textAlignment w:val="center"/>
              <w:rPr>
                <w:rFonts w:hint="default" w:ascii="Times New Roman" w:hAnsi="Times New Roman" w:eastAsia="宋体"/>
                <w:color w:val="auto"/>
                <w:kern w:val="0"/>
                <w:szCs w:val="21"/>
                <w:lang w:val="en-US" w:eastAsia="zh-CN" w:bidi="ar"/>
              </w:rPr>
            </w:pPr>
            <w:r>
              <w:rPr>
                <w:rFonts w:hint="eastAsia" w:ascii="Times New Roman" w:hAnsi="Times New Roman" w:eastAsia="宋体"/>
                <w:color w:val="auto"/>
                <w:kern w:val="0"/>
                <w:szCs w:val="21"/>
                <w:lang w:val="en-US" w:eastAsia="zh-CN" w:bidi="ar"/>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64" w:type="dxa"/>
            <w:gridSpan w:val="2"/>
            <w:vMerge w:val="restart"/>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r>
              <w:rPr>
                <w:rFonts w:ascii="Times New Roman" w:hAnsi="Times New Roman" w:eastAsia="宋体"/>
                <w:color w:val="auto"/>
                <w:szCs w:val="21"/>
              </w:rPr>
              <w:t>有组织排放总计</w:t>
            </w:r>
          </w:p>
        </w:tc>
        <w:tc>
          <w:tcPr>
            <w:tcW w:w="4148" w:type="dxa"/>
            <w:gridSpan w:val="3"/>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非甲烷总烃</w:t>
            </w:r>
          </w:p>
        </w:tc>
        <w:tc>
          <w:tcPr>
            <w:tcW w:w="13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2764" w:type="dxa"/>
            <w:gridSpan w:val="2"/>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4148" w:type="dxa"/>
            <w:gridSpan w:val="3"/>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sz w:val="21"/>
                <w:szCs w:val="21"/>
                <w:vertAlign w:val="baseline"/>
                <w:lang w:val="en-US" w:eastAsia="zh-CN"/>
              </w:rPr>
              <w:t>异丙醇</w:t>
            </w:r>
          </w:p>
        </w:tc>
        <w:tc>
          <w:tcPr>
            <w:tcW w:w="13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2764" w:type="dxa"/>
            <w:gridSpan w:val="2"/>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4148" w:type="dxa"/>
            <w:gridSpan w:val="3"/>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sz w:val="21"/>
                <w:szCs w:val="21"/>
                <w:vertAlign w:val="baseline"/>
                <w:lang w:val="en-US" w:eastAsia="zh-CN"/>
              </w:rPr>
              <w:t>VOCs</w:t>
            </w:r>
          </w:p>
        </w:tc>
        <w:tc>
          <w:tcPr>
            <w:tcW w:w="13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2764" w:type="dxa"/>
            <w:gridSpan w:val="2"/>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4148" w:type="dxa"/>
            <w:gridSpan w:val="3"/>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sz w:val="21"/>
                <w:szCs w:val="21"/>
                <w:vertAlign w:val="baseline"/>
                <w:lang w:val="en-US" w:eastAsia="zh-CN"/>
              </w:rPr>
              <w:t>二氧化硫</w:t>
            </w:r>
          </w:p>
        </w:tc>
        <w:tc>
          <w:tcPr>
            <w:tcW w:w="13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4702.93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2764" w:type="dxa"/>
            <w:gridSpan w:val="2"/>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4148" w:type="dxa"/>
            <w:gridSpan w:val="3"/>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sz w:val="21"/>
                <w:szCs w:val="21"/>
                <w:vertAlign w:val="baseline"/>
                <w:lang w:val="en-US" w:eastAsia="zh-CN"/>
              </w:rPr>
              <w:t>氮氧化物</w:t>
            </w:r>
          </w:p>
        </w:tc>
        <w:tc>
          <w:tcPr>
            <w:tcW w:w="13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24361.32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2764" w:type="dxa"/>
            <w:gridSpan w:val="2"/>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4148" w:type="dxa"/>
            <w:gridSpan w:val="3"/>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sz w:val="21"/>
                <w:szCs w:val="21"/>
                <w:vertAlign w:val="baseline"/>
                <w:lang w:val="en-US" w:eastAsia="zh-CN"/>
              </w:rPr>
              <w:t>颗粒物</w:t>
            </w:r>
          </w:p>
        </w:tc>
        <w:tc>
          <w:tcPr>
            <w:tcW w:w="13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2123.34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2764" w:type="dxa"/>
            <w:gridSpan w:val="2"/>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4148" w:type="dxa"/>
            <w:gridSpan w:val="3"/>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臭气浓度（无量纲）</w:t>
            </w:r>
          </w:p>
        </w:tc>
        <w:tc>
          <w:tcPr>
            <w:tcW w:w="138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31.8</w:t>
            </w:r>
          </w:p>
        </w:tc>
      </w:tr>
    </w:tbl>
    <w:p>
      <w:pPr>
        <w:keepNext w:val="0"/>
        <w:keepLines w:val="0"/>
        <w:pageBreakBefore w:val="0"/>
        <w:widowControl w:val="0"/>
        <w:kinsoku/>
        <w:wordWrap/>
        <w:overflowPunct/>
        <w:topLinePunct w:val="0"/>
        <w:autoSpaceDE/>
        <w:autoSpaceDN/>
        <w:bidi w:val="0"/>
        <w:adjustRightInd/>
        <w:snapToGrid w:val="0"/>
        <w:spacing w:before="161" w:beforeLines="50" w:line="360" w:lineRule="auto"/>
        <w:jc w:val="center"/>
        <w:textAlignment w:val="auto"/>
        <w:rPr>
          <w:rFonts w:hint="default"/>
          <w:sz w:val="24"/>
          <w:szCs w:val="24"/>
          <w:lang w:val="en-US" w:eastAsia="zh-CN"/>
        </w:rPr>
      </w:pPr>
      <w:r>
        <w:rPr>
          <w:rFonts w:cs="Times New Roman"/>
          <w:b/>
          <w:bCs/>
          <w:color w:val="auto"/>
          <w:sz w:val="24"/>
          <w:szCs w:val="24"/>
        </w:rPr>
        <w:t>表</w:t>
      </w:r>
      <w:r>
        <w:rPr>
          <w:rFonts w:hint="default" w:ascii="Times New Roman" w:hAnsi="Times New Roman" w:cs="Times New Roman"/>
          <w:b/>
          <w:bCs/>
          <w:color w:val="auto"/>
          <w:sz w:val="24"/>
          <w:szCs w:val="24"/>
          <w:lang w:val="en-US" w:eastAsia="zh-CN"/>
        </w:rPr>
        <w:t>6</w:t>
      </w:r>
      <w:r>
        <w:rPr>
          <w:rFonts w:hint="default" w:ascii="Times New Roman" w:hAnsi="Times New Roman" w:cs="Times New Roman"/>
          <w:b/>
          <w:bCs/>
          <w:color w:val="auto"/>
          <w:sz w:val="24"/>
          <w:szCs w:val="24"/>
        </w:rPr>
        <w:t>.2-</w:t>
      </w:r>
      <w:r>
        <w:rPr>
          <w:rFonts w:hint="default" w:ascii="Times New Roman" w:hAnsi="Times New Roman" w:cs="Times New Roman"/>
          <w:b/>
          <w:bCs/>
          <w:color w:val="auto"/>
          <w:sz w:val="24"/>
          <w:szCs w:val="24"/>
          <w:lang w:val="en-US" w:eastAsia="zh-CN"/>
        </w:rPr>
        <w:t>11</w:t>
      </w:r>
      <w:r>
        <w:rPr>
          <w:rFonts w:cs="Times New Roman"/>
          <w:b/>
          <w:bCs/>
          <w:color w:val="auto"/>
          <w:sz w:val="24"/>
          <w:szCs w:val="24"/>
        </w:rPr>
        <w:t xml:space="preserve">  </w:t>
      </w:r>
      <w:r>
        <w:rPr>
          <w:rFonts w:hint="eastAsia" w:cs="Times New Roman"/>
          <w:b/>
          <w:bCs/>
          <w:color w:val="auto"/>
          <w:sz w:val="24"/>
          <w:szCs w:val="24"/>
        </w:rPr>
        <w:t>大气污染物</w:t>
      </w:r>
      <w:r>
        <w:rPr>
          <w:rFonts w:hint="eastAsia" w:cs="Times New Roman"/>
          <w:b/>
          <w:bCs/>
          <w:color w:val="auto"/>
          <w:sz w:val="24"/>
          <w:szCs w:val="24"/>
          <w:lang w:val="en-US" w:eastAsia="zh-CN"/>
        </w:rPr>
        <w:t>无</w:t>
      </w:r>
      <w:r>
        <w:rPr>
          <w:rFonts w:hint="eastAsia" w:cs="Times New Roman"/>
          <w:b/>
          <w:bCs/>
          <w:color w:val="auto"/>
          <w:sz w:val="24"/>
          <w:szCs w:val="24"/>
        </w:rPr>
        <w:t>组织排放量核算表</w:t>
      </w:r>
    </w:p>
    <w:tbl>
      <w:tblPr>
        <w:tblStyle w:val="18"/>
        <w:tblW w:w="0" w:type="auto"/>
        <w:tblInd w:w="8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4"/>
        <w:gridCol w:w="933"/>
        <w:gridCol w:w="862"/>
        <w:gridCol w:w="1575"/>
        <w:gridCol w:w="2038"/>
        <w:gridCol w:w="1412"/>
        <w:gridCol w:w="1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504" w:type="dxa"/>
            <w:vMerge w:val="restart"/>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序号</w:t>
            </w:r>
          </w:p>
        </w:tc>
        <w:tc>
          <w:tcPr>
            <w:tcW w:w="933" w:type="dxa"/>
            <w:vMerge w:val="restart"/>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产污环节</w:t>
            </w:r>
          </w:p>
        </w:tc>
        <w:tc>
          <w:tcPr>
            <w:tcW w:w="862" w:type="dxa"/>
            <w:vMerge w:val="restart"/>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污染物</w:t>
            </w:r>
          </w:p>
        </w:tc>
        <w:tc>
          <w:tcPr>
            <w:tcW w:w="1575" w:type="dxa"/>
            <w:vMerge w:val="restart"/>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主要防治措施</w:t>
            </w:r>
          </w:p>
        </w:tc>
        <w:tc>
          <w:tcPr>
            <w:tcW w:w="3450" w:type="dxa"/>
            <w:gridSpan w:val="2"/>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国家或地方污染物排放标准</w:t>
            </w:r>
          </w:p>
        </w:tc>
        <w:tc>
          <w:tcPr>
            <w:tcW w:w="1025" w:type="dxa"/>
            <w:vMerge w:val="restart"/>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年排量</w:t>
            </w:r>
            <w:r>
              <w:rPr>
                <w:rFonts w:ascii="Times New Roman" w:hAnsi="Times New Roman" w:eastAsia="宋体"/>
                <w:b/>
                <w:bCs/>
                <w:color w:val="auto"/>
                <w:szCs w:val="21"/>
              </w:rPr>
              <w:br w:type="textWrapping"/>
            </w:r>
            <w:r>
              <w:rPr>
                <w:rFonts w:ascii="Times New Roman" w:hAnsi="Times New Roman" w:eastAsia="宋体"/>
                <w:b/>
                <w:bCs/>
                <w:color w:val="auto"/>
                <w:szCs w:val="21"/>
              </w:rPr>
              <w:t>（</w:t>
            </w:r>
            <w:r>
              <w:rPr>
                <w:rFonts w:hint="eastAsia" w:ascii="Times New Roman" w:hAnsi="Times New Roman" w:eastAsia="宋体"/>
                <w:b/>
                <w:bCs/>
                <w:color w:val="auto"/>
                <w:szCs w:val="21"/>
                <w:lang w:val="en-US" w:eastAsia="zh-CN"/>
              </w:rPr>
              <w:t>kg</w:t>
            </w:r>
            <w:r>
              <w:rPr>
                <w:rFonts w:ascii="Times New Roman" w:hAnsi="Times New Roman" w:eastAsia="宋体"/>
                <w:b/>
                <w:bCs/>
                <w:color w:val="auto"/>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504"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933"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862"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1575"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2038" w:type="dxa"/>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标准名称</w:t>
            </w:r>
          </w:p>
        </w:tc>
        <w:tc>
          <w:tcPr>
            <w:tcW w:w="1412" w:type="dxa"/>
            <w:noWrap w:val="0"/>
            <w:vAlign w:val="center"/>
          </w:tcPr>
          <w:p>
            <w:pPr>
              <w:pStyle w:val="17"/>
              <w:widowControl/>
              <w:adjustRightInd w:val="0"/>
              <w:snapToGrid w:val="0"/>
              <w:spacing w:after="0"/>
              <w:ind w:firstLine="0" w:firstLineChars="0"/>
              <w:jc w:val="center"/>
              <w:rPr>
                <w:rFonts w:ascii="Times New Roman" w:hAnsi="Times New Roman" w:eastAsia="宋体"/>
                <w:b/>
                <w:bCs/>
                <w:color w:val="auto"/>
                <w:szCs w:val="21"/>
              </w:rPr>
            </w:pPr>
            <w:r>
              <w:rPr>
                <w:rFonts w:ascii="Times New Roman" w:hAnsi="Times New Roman" w:eastAsia="宋体"/>
                <w:b/>
                <w:bCs/>
                <w:color w:val="auto"/>
                <w:szCs w:val="21"/>
              </w:rPr>
              <w:t>污染浓度限值（mg/m</w:t>
            </w:r>
            <w:r>
              <w:rPr>
                <w:rFonts w:ascii="Times New Roman" w:hAnsi="Times New Roman" w:eastAsia="宋体"/>
                <w:b/>
                <w:bCs/>
                <w:color w:val="auto"/>
                <w:szCs w:val="21"/>
                <w:vertAlign w:val="superscript"/>
              </w:rPr>
              <w:t>3</w:t>
            </w:r>
            <w:r>
              <w:rPr>
                <w:rFonts w:ascii="Times New Roman" w:hAnsi="Times New Roman" w:eastAsia="宋体"/>
                <w:b/>
                <w:bCs/>
                <w:color w:val="auto"/>
                <w:szCs w:val="21"/>
              </w:rPr>
              <w:t>）</w:t>
            </w:r>
          </w:p>
        </w:tc>
        <w:tc>
          <w:tcPr>
            <w:tcW w:w="1025"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9" w:hRule="atLeast"/>
        </w:trPr>
        <w:tc>
          <w:tcPr>
            <w:tcW w:w="504" w:type="dxa"/>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r>
              <w:rPr>
                <w:rFonts w:ascii="Times New Roman" w:hAnsi="Times New Roman" w:eastAsia="宋体"/>
                <w:color w:val="auto"/>
                <w:szCs w:val="21"/>
              </w:rPr>
              <w:t>1</w:t>
            </w:r>
          </w:p>
        </w:tc>
        <w:tc>
          <w:tcPr>
            <w:tcW w:w="93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堆场及备料车间</w:t>
            </w:r>
          </w:p>
        </w:tc>
        <w:tc>
          <w:tcPr>
            <w:tcW w:w="862" w:type="dxa"/>
            <w:vMerge w:val="restart"/>
            <w:noWrap w:val="0"/>
            <w:vAlign w:val="center"/>
          </w:tcPr>
          <w:p>
            <w:pPr>
              <w:widowControl/>
              <w:adjustRightInd w:val="0"/>
              <w:snapToGrid w:val="0"/>
              <w:jc w:val="center"/>
              <w:textAlignment w:val="center"/>
              <w:rPr>
                <w:rFonts w:hint="eastAsia" w:ascii="Times New Roman" w:hAnsi="Times New Roman" w:eastAsia="宋体"/>
                <w:color w:val="auto"/>
                <w:szCs w:val="21"/>
                <w:lang w:eastAsia="zh-CN"/>
              </w:rPr>
            </w:pPr>
            <w:r>
              <w:rPr>
                <w:rFonts w:hint="eastAsia" w:ascii="Times New Roman" w:hAnsi="Times New Roman" w:eastAsia="宋体"/>
                <w:color w:val="auto"/>
                <w:kern w:val="0"/>
                <w:szCs w:val="21"/>
                <w:lang w:val="en-US" w:eastAsia="zh-CN" w:bidi="ar"/>
              </w:rPr>
              <w:t>颗粒物</w:t>
            </w:r>
          </w:p>
        </w:tc>
        <w:tc>
          <w:tcPr>
            <w:tcW w:w="1575" w:type="dxa"/>
            <w:noWrap w:val="0"/>
            <w:vAlign w:val="center"/>
          </w:tcPr>
          <w:p>
            <w:pPr>
              <w:pStyle w:val="17"/>
              <w:widowControl/>
              <w:adjustRightInd w:val="0"/>
              <w:snapToGrid w:val="0"/>
              <w:spacing w:after="0"/>
              <w:ind w:firstLine="0" w:firstLineChars="0"/>
              <w:jc w:val="center"/>
              <w:rPr>
                <w:rFonts w:hint="default" w:ascii="Times New Roman" w:hAnsi="Times New Roman" w:eastAsia="宋体"/>
                <w:color w:val="auto"/>
                <w:szCs w:val="21"/>
                <w:lang w:val="en-US" w:eastAsia="zh-CN"/>
              </w:rPr>
            </w:pPr>
            <w:r>
              <w:rPr>
                <w:rFonts w:hint="default" w:ascii="Times New Roman" w:hAnsi="Times New Roman" w:eastAsia="宋体"/>
                <w:color w:val="auto"/>
                <w:szCs w:val="21"/>
                <w:lang w:val="en-US" w:eastAsia="zh-CN"/>
              </w:rPr>
              <w:t>堆场设置防风抑尘墙和覆盖防尘网</w:t>
            </w:r>
            <w:r>
              <w:rPr>
                <w:rFonts w:hint="eastAsia" w:ascii="Times New Roman" w:hAnsi="Times New Roman" w:eastAsia="宋体"/>
                <w:color w:val="auto"/>
                <w:szCs w:val="21"/>
                <w:lang w:val="en-US" w:eastAsia="zh-CN"/>
              </w:rPr>
              <w:t>；筛分过程密闭</w:t>
            </w:r>
          </w:p>
        </w:tc>
        <w:tc>
          <w:tcPr>
            <w:tcW w:w="2038" w:type="dxa"/>
            <w:vMerge w:val="restart"/>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r>
              <w:rPr>
                <w:rFonts w:hint="default" w:ascii="Times New Roman" w:hAnsi="Times New Roman" w:eastAsia="宋体"/>
                <w:color w:val="auto"/>
                <w:szCs w:val="21"/>
                <w:lang w:val="en-US" w:eastAsia="zh-CN"/>
              </w:rPr>
              <w:t>厂界</w:t>
            </w:r>
            <w:r>
              <w:rPr>
                <w:rFonts w:hint="eastAsia" w:ascii="Times New Roman" w:hAnsi="Times New Roman" w:eastAsia="宋体"/>
                <w:color w:val="auto"/>
                <w:szCs w:val="21"/>
                <w:lang w:val="en-US" w:eastAsia="zh-CN"/>
              </w:rPr>
              <w:t>颗粒物排放</w:t>
            </w:r>
            <w:r>
              <w:rPr>
                <w:rFonts w:hint="default" w:ascii="Times New Roman" w:hAnsi="Times New Roman" w:eastAsia="宋体"/>
                <w:color w:val="auto"/>
                <w:szCs w:val="21"/>
                <w:lang w:val="en-US" w:eastAsia="zh-CN"/>
              </w:rPr>
              <w:t>浓度满足</w:t>
            </w:r>
            <w:r>
              <w:rPr>
                <w:rFonts w:hint="eastAsia" w:ascii="Times New Roman" w:hAnsi="Times New Roman" w:eastAsia="宋体"/>
                <w:color w:val="auto"/>
                <w:szCs w:val="21"/>
                <w:lang w:val="en-US" w:eastAsia="zh-CN"/>
              </w:rPr>
              <w:t>《大气污染物综合排放标准》（GB16297-1996）表2厂</w:t>
            </w:r>
            <w:r>
              <w:rPr>
                <w:rFonts w:hint="default" w:ascii="Times New Roman" w:hAnsi="Times New Roman" w:eastAsia="宋体"/>
                <w:color w:val="auto"/>
                <w:szCs w:val="21"/>
                <w:lang w:val="en-US" w:eastAsia="zh-CN"/>
              </w:rPr>
              <w:t>界</w:t>
            </w:r>
            <w:r>
              <w:rPr>
                <w:rFonts w:hint="eastAsia" w:ascii="Times New Roman" w:hAnsi="Times New Roman" w:eastAsia="宋体"/>
                <w:color w:val="auto"/>
                <w:szCs w:val="21"/>
                <w:lang w:val="en-US" w:eastAsia="zh-CN"/>
              </w:rPr>
              <w:t>无组织排放监控</w:t>
            </w:r>
            <w:r>
              <w:rPr>
                <w:rFonts w:hint="default" w:ascii="Times New Roman" w:hAnsi="Times New Roman" w:eastAsia="宋体"/>
                <w:color w:val="auto"/>
                <w:szCs w:val="21"/>
                <w:lang w:val="en-US" w:eastAsia="zh-CN"/>
              </w:rPr>
              <w:t>浓度限值。</w:t>
            </w:r>
          </w:p>
        </w:tc>
        <w:tc>
          <w:tcPr>
            <w:tcW w:w="1412" w:type="dxa"/>
            <w:vMerge w:val="restart"/>
            <w:noWrap w:val="0"/>
            <w:vAlign w:val="center"/>
          </w:tcPr>
          <w:p>
            <w:pPr>
              <w:pStyle w:val="17"/>
              <w:widowControl/>
              <w:adjustRightInd w:val="0"/>
              <w:snapToGrid w:val="0"/>
              <w:spacing w:after="0"/>
              <w:ind w:firstLine="0" w:firstLineChars="0"/>
              <w:jc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1.0</w:t>
            </w:r>
          </w:p>
        </w:tc>
        <w:tc>
          <w:tcPr>
            <w:tcW w:w="1025" w:type="dxa"/>
            <w:noWrap w:val="0"/>
            <w:vAlign w:val="center"/>
          </w:tcPr>
          <w:p>
            <w:pPr>
              <w:widowControl/>
              <w:adjustRightInd w:val="0"/>
              <w:snapToGrid w:val="0"/>
              <w:jc w:val="center"/>
              <w:textAlignment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2320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2" w:hRule="atLeast"/>
        </w:trPr>
        <w:tc>
          <w:tcPr>
            <w:tcW w:w="504" w:type="dxa"/>
            <w:noWrap w:val="0"/>
            <w:vAlign w:val="center"/>
          </w:tcPr>
          <w:p>
            <w:pPr>
              <w:pStyle w:val="17"/>
              <w:widowControl/>
              <w:adjustRightInd w:val="0"/>
              <w:snapToGrid w:val="0"/>
              <w:spacing w:after="0"/>
              <w:ind w:firstLine="0" w:firstLineChars="0"/>
              <w:jc w:val="center"/>
              <w:rPr>
                <w:rFonts w:hint="eastAsia"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2</w:t>
            </w:r>
          </w:p>
        </w:tc>
        <w:tc>
          <w:tcPr>
            <w:tcW w:w="93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olor w:val="auto"/>
                <w:szCs w:val="21"/>
                <w:lang w:val="en-US" w:eastAsia="zh-CN"/>
              </w:rPr>
            </w:pPr>
            <w:r>
              <w:rPr>
                <w:rFonts w:hint="eastAsia" w:ascii="Times New Roman" w:hAnsi="Times New Roman" w:eastAsia="宋体"/>
                <w:sz w:val="21"/>
                <w:szCs w:val="21"/>
                <w:vertAlign w:val="baseline"/>
                <w:lang w:val="en-US" w:eastAsia="zh-CN"/>
              </w:rPr>
              <w:t>碱回收系统石灰破碎车间</w:t>
            </w:r>
          </w:p>
        </w:tc>
        <w:tc>
          <w:tcPr>
            <w:tcW w:w="862" w:type="dxa"/>
            <w:vMerge w:val="continue"/>
            <w:noWrap w:val="0"/>
            <w:vAlign w:val="center"/>
          </w:tcPr>
          <w:p>
            <w:pPr>
              <w:widowControl/>
              <w:adjustRightInd w:val="0"/>
              <w:snapToGrid w:val="0"/>
              <w:jc w:val="center"/>
              <w:textAlignment w:val="center"/>
              <w:rPr>
                <w:rFonts w:hint="eastAsia" w:ascii="Times New Roman" w:hAnsi="Times New Roman" w:eastAsia="宋体"/>
                <w:color w:val="auto"/>
                <w:kern w:val="0"/>
                <w:szCs w:val="21"/>
                <w:lang w:val="en-US" w:eastAsia="zh-CN" w:bidi="ar"/>
              </w:rPr>
            </w:pPr>
          </w:p>
        </w:tc>
        <w:tc>
          <w:tcPr>
            <w:tcW w:w="1575" w:type="dxa"/>
            <w:noWrap w:val="0"/>
            <w:vAlign w:val="center"/>
          </w:tcPr>
          <w:p>
            <w:pPr>
              <w:pStyle w:val="17"/>
              <w:widowControl/>
              <w:adjustRightInd w:val="0"/>
              <w:snapToGrid w:val="0"/>
              <w:spacing w:after="0"/>
              <w:ind w:firstLine="0" w:firstLineChars="0"/>
              <w:jc w:val="center"/>
              <w:rPr>
                <w:rFonts w:hint="eastAsia"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加强车间通风</w:t>
            </w:r>
          </w:p>
        </w:tc>
        <w:tc>
          <w:tcPr>
            <w:tcW w:w="2038" w:type="dxa"/>
            <w:vMerge w:val="continue"/>
            <w:noWrap w:val="0"/>
            <w:vAlign w:val="center"/>
          </w:tcPr>
          <w:p>
            <w:pPr>
              <w:pStyle w:val="17"/>
              <w:widowControl/>
              <w:adjustRightInd w:val="0"/>
              <w:snapToGrid w:val="0"/>
              <w:spacing w:after="0"/>
              <w:ind w:firstLine="0" w:firstLineChars="0"/>
              <w:jc w:val="center"/>
              <w:rPr>
                <w:rFonts w:hint="default" w:ascii="Times New Roman" w:hAnsi="Times New Roman" w:eastAsia="宋体"/>
                <w:color w:val="auto"/>
                <w:szCs w:val="21"/>
                <w:lang w:val="en-US" w:eastAsia="zh-CN"/>
              </w:rPr>
            </w:pPr>
          </w:p>
        </w:tc>
        <w:tc>
          <w:tcPr>
            <w:tcW w:w="1412" w:type="dxa"/>
            <w:vMerge w:val="continue"/>
            <w:noWrap w:val="0"/>
            <w:vAlign w:val="center"/>
          </w:tcPr>
          <w:p>
            <w:pPr>
              <w:pStyle w:val="17"/>
              <w:widowControl/>
              <w:adjustRightInd w:val="0"/>
              <w:snapToGrid w:val="0"/>
              <w:spacing w:after="0"/>
              <w:ind w:firstLine="0" w:firstLineChars="0"/>
              <w:jc w:val="center"/>
              <w:rPr>
                <w:rFonts w:hint="eastAsia" w:ascii="Times New Roman" w:hAnsi="Times New Roman" w:eastAsia="宋体"/>
                <w:color w:val="auto"/>
                <w:szCs w:val="21"/>
                <w:lang w:val="en-US" w:eastAsia="zh-CN"/>
              </w:rPr>
            </w:pPr>
          </w:p>
        </w:tc>
        <w:tc>
          <w:tcPr>
            <w:tcW w:w="1025" w:type="dxa"/>
            <w:noWrap w:val="0"/>
            <w:vAlign w:val="center"/>
          </w:tcPr>
          <w:p>
            <w:pPr>
              <w:widowControl/>
              <w:adjustRightInd w:val="0"/>
              <w:snapToGrid w:val="0"/>
              <w:jc w:val="center"/>
              <w:textAlignment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8349" w:type="dxa"/>
            <w:gridSpan w:val="7"/>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r>
              <w:rPr>
                <w:rFonts w:ascii="Times New Roman" w:hAnsi="Times New Roman" w:eastAsia="宋体"/>
                <w:color w:val="auto"/>
                <w:szCs w:val="21"/>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2299" w:type="dxa"/>
            <w:gridSpan w:val="3"/>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r>
              <w:rPr>
                <w:rFonts w:ascii="Times New Roman" w:hAnsi="Times New Roman" w:eastAsia="宋体"/>
                <w:color w:val="auto"/>
                <w:szCs w:val="21"/>
              </w:rPr>
              <w:t>无组织排放总计</w:t>
            </w:r>
          </w:p>
        </w:tc>
        <w:tc>
          <w:tcPr>
            <w:tcW w:w="5025" w:type="dxa"/>
            <w:gridSpan w:val="3"/>
            <w:noWrap w:val="0"/>
            <w:vAlign w:val="center"/>
          </w:tcPr>
          <w:p>
            <w:pPr>
              <w:widowControl/>
              <w:adjustRightInd w:val="0"/>
              <w:snapToGrid w:val="0"/>
              <w:jc w:val="center"/>
              <w:textAlignment w:val="center"/>
              <w:rPr>
                <w:rFonts w:hint="default" w:ascii="Times New Roman" w:hAnsi="Times New Roman" w:eastAsia="宋体"/>
                <w:color w:val="auto"/>
                <w:szCs w:val="21"/>
                <w:lang w:val="en-US" w:eastAsia="zh-CN"/>
              </w:rPr>
            </w:pPr>
            <w:r>
              <w:rPr>
                <w:rFonts w:hint="eastAsia" w:ascii="Times New Roman" w:hAnsi="Times New Roman" w:eastAsia="宋体"/>
                <w:color w:val="auto"/>
                <w:kern w:val="0"/>
                <w:szCs w:val="21"/>
                <w:lang w:val="en-US" w:eastAsia="zh-CN" w:bidi="ar"/>
              </w:rPr>
              <w:t>颗粒物</w:t>
            </w:r>
          </w:p>
        </w:tc>
        <w:tc>
          <w:tcPr>
            <w:tcW w:w="1025" w:type="dxa"/>
            <w:noWrap w:val="0"/>
            <w:vAlign w:val="center"/>
          </w:tcPr>
          <w:p>
            <w:pPr>
              <w:widowControl/>
              <w:adjustRightInd w:val="0"/>
              <w:snapToGrid w:val="0"/>
              <w:jc w:val="center"/>
              <w:textAlignment w:val="center"/>
              <w:rPr>
                <w:rFonts w:hint="default" w:ascii="Times New Roman" w:hAnsi="Times New Roman" w:eastAsia="宋体"/>
                <w:color w:val="auto"/>
                <w:szCs w:val="21"/>
                <w:lang w:val="en-US" w:eastAsia="zh-CN"/>
              </w:rPr>
            </w:pPr>
            <w:r>
              <w:rPr>
                <w:rFonts w:hint="eastAsia" w:ascii="Times New Roman" w:hAnsi="Times New Roman" w:eastAsia="宋体"/>
                <w:color w:val="auto"/>
                <w:szCs w:val="21"/>
                <w:lang w:val="en-US" w:eastAsia="zh-CN"/>
              </w:rPr>
              <w:t>2435</w:t>
            </w:r>
          </w:p>
        </w:tc>
      </w:tr>
    </w:tbl>
    <w:p>
      <w:pPr>
        <w:keepNext w:val="0"/>
        <w:keepLines w:val="0"/>
        <w:pageBreakBefore w:val="0"/>
        <w:widowControl w:val="0"/>
        <w:kinsoku/>
        <w:wordWrap/>
        <w:overflowPunct/>
        <w:topLinePunct w:val="0"/>
        <w:autoSpaceDE/>
        <w:autoSpaceDN/>
        <w:bidi w:val="0"/>
        <w:adjustRightInd/>
        <w:snapToGrid w:val="0"/>
        <w:spacing w:before="161" w:beforeLines="50" w:line="360" w:lineRule="auto"/>
        <w:jc w:val="center"/>
        <w:textAlignment w:val="auto"/>
        <w:rPr>
          <w:rFonts w:hint="default"/>
          <w:sz w:val="24"/>
          <w:szCs w:val="24"/>
          <w:lang w:val="en-US" w:eastAsia="zh-CN"/>
        </w:rPr>
      </w:pPr>
      <w:r>
        <w:rPr>
          <w:rFonts w:cs="Times New Roman"/>
          <w:b/>
          <w:bCs/>
          <w:color w:val="auto"/>
          <w:sz w:val="24"/>
          <w:szCs w:val="24"/>
        </w:rPr>
        <w:t>表</w:t>
      </w:r>
      <w:r>
        <w:rPr>
          <w:rFonts w:hint="default" w:ascii="Times New Roman" w:hAnsi="Times New Roman" w:cs="Times New Roman"/>
          <w:b/>
          <w:bCs/>
          <w:color w:val="auto"/>
          <w:sz w:val="24"/>
          <w:szCs w:val="24"/>
          <w:lang w:val="en-US" w:eastAsia="zh-CN"/>
        </w:rPr>
        <w:t>6</w:t>
      </w:r>
      <w:r>
        <w:rPr>
          <w:rFonts w:hint="default" w:ascii="Times New Roman" w:hAnsi="Times New Roman" w:cs="Times New Roman"/>
          <w:b/>
          <w:bCs/>
          <w:color w:val="auto"/>
          <w:sz w:val="24"/>
          <w:szCs w:val="24"/>
        </w:rPr>
        <w:t>.2-</w:t>
      </w:r>
      <w:r>
        <w:rPr>
          <w:rFonts w:hint="default" w:ascii="Times New Roman" w:hAnsi="Times New Roman" w:cs="Times New Roman"/>
          <w:b/>
          <w:bCs/>
          <w:color w:val="auto"/>
          <w:sz w:val="24"/>
          <w:szCs w:val="24"/>
          <w:lang w:val="en-US" w:eastAsia="zh-CN"/>
        </w:rPr>
        <w:t>12</w:t>
      </w:r>
      <w:r>
        <w:rPr>
          <w:rFonts w:cs="Times New Roman"/>
          <w:b/>
          <w:bCs/>
          <w:color w:val="auto"/>
          <w:sz w:val="24"/>
          <w:szCs w:val="24"/>
        </w:rPr>
        <w:t xml:space="preserve">  </w:t>
      </w:r>
      <w:r>
        <w:rPr>
          <w:rFonts w:hint="eastAsia" w:cs="Times New Roman"/>
          <w:b/>
          <w:bCs/>
          <w:color w:val="auto"/>
          <w:sz w:val="24"/>
          <w:szCs w:val="24"/>
        </w:rPr>
        <w:t>大气污染物</w:t>
      </w:r>
      <w:r>
        <w:rPr>
          <w:rFonts w:hint="eastAsia" w:cs="Times New Roman"/>
          <w:b/>
          <w:bCs/>
          <w:color w:val="auto"/>
          <w:sz w:val="24"/>
          <w:szCs w:val="24"/>
          <w:lang w:val="en-US" w:eastAsia="zh-CN"/>
        </w:rPr>
        <w:t>年</w:t>
      </w:r>
      <w:r>
        <w:rPr>
          <w:rFonts w:hint="eastAsia" w:cs="Times New Roman"/>
          <w:b/>
          <w:bCs/>
          <w:color w:val="auto"/>
          <w:sz w:val="24"/>
          <w:szCs w:val="24"/>
        </w:rPr>
        <w:t>排放量核算表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8"/>
        <w:gridCol w:w="3599"/>
        <w:gridCol w:w="26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86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序号</w:t>
            </w:r>
          </w:p>
        </w:tc>
        <w:tc>
          <w:tcPr>
            <w:tcW w:w="35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污染物</w:t>
            </w:r>
          </w:p>
        </w:tc>
        <w:tc>
          <w:tcPr>
            <w:tcW w:w="262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年排放量（kg/a）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86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c>
          <w:tcPr>
            <w:tcW w:w="3599" w:type="dxa"/>
            <w:noWrap w:val="0"/>
            <w:vAlign w:val="center"/>
          </w:tcPr>
          <w:p>
            <w:pPr>
              <w:pStyle w:val="25"/>
              <w:snapToGrid w:val="0"/>
              <w:spacing w:line="240" w:lineRule="auto"/>
              <w:ind w:firstLine="0" w:firstLineChars="0"/>
              <w:jc w:val="center"/>
              <w:rPr>
                <w:rFonts w:hint="default" w:ascii="Times New Roman" w:hAnsi="Times New Roman"/>
                <w:sz w:val="21"/>
                <w:szCs w:val="21"/>
                <w:vertAlign w:val="baseline"/>
                <w:lang w:val="en-US" w:eastAsia="zh-CN"/>
              </w:rPr>
            </w:pPr>
            <w:r>
              <w:rPr>
                <w:rFonts w:hint="eastAsia" w:ascii="Times New Roman" w:hAnsi="Times New Roman" w:eastAsia="宋体" w:cs="Times New Roman"/>
                <w:color w:val="auto"/>
                <w:sz w:val="21"/>
                <w:szCs w:val="21"/>
                <w:lang w:val="en-US" w:eastAsia="zh-CN"/>
              </w:rPr>
              <w:t>非甲烷总烃</w:t>
            </w:r>
          </w:p>
        </w:tc>
        <w:tc>
          <w:tcPr>
            <w:tcW w:w="2629" w:type="dxa"/>
            <w:noWrap w:val="0"/>
            <w:vAlign w:val="center"/>
          </w:tcPr>
          <w:p>
            <w:pPr>
              <w:keepNext w:val="0"/>
              <w:keepLines w:val="0"/>
              <w:widowControl/>
              <w:suppressLineNumbers w:val="0"/>
              <w:jc w:val="center"/>
              <w:textAlignment w:val="center"/>
              <w:rPr>
                <w:rFonts w:hint="default" w:ascii="Times New Roman" w:hAnsi="Times New Roman"/>
                <w:sz w:val="21"/>
                <w:szCs w:val="21"/>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34.08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86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c>
          <w:tcPr>
            <w:tcW w:w="35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eastAsia="宋体"/>
                <w:sz w:val="21"/>
                <w:szCs w:val="21"/>
                <w:vertAlign w:val="baseline"/>
                <w:lang w:val="en-US" w:eastAsia="zh-CN"/>
              </w:rPr>
              <w:t>异丙醇</w:t>
            </w:r>
          </w:p>
        </w:tc>
        <w:tc>
          <w:tcPr>
            <w:tcW w:w="2629" w:type="dxa"/>
            <w:noWrap w:val="0"/>
            <w:vAlign w:val="center"/>
          </w:tcPr>
          <w:p>
            <w:pPr>
              <w:keepNext w:val="0"/>
              <w:keepLines w:val="0"/>
              <w:widowControl/>
              <w:suppressLineNumbers w:val="0"/>
              <w:jc w:val="center"/>
              <w:textAlignment w:val="center"/>
              <w:rPr>
                <w:rFonts w:hint="default" w:ascii="Times New Roman" w:hAnsi="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w:t>
            </w: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86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w:t>
            </w:r>
          </w:p>
        </w:tc>
        <w:tc>
          <w:tcPr>
            <w:tcW w:w="35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olor w:val="auto"/>
                <w:kern w:val="0"/>
                <w:szCs w:val="21"/>
                <w:lang w:val="en-US" w:eastAsia="zh-CN"/>
              </w:rPr>
            </w:pPr>
            <w:r>
              <w:rPr>
                <w:rFonts w:hint="eastAsia" w:ascii="Times New Roman" w:hAnsi="Times New Roman" w:eastAsia="宋体"/>
                <w:sz w:val="21"/>
                <w:szCs w:val="21"/>
                <w:vertAlign w:val="baseline"/>
                <w:lang w:val="en-US" w:eastAsia="zh-CN"/>
              </w:rPr>
              <w:t>VOCs</w:t>
            </w:r>
          </w:p>
        </w:tc>
        <w:tc>
          <w:tcPr>
            <w:tcW w:w="2629" w:type="dxa"/>
            <w:noWrap w:val="0"/>
            <w:vAlign w:val="center"/>
          </w:tcPr>
          <w:p>
            <w:pPr>
              <w:keepNext w:val="0"/>
              <w:keepLines w:val="0"/>
              <w:widowControl/>
              <w:suppressLineNumbers w:val="0"/>
              <w:jc w:val="center"/>
              <w:textAlignment w:val="center"/>
              <w:rPr>
                <w:rFonts w:hint="eastAsia" w:ascii="Times New Roman" w:hAnsi="Times New Roman"/>
                <w:sz w:val="21"/>
                <w:szCs w:val="21"/>
                <w:vertAlign w:val="baseli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34.14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86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w:t>
            </w:r>
          </w:p>
        </w:tc>
        <w:tc>
          <w:tcPr>
            <w:tcW w:w="35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olor w:val="auto"/>
                <w:kern w:val="0"/>
                <w:szCs w:val="21"/>
                <w:lang w:val="en-US" w:eastAsia="zh-CN"/>
              </w:rPr>
            </w:pPr>
            <w:r>
              <w:rPr>
                <w:rFonts w:hint="eastAsia" w:ascii="Times New Roman" w:hAnsi="Times New Roman" w:eastAsia="宋体"/>
                <w:sz w:val="21"/>
                <w:szCs w:val="21"/>
                <w:vertAlign w:val="baseline"/>
                <w:lang w:val="en-US" w:eastAsia="zh-CN"/>
              </w:rPr>
              <w:t>二氧化硫</w:t>
            </w:r>
          </w:p>
        </w:tc>
        <w:tc>
          <w:tcPr>
            <w:tcW w:w="2629" w:type="dxa"/>
            <w:noWrap w:val="0"/>
            <w:vAlign w:val="center"/>
          </w:tcPr>
          <w:p>
            <w:pPr>
              <w:keepNext w:val="0"/>
              <w:keepLines w:val="0"/>
              <w:widowControl/>
              <w:suppressLineNumbers w:val="0"/>
              <w:jc w:val="center"/>
              <w:textAlignment w:val="center"/>
              <w:rPr>
                <w:rFonts w:hint="eastAsia" w:ascii="Times New Roman" w:hAnsi="Times New Roman"/>
                <w:sz w:val="21"/>
                <w:szCs w:val="21"/>
                <w:vertAlign w:val="baseline"/>
                <w:lang w:val="en-US" w:eastAsia="zh-CN"/>
              </w:rPr>
            </w:pPr>
            <w:r>
              <w:rPr>
                <w:rFonts w:hint="eastAsia" w:ascii="Times New Roman" w:hAnsi="Times New Roman" w:eastAsia="宋体" w:cs="Times New Roman"/>
                <w:color w:val="auto"/>
                <w:kern w:val="0"/>
                <w:sz w:val="21"/>
                <w:szCs w:val="21"/>
                <w:lang w:val="en-US" w:eastAsia="zh-CN" w:bidi="ar"/>
              </w:rPr>
              <w:t>4702.93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86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w:t>
            </w:r>
          </w:p>
        </w:tc>
        <w:tc>
          <w:tcPr>
            <w:tcW w:w="35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olor w:val="auto"/>
                <w:kern w:val="0"/>
                <w:szCs w:val="21"/>
                <w:lang w:val="en-US" w:eastAsia="zh-CN"/>
              </w:rPr>
            </w:pPr>
            <w:r>
              <w:rPr>
                <w:rFonts w:hint="eastAsia" w:ascii="Times New Roman" w:hAnsi="Times New Roman" w:eastAsia="宋体"/>
                <w:sz w:val="21"/>
                <w:szCs w:val="21"/>
                <w:vertAlign w:val="baseline"/>
                <w:lang w:val="en-US" w:eastAsia="zh-CN"/>
              </w:rPr>
              <w:t>氮氧化物</w:t>
            </w:r>
          </w:p>
        </w:tc>
        <w:tc>
          <w:tcPr>
            <w:tcW w:w="2629" w:type="dxa"/>
            <w:noWrap w:val="0"/>
            <w:vAlign w:val="center"/>
          </w:tcPr>
          <w:p>
            <w:pPr>
              <w:keepNext w:val="0"/>
              <w:keepLines w:val="0"/>
              <w:widowControl/>
              <w:suppressLineNumbers w:val="0"/>
              <w:jc w:val="center"/>
              <w:textAlignment w:val="center"/>
              <w:rPr>
                <w:rFonts w:hint="eastAsia" w:ascii="Times New Roman" w:hAnsi="Times New Roman"/>
                <w:sz w:val="21"/>
                <w:szCs w:val="21"/>
                <w:vertAlign w:val="baseline"/>
                <w:lang w:val="en-US" w:eastAsia="zh-CN"/>
              </w:rPr>
            </w:pPr>
            <w:r>
              <w:rPr>
                <w:rFonts w:hint="eastAsia" w:ascii="Times New Roman" w:hAnsi="Times New Roman" w:eastAsia="宋体" w:cs="Times New Roman"/>
                <w:color w:val="auto"/>
                <w:kern w:val="0"/>
                <w:sz w:val="21"/>
                <w:szCs w:val="21"/>
                <w:lang w:val="en-US" w:eastAsia="zh-CN" w:bidi="ar"/>
              </w:rPr>
              <w:t>24361.32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86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6</w:t>
            </w:r>
          </w:p>
        </w:tc>
        <w:tc>
          <w:tcPr>
            <w:tcW w:w="359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olor w:val="auto"/>
                <w:kern w:val="0"/>
                <w:szCs w:val="21"/>
                <w:lang w:val="en-US" w:eastAsia="zh-CN"/>
              </w:rPr>
            </w:pPr>
            <w:r>
              <w:rPr>
                <w:rFonts w:hint="eastAsia" w:ascii="Times New Roman" w:hAnsi="Times New Roman" w:eastAsia="宋体"/>
                <w:sz w:val="21"/>
                <w:szCs w:val="21"/>
                <w:vertAlign w:val="baseline"/>
                <w:lang w:val="en-US" w:eastAsia="zh-CN"/>
              </w:rPr>
              <w:t>颗粒物</w:t>
            </w:r>
          </w:p>
        </w:tc>
        <w:tc>
          <w:tcPr>
            <w:tcW w:w="262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4558.34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86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w:t>
            </w:r>
          </w:p>
        </w:tc>
        <w:tc>
          <w:tcPr>
            <w:tcW w:w="3599" w:type="dxa"/>
            <w:noWrap w:val="0"/>
            <w:vAlign w:val="center"/>
          </w:tcPr>
          <w:p>
            <w:pPr>
              <w:pStyle w:val="25"/>
              <w:snapToGrid w:val="0"/>
              <w:spacing w:line="240" w:lineRule="auto"/>
              <w:ind w:firstLine="0" w:firstLineChars="0"/>
              <w:jc w:val="center"/>
              <w:rPr>
                <w:rFonts w:hint="eastAsia" w:ascii="Times New Roman" w:hAnsi="Times New Roman"/>
                <w:color w:val="auto"/>
                <w:kern w:val="0"/>
                <w:szCs w:val="21"/>
                <w:lang w:val="en-US" w:eastAsia="zh-CN"/>
              </w:rPr>
            </w:pPr>
            <w:r>
              <w:rPr>
                <w:rFonts w:hint="eastAsia" w:ascii="Times New Roman" w:hAnsi="Times New Roman" w:eastAsia="宋体" w:cs="Times New Roman"/>
                <w:color w:val="auto"/>
                <w:sz w:val="21"/>
                <w:szCs w:val="21"/>
                <w:lang w:val="en-US" w:eastAsia="zh-CN"/>
              </w:rPr>
              <w:t>臭气浓度</w:t>
            </w:r>
          </w:p>
        </w:tc>
        <w:tc>
          <w:tcPr>
            <w:tcW w:w="262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31.8</w:t>
            </w:r>
          </w:p>
        </w:tc>
      </w:tr>
    </w:tbl>
    <w:p>
      <w:pPr>
        <w:keepNext w:val="0"/>
        <w:keepLines w:val="0"/>
        <w:pageBreakBefore w:val="0"/>
        <w:widowControl w:val="0"/>
        <w:kinsoku/>
        <w:wordWrap/>
        <w:overflowPunct/>
        <w:topLinePunct w:val="0"/>
        <w:autoSpaceDE/>
        <w:autoSpaceDN/>
        <w:bidi w:val="0"/>
        <w:adjustRightInd/>
        <w:snapToGrid w:val="0"/>
        <w:spacing w:before="161" w:beforeLines="50" w:line="360" w:lineRule="auto"/>
        <w:jc w:val="center"/>
        <w:textAlignment w:val="auto"/>
        <w:rPr>
          <w:rFonts w:hint="default"/>
          <w:sz w:val="24"/>
          <w:szCs w:val="24"/>
          <w:lang w:val="en-US" w:eastAsia="zh-CN"/>
        </w:rPr>
      </w:pPr>
      <w:r>
        <w:rPr>
          <w:rFonts w:cs="Times New Roman"/>
          <w:b/>
          <w:bCs/>
          <w:color w:val="auto"/>
          <w:sz w:val="24"/>
          <w:szCs w:val="24"/>
        </w:rPr>
        <w:t>表</w:t>
      </w:r>
      <w:r>
        <w:rPr>
          <w:rFonts w:hint="default" w:ascii="Times New Roman" w:hAnsi="Times New Roman" w:cs="Times New Roman"/>
          <w:b/>
          <w:bCs/>
          <w:color w:val="auto"/>
          <w:sz w:val="24"/>
          <w:szCs w:val="24"/>
          <w:lang w:val="en-US" w:eastAsia="zh-CN"/>
        </w:rPr>
        <w:t>6</w:t>
      </w:r>
      <w:r>
        <w:rPr>
          <w:rFonts w:hint="default" w:ascii="Times New Roman" w:hAnsi="Times New Roman" w:cs="Times New Roman"/>
          <w:b/>
          <w:bCs/>
          <w:color w:val="auto"/>
          <w:sz w:val="24"/>
          <w:szCs w:val="24"/>
        </w:rPr>
        <w:t>.2-</w:t>
      </w:r>
      <w:r>
        <w:rPr>
          <w:rFonts w:hint="default" w:ascii="Times New Roman" w:hAnsi="Times New Roman" w:cs="Times New Roman"/>
          <w:b/>
          <w:bCs/>
          <w:color w:val="auto"/>
          <w:sz w:val="24"/>
          <w:szCs w:val="24"/>
          <w:lang w:val="en-US" w:eastAsia="zh-CN"/>
        </w:rPr>
        <w:t>13</w:t>
      </w:r>
      <w:r>
        <w:rPr>
          <w:rFonts w:cs="Times New Roman"/>
          <w:b/>
          <w:bCs/>
          <w:color w:val="auto"/>
          <w:sz w:val="24"/>
          <w:szCs w:val="24"/>
        </w:rPr>
        <w:t xml:space="preserve">  </w:t>
      </w:r>
      <w:r>
        <w:rPr>
          <w:rFonts w:hint="eastAsia" w:cs="Times New Roman"/>
          <w:b/>
          <w:bCs/>
          <w:color w:val="auto"/>
          <w:sz w:val="24"/>
          <w:szCs w:val="24"/>
          <w:lang w:val="en-US" w:eastAsia="zh-CN"/>
        </w:rPr>
        <w:t>污染源非正常</w:t>
      </w:r>
      <w:r>
        <w:rPr>
          <w:rFonts w:hint="eastAsia" w:cs="Times New Roman"/>
          <w:b/>
          <w:bCs/>
          <w:color w:val="auto"/>
          <w:sz w:val="24"/>
          <w:szCs w:val="24"/>
        </w:rPr>
        <w:t>排放量核算表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5"/>
        <w:gridCol w:w="876"/>
        <w:gridCol w:w="862"/>
        <w:gridCol w:w="1263"/>
        <w:gridCol w:w="1200"/>
        <w:gridCol w:w="1075"/>
        <w:gridCol w:w="1000"/>
        <w:gridCol w:w="900"/>
        <w:gridCol w:w="6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2" w:hRule="atLeast"/>
          <w:jc w:val="center"/>
        </w:trPr>
        <w:tc>
          <w:tcPr>
            <w:tcW w:w="535" w:type="dxa"/>
            <w:noWrap w:val="0"/>
            <w:vAlign w:val="center"/>
          </w:tcPr>
          <w:p>
            <w:pPr>
              <w:pStyle w:val="25"/>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序号</w:t>
            </w:r>
          </w:p>
        </w:tc>
        <w:tc>
          <w:tcPr>
            <w:tcW w:w="876" w:type="dxa"/>
            <w:noWrap w:val="0"/>
            <w:vAlign w:val="center"/>
          </w:tcPr>
          <w:p>
            <w:pPr>
              <w:pStyle w:val="25"/>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污染源</w:t>
            </w:r>
          </w:p>
        </w:tc>
        <w:tc>
          <w:tcPr>
            <w:tcW w:w="862" w:type="dxa"/>
            <w:noWrap w:val="0"/>
            <w:vAlign w:val="center"/>
          </w:tcPr>
          <w:p>
            <w:pPr>
              <w:pStyle w:val="25"/>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非正常排放原因</w:t>
            </w:r>
          </w:p>
        </w:tc>
        <w:tc>
          <w:tcPr>
            <w:tcW w:w="1263" w:type="dxa"/>
            <w:noWrap w:val="0"/>
            <w:vAlign w:val="center"/>
          </w:tcPr>
          <w:p>
            <w:pPr>
              <w:pStyle w:val="25"/>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污染物</w:t>
            </w:r>
          </w:p>
        </w:tc>
        <w:tc>
          <w:tcPr>
            <w:tcW w:w="1200" w:type="dxa"/>
            <w:noWrap w:val="0"/>
            <w:vAlign w:val="center"/>
          </w:tcPr>
          <w:p>
            <w:pPr>
              <w:pStyle w:val="25"/>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非正常排放浓度</w:t>
            </w:r>
          </w:p>
          <w:p>
            <w:pPr>
              <w:pStyle w:val="25"/>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（mg/m</w:t>
            </w:r>
            <w:r>
              <w:rPr>
                <w:rFonts w:ascii="Times New Roman" w:hAnsi="Times New Roman" w:eastAsia="宋体" w:cs="Times New Roman"/>
                <w:b/>
                <w:bCs/>
                <w:color w:val="auto"/>
                <w:sz w:val="21"/>
                <w:szCs w:val="21"/>
                <w:vertAlign w:val="superscript"/>
              </w:rPr>
              <w:t>3</w:t>
            </w:r>
            <w:r>
              <w:rPr>
                <w:rFonts w:ascii="Times New Roman" w:hAnsi="Times New Roman" w:eastAsia="宋体" w:cs="Times New Roman"/>
                <w:b/>
                <w:bCs/>
                <w:color w:val="auto"/>
                <w:sz w:val="21"/>
                <w:szCs w:val="21"/>
              </w:rPr>
              <w:t>）</w:t>
            </w:r>
          </w:p>
        </w:tc>
        <w:tc>
          <w:tcPr>
            <w:tcW w:w="1075" w:type="dxa"/>
            <w:noWrap w:val="0"/>
            <w:vAlign w:val="center"/>
          </w:tcPr>
          <w:p>
            <w:pPr>
              <w:pStyle w:val="25"/>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非正常排放速率（kg/h）</w:t>
            </w:r>
          </w:p>
        </w:tc>
        <w:tc>
          <w:tcPr>
            <w:tcW w:w="1000" w:type="dxa"/>
            <w:noWrap w:val="0"/>
            <w:vAlign w:val="center"/>
          </w:tcPr>
          <w:p>
            <w:pPr>
              <w:pStyle w:val="25"/>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单次持续时间（h）</w:t>
            </w:r>
          </w:p>
        </w:tc>
        <w:tc>
          <w:tcPr>
            <w:tcW w:w="900" w:type="dxa"/>
            <w:noWrap w:val="0"/>
            <w:vAlign w:val="center"/>
          </w:tcPr>
          <w:p>
            <w:pPr>
              <w:pStyle w:val="25"/>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年发生频次（次）</w:t>
            </w:r>
          </w:p>
        </w:tc>
        <w:tc>
          <w:tcPr>
            <w:tcW w:w="687" w:type="dxa"/>
            <w:noWrap w:val="0"/>
            <w:vAlign w:val="center"/>
          </w:tcPr>
          <w:p>
            <w:pPr>
              <w:pStyle w:val="25"/>
              <w:snapToGrid w:val="0"/>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535"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876" w:type="dxa"/>
            <w:vMerge w:val="restart"/>
            <w:noWrap w:val="0"/>
            <w:vAlign w:val="center"/>
          </w:tcPr>
          <w:p>
            <w:pPr>
              <w:pStyle w:val="17"/>
              <w:widowControl/>
              <w:adjustRightInd w:val="0"/>
              <w:snapToGrid w:val="0"/>
              <w:spacing w:after="0"/>
              <w:ind w:firstLine="0" w:firstLineChars="0"/>
              <w:jc w:val="center"/>
              <w:rPr>
                <w:rFonts w:hint="default" w:ascii="Times New Roman" w:hAnsi="Times New Roman" w:eastAsia="宋体" w:cs="Times New Roman"/>
                <w:color w:val="auto"/>
                <w:sz w:val="21"/>
                <w:szCs w:val="21"/>
                <w:lang w:val="en-US" w:eastAsia="zh-CN"/>
              </w:rPr>
            </w:pPr>
            <w:r>
              <w:rPr>
                <w:rFonts w:ascii="Times New Roman" w:hAnsi="Times New Roman" w:eastAsia="宋体"/>
                <w:color w:val="auto"/>
                <w:szCs w:val="21"/>
              </w:rPr>
              <w:t>排气筒</w:t>
            </w:r>
            <w:r>
              <w:rPr>
                <w:rFonts w:hint="eastAsia" w:ascii="Times New Roman" w:hAnsi="Times New Roman" w:eastAsia="宋体"/>
                <w:color w:val="auto"/>
                <w:szCs w:val="21"/>
                <w:lang w:val="en-US" w:eastAsia="zh-CN"/>
              </w:rPr>
              <w:t>DA0</w:t>
            </w:r>
            <w:r>
              <w:rPr>
                <w:rFonts w:hint="eastAsia" w:ascii="Times New Roman" w:hAnsi="Times New Roman"/>
                <w:color w:val="auto"/>
                <w:szCs w:val="21"/>
                <w:lang w:val="en-US" w:eastAsia="zh-CN"/>
              </w:rPr>
              <w:t>19</w:t>
            </w:r>
          </w:p>
        </w:tc>
        <w:tc>
          <w:tcPr>
            <w:tcW w:w="862"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废气</w:t>
            </w:r>
            <w:r>
              <w:rPr>
                <w:rFonts w:ascii="Times New Roman" w:hAnsi="Times New Roman" w:eastAsia="宋体" w:cs="Times New Roman"/>
                <w:color w:val="auto"/>
                <w:sz w:val="21"/>
                <w:szCs w:val="21"/>
              </w:rPr>
              <w:t>处理装置出现故障，处理效率为0</w:t>
            </w:r>
          </w:p>
        </w:tc>
        <w:tc>
          <w:tcPr>
            <w:tcW w:w="1263" w:type="dxa"/>
            <w:noWrap w:val="0"/>
            <w:vAlign w:val="center"/>
          </w:tcPr>
          <w:p>
            <w:pPr>
              <w:pStyle w:val="25"/>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非甲烷总烃</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lang w:val="en-US" w:eastAsia="zh-CN"/>
              </w:rPr>
            </w:pPr>
            <w:r>
              <w:rPr>
                <w:rFonts w:hint="eastAsia" w:ascii="Times New Roman" w:hAnsi="Times New Roman" w:eastAsia="宋体"/>
                <w:sz w:val="21"/>
                <w:szCs w:val="21"/>
                <w:vertAlign w:val="baseline"/>
                <w:lang w:val="en-US" w:eastAsia="zh-CN"/>
              </w:rPr>
              <w:t>0.209</w:t>
            </w:r>
          </w:p>
        </w:tc>
        <w:tc>
          <w:tcPr>
            <w:tcW w:w="107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lang w:val="en-US" w:eastAsia="zh-CN"/>
              </w:rPr>
            </w:pPr>
            <w:r>
              <w:rPr>
                <w:rFonts w:hint="eastAsia" w:ascii="Times New Roman" w:hAnsi="Times New Roman" w:eastAsia="宋体"/>
                <w:sz w:val="21"/>
                <w:szCs w:val="21"/>
                <w:vertAlign w:val="baseline"/>
                <w:lang w:val="en-US" w:eastAsia="zh-CN"/>
              </w:rPr>
              <w:t>0.00418</w:t>
            </w:r>
          </w:p>
        </w:tc>
        <w:tc>
          <w:tcPr>
            <w:tcW w:w="1000"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w:t>
            </w:r>
          </w:p>
        </w:tc>
        <w:tc>
          <w:tcPr>
            <w:tcW w:w="900"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w:t>
            </w:r>
          </w:p>
        </w:tc>
        <w:tc>
          <w:tcPr>
            <w:tcW w:w="687"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加强环保设施的维护与保养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535"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876"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862"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p>
        </w:tc>
        <w:tc>
          <w:tcPr>
            <w:tcW w:w="12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sz w:val="21"/>
                <w:szCs w:val="21"/>
                <w:vertAlign w:val="baseline"/>
                <w:lang w:val="en-US" w:eastAsia="zh-CN"/>
              </w:rPr>
              <w:t>异丙醇</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lang w:val="en-US" w:eastAsia="zh-CN"/>
              </w:rPr>
            </w:pPr>
            <w:r>
              <w:rPr>
                <w:rFonts w:hint="eastAsia" w:ascii="Times New Roman" w:hAnsi="Times New Roman" w:eastAsia="宋体"/>
                <w:sz w:val="21"/>
                <w:szCs w:val="21"/>
                <w:vertAlign w:val="baseline"/>
                <w:lang w:val="en-US" w:eastAsia="zh-CN"/>
              </w:rPr>
              <w:t>0.00035</w:t>
            </w:r>
          </w:p>
        </w:tc>
        <w:tc>
          <w:tcPr>
            <w:tcW w:w="107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lang w:val="en-US" w:eastAsia="zh-CN"/>
              </w:rPr>
            </w:pPr>
            <w:r>
              <w:rPr>
                <w:rFonts w:hint="eastAsia" w:ascii="Times New Roman" w:hAnsi="Times New Roman" w:eastAsia="宋体"/>
                <w:sz w:val="21"/>
                <w:szCs w:val="21"/>
                <w:vertAlign w:val="baseline"/>
                <w:lang w:val="en-US" w:eastAsia="zh-CN"/>
              </w:rPr>
              <w:t>7.06</w:t>
            </w:r>
            <w:r>
              <w:rPr>
                <w:rFonts w:hint="default" w:ascii="Times New Roman" w:hAnsi="Times New Roman" w:eastAsia="宋体" w:cs="Arial"/>
                <w:sz w:val="21"/>
                <w:szCs w:val="21"/>
                <w:vertAlign w:val="baseline"/>
                <w:lang w:val="en-US" w:eastAsia="zh-CN"/>
              </w:rPr>
              <w:t>×</w:t>
            </w:r>
            <w:r>
              <w:rPr>
                <w:rFonts w:hint="eastAsia" w:ascii="Times New Roman" w:hAnsi="Times New Roman" w:eastAsia="宋体"/>
                <w:sz w:val="21"/>
                <w:szCs w:val="21"/>
                <w:vertAlign w:val="baseline"/>
                <w:lang w:val="en-US" w:eastAsia="zh-CN"/>
              </w:rPr>
              <w:t>10</w:t>
            </w:r>
            <w:r>
              <w:rPr>
                <w:rFonts w:hint="eastAsia" w:ascii="Times New Roman" w:hAnsi="Times New Roman" w:eastAsia="宋体"/>
                <w:sz w:val="21"/>
                <w:szCs w:val="21"/>
                <w:vertAlign w:val="superscript"/>
                <w:lang w:val="en-US" w:eastAsia="zh-CN"/>
              </w:rPr>
              <w:t>-6</w:t>
            </w:r>
          </w:p>
        </w:tc>
        <w:tc>
          <w:tcPr>
            <w:tcW w:w="1000"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rPr>
            </w:pPr>
          </w:p>
        </w:tc>
        <w:tc>
          <w:tcPr>
            <w:tcW w:w="900"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687"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535"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876"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862"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p>
        </w:tc>
        <w:tc>
          <w:tcPr>
            <w:tcW w:w="12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sz w:val="21"/>
                <w:szCs w:val="21"/>
                <w:vertAlign w:val="baseline"/>
                <w:lang w:val="en-US" w:eastAsia="zh-CN"/>
              </w:rPr>
              <w:t>VOCs</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lang w:val="en-US" w:eastAsia="zh-CN"/>
              </w:rPr>
            </w:pPr>
            <w:r>
              <w:rPr>
                <w:rFonts w:hint="eastAsia" w:ascii="Times New Roman" w:hAnsi="Times New Roman" w:eastAsia="宋体"/>
                <w:sz w:val="21"/>
                <w:szCs w:val="21"/>
                <w:vertAlign w:val="baseline"/>
                <w:lang w:val="en-US" w:eastAsia="zh-CN"/>
              </w:rPr>
              <w:t>0.21</w:t>
            </w:r>
          </w:p>
        </w:tc>
        <w:tc>
          <w:tcPr>
            <w:tcW w:w="107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lang w:val="en-US" w:eastAsia="zh-CN"/>
              </w:rPr>
            </w:pPr>
            <w:r>
              <w:rPr>
                <w:rFonts w:hint="eastAsia" w:ascii="Times New Roman" w:hAnsi="Times New Roman" w:eastAsia="宋体"/>
                <w:sz w:val="21"/>
                <w:szCs w:val="21"/>
                <w:vertAlign w:val="baseline"/>
                <w:lang w:val="en-US" w:eastAsia="zh-CN"/>
              </w:rPr>
              <w:t>0.0042</w:t>
            </w:r>
          </w:p>
        </w:tc>
        <w:tc>
          <w:tcPr>
            <w:tcW w:w="1000"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rPr>
            </w:pPr>
          </w:p>
        </w:tc>
        <w:tc>
          <w:tcPr>
            <w:tcW w:w="900"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687"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35"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876"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862"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p>
        </w:tc>
        <w:tc>
          <w:tcPr>
            <w:tcW w:w="12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sz w:val="21"/>
                <w:szCs w:val="21"/>
                <w:vertAlign w:val="baseline"/>
                <w:lang w:val="en-US" w:eastAsia="zh-CN"/>
              </w:rPr>
              <w:t>二氧化硫</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lang w:val="en-US" w:eastAsia="zh-CN"/>
              </w:rPr>
            </w:pPr>
            <w:r>
              <w:rPr>
                <w:rFonts w:hint="eastAsia" w:ascii="Times New Roman" w:hAnsi="Times New Roman" w:eastAsia="宋体"/>
                <w:sz w:val="21"/>
                <w:szCs w:val="21"/>
                <w:vertAlign w:val="baseline"/>
                <w:lang w:val="en-US" w:eastAsia="zh-CN"/>
              </w:rPr>
              <w:t>2.05</w:t>
            </w:r>
          </w:p>
        </w:tc>
        <w:tc>
          <w:tcPr>
            <w:tcW w:w="107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lang w:val="en-US" w:eastAsia="zh-CN"/>
              </w:rPr>
            </w:pPr>
            <w:r>
              <w:rPr>
                <w:rFonts w:hint="eastAsia" w:ascii="Times New Roman" w:hAnsi="Times New Roman" w:eastAsia="宋体"/>
                <w:sz w:val="21"/>
                <w:szCs w:val="21"/>
                <w:vertAlign w:val="baseline"/>
                <w:lang w:val="en-US" w:eastAsia="zh-CN"/>
              </w:rPr>
              <w:t>0.041</w:t>
            </w:r>
          </w:p>
        </w:tc>
        <w:tc>
          <w:tcPr>
            <w:tcW w:w="1000"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rPr>
            </w:pPr>
          </w:p>
        </w:tc>
        <w:tc>
          <w:tcPr>
            <w:tcW w:w="900"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687"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35"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876"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862"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p>
        </w:tc>
        <w:tc>
          <w:tcPr>
            <w:tcW w:w="12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sz w:val="21"/>
                <w:szCs w:val="21"/>
                <w:vertAlign w:val="baseline"/>
                <w:lang w:val="en-US" w:eastAsia="zh-CN"/>
              </w:rPr>
              <w:t>氮氧化物</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lang w:val="en-US" w:eastAsia="zh-CN"/>
              </w:rPr>
            </w:pPr>
            <w:r>
              <w:rPr>
                <w:rFonts w:hint="eastAsia" w:ascii="Times New Roman" w:hAnsi="Times New Roman" w:eastAsia="宋体"/>
                <w:sz w:val="21"/>
                <w:szCs w:val="21"/>
                <w:vertAlign w:val="baseline"/>
                <w:lang w:val="en-US" w:eastAsia="zh-CN"/>
              </w:rPr>
              <w:t>3.5</w:t>
            </w:r>
          </w:p>
        </w:tc>
        <w:tc>
          <w:tcPr>
            <w:tcW w:w="107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lang w:val="en-US" w:eastAsia="zh-CN"/>
              </w:rPr>
            </w:pPr>
            <w:r>
              <w:rPr>
                <w:rFonts w:hint="eastAsia" w:ascii="Times New Roman" w:hAnsi="Times New Roman" w:eastAsia="宋体"/>
                <w:sz w:val="21"/>
                <w:szCs w:val="21"/>
                <w:vertAlign w:val="baseline"/>
                <w:lang w:val="en-US" w:eastAsia="zh-CN"/>
              </w:rPr>
              <w:t>0.07</w:t>
            </w:r>
          </w:p>
        </w:tc>
        <w:tc>
          <w:tcPr>
            <w:tcW w:w="1000"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rPr>
            </w:pPr>
          </w:p>
        </w:tc>
        <w:tc>
          <w:tcPr>
            <w:tcW w:w="900"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687"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35"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876"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862"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p>
        </w:tc>
        <w:tc>
          <w:tcPr>
            <w:tcW w:w="12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sz w:val="21"/>
                <w:szCs w:val="21"/>
                <w:vertAlign w:val="baseline"/>
                <w:lang w:val="en-US" w:eastAsia="zh-CN"/>
              </w:rPr>
              <w:t>颗粒物</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lang w:val="en-US" w:eastAsia="zh-CN"/>
              </w:rPr>
            </w:pPr>
            <w:r>
              <w:rPr>
                <w:rFonts w:hint="eastAsia" w:ascii="Times New Roman" w:hAnsi="Times New Roman" w:eastAsia="宋体"/>
                <w:sz w:val="21"/>
                <w:szCs w:val="21"/>
                <w:vertAlign w:val="baseline"/>
                <w:lang w:val="en-US" w:eastAsia="zh-CN"/>
              </w:rPr>
              <w:t>0.1</w:t>
            </w:r>
          </w:p>
        </w:tc>
        <w:tc>
          <w:tcPr>
            <w:tcW w:w="107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lang w:val="en-US" w:eastAsia="zh-CN"/>
              </w:rPr>
            </w:pPr>
            <w:r>
              <w:rPr>
                <w:rFonts w:hint="eastAsia" w:ascii="Times New Roman" w:hAnsi="Times New Roman" w:eastAsia="宋体"/>
                <w:sz w:val="21"/>
                <w:szCs w:val="21"/>
                <w:vertAlign w:val="baseline"/>
                <w:lang w:val="en-US" w:eastAsia="zh-CN"/>
              </w:rPr>
              <w:t>0.002</w:t>
            </w:r>
          </w:p>
        </w:tc>
        <w:tc>
          <w:tcPr>
            <w:tcW w:w="1000"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rPr>
            </w:pPr>
          </w:p>
        </w:tc>
        <w:tc>
          <w:tcPr>
            <w:tcW w:w="900"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687"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535"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876"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862"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263" w:type="dxa"/>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臭气浓度</w:t>
            </w:r>
          </w:p>
          <w:p>
            <w:pPr>
              <w:pStyle w:val="25"/>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（无量纲）</w:t>
            </w:r>
          </w:p>
        </w:tc>
        <w:tc>
          <w:tcPr>
            <w:tcW w:w="2275" w:type="dxa"/>
            <w:gridSpan w:val="2"/>
            <w:noWrap w:val="0"/>
            <w:vAlign w:val="center"/>
          </w:tcPr>
          <w:p>
            <w:pPr>
              <w:widowControl/>
              <w:jc w:val="center"/>
              <w:textAlignment w:val="center"/>
              <w:rPr>
                <w:rFonts w:hint="default" w:ascii="Times New Roman" w:hAnsi="Times New Roman" w:eastAsia="宋体"/>
                <w:b w:val="0"/>
                <w:bCs w:val="0"/>
                <w:color w:val="auto"/>
                <w:szCs w:val="21"/>
                <w:highlight w:val="none"/>
                <w:lang w:val="en-US" w:eastAsia="zh-CN"/>
              </w:rPr>
            </w:pPr>
            <w:r>
              <w:rPr>
                <w:rFonts w:hint="eastAsia" w:ascii="Times New Roman" w:hAnsi="Times New Roman" w:eastAsia="宋体"/>
                <w:b w:val="0"/>
                <w:bCs w:val="0"/>
                <w:color w:val="auto"/>
                <w:szCs w:val="21"/>
                <w:highlight w:val="none"/>
                <w:lang w:val="en-US" w:eastAsia="zh-CN"/>
              </w:rPr>
              <w:t>31.8</w:t>
            </w:r>
          </w:p>
        </w:tc>
        <w:tc>
          <w:tcPr>
            <w:tcW w:w="1000"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rPr>
            </w:pPr>
          </w:p>
        </w:tc>
        <w:tc>
          <w:tcPr>
            <w:tcW w:w="900"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687"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535" w:type="dxa"/>
            <w:vMerge w:val="restart"/>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876" w:type="dxa"/>
            <w:vMerge w:val="restart"/>
            <w:noWrap w:val="0"/>
            <w:vAlign w:val="center"/>
          </w:tcPr>
          <w:p>
            <w:pPr>
              <w:pStyle w:val="17"/>
              <w:widowControl/>
              <w:adjustRightInd w:val="0"/>
              <w:snapToGrid w:val="0"/>
              <w:spacing w:after="0"/>
              <w:ind w:firstLine="0" w:firstLineChars="0"/>
              <w:jc w:val="center"/>
              <w:rPr>
                <w:rFonts w:ascii="Times New Roman" w:hAnsi="Times New Roman" w:eastAsia="宋体" w:cs="Times New Roman"/>
                <w:color w:val="auto"/>
                <w:sz w:val="21"/>
                <w:szCs w:val="21"/>
              </w:rPr>
            </w:pPr>
            <w:r>
              <w:rPr>
                <w:rFonts w:ascii="Times New Roman" w:hAnsi="Times New Roman" w:eastAsia="宋体"/>
                <w:color w:val="auto"/>
                <w:szCs w:val="21"/>
              </w:rPr>
              <w:t>排气筒</w:t>
            </w:r>
            <w:r>
              <w:rPr>
                <w:rFonts w:hint="eastAsia" w:ascii="Times New Roman" w:hAnsi="Times New Roman" w:eastAsia="宋体"/>
                <w:color w:val="auto"/>
                <w:szCs w:val="21"/>
                <w:lang w:val="en-US" w:eastAsia="zh-CN"/>
              </w:rPr>
              <w:t>DA00</w:t>
            </w:r>
            <w:r>
              <w:rPr>
                <w:rFonts w:hint="eastAsia" w:ascii="Times New Roman" w:hAnsi="Times New Roman"/>
                <w:color w:val="auto"/>
                <w:szCs w:val="21"/>
                <w:lang w:val="en-US" w:eastAsia="zh-CN"/>
              </w:rPr>
              <w:t>6</w:t>
            </w:r>
          </w:p>
        </w:tc>
        <w:tc>
          <w:tcPr>
            <w:tcW w:w="862"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2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olor w:val="auto"/>
                <w:szCs w:val="21"/>
                <w:lang w:val="en-US" w:eastAsia="zh-CN"/>
              </w:rPr>
              <w:t>颗粒物</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highlight w:val="none"/>
                <w:lang w:val="en-US" w:eastAsia="zh-CN"/>
              </w:rPr>
            </w:pPr>
            <w:r>
              <w:rPr>
                <w:rFonts w:hint="eastAsia" w:ascii="Times New Roman" w:hAnsi="Times New Roman" w:eastAsia="宋体"/>
                <w:sz w:val="21"/>
                <w:szCs w:val="21"/>
                <w:highlight w:val="none"/>
                <w:vertAlign w:val="baseline"/>
                <w:lang w:val="en-US" w:eastAsia="zh-CN"/>
              </w:rPr>
              <w:t>601.51</w:t>
            </w:r>
          </w:p>
        </w:tc>
        <w:tc>
          <w:tcPr>
            <w:tcW w:w="107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highlight w:val="none"/>
                <w:lang w:val="en-US" w:eastAsia="zh-CN"/>
              </w:rPr>
            </w:pPr>
            <w:r>
              <w:rPr>
                <w:rFonts w:hint="eastAsia" w:ascii="Times New Roman" w:hAnsi="Times New Roman" w:eastAsia="宋体"/>
                <w:sz w:val="21"/>
                <w:szCs w:val="21"/>
                <w:highlight w:val="none"/>
                <w:vertAlign w:val="baseline"/>
                <w:lang w:val="en-US" w:eastAsia="zh-CN"/>
              </w:rPr>
              <w:t>85.37</w:t>
            </w:r>
          </w:p>
        </w:tc>
        <w:tc>
          <w:tcPr>
            <w:tcW w:w="1000"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rPr>
            </w:pPr>
          </w:p>
        </w:tc>
        <w:tc>
          <w:tcPr>
            <w:tcW w:w="900"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687"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535"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p>
        </w:tc>
        <w:tc>
          <w:tcPr>
            <w:tcW w:w="876"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862"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2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sz w:val="21"/>
                <w:szCs w:val="21"/>
                <w:vertAlign w:val="baseline"/>
                <w:lang w:val="en-US" w:eastAsia="zh-CN"/>
              </w:rPr>
              <w:t>二氧化硫</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highlight w:val="none"/>
                <w:lang w:val="en-US" w:eastAsia="zh-CN"/>
              </w:rPr>
            </w:pPr>
            <w:r>
              <w:rPr>
                <w:rFonts w:hint="eastAsia" w:ascii="Times New Roman" w:hAnsi="Times New Roman" w:eastAsia="宋体"/>
                <w:sz w:val="21"/>
                <w:szCs w:val="21"/>
                <w:vertAlign w:val="baseline"/>
                <w:lang w:val="en-US" w:eastAsia="zh-CN"/>
              </w:rPr>
              <w:t>19.61</w:t>
            </w:r>
          </w:p>
        </w:tc>
        <w:tc>
          <w:tcPr>
            <w:tcW w:w="107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highlight w:val="none"/>
                <w:lang w:val="en-US" w:eastAsia="zh-CN"/>
              </w:rPr>
            </w:pPr>
            <w:r>
              <w:rPr>
                <w:rFonts w:hint="eastAsia" w:ascii="Times New Roman" w:hAnsi="Times New Roman" w:eastAsia="宋体"/>
                <w:sz w:val="21"/>
                <w:szCs w:val="21"/>
                <w:vertAlign w:val="baseline"/>
                <w:lang w:val="en-US" w:eastAsia="zh-CN"/>
              </w:rPr>
              <w:t>2.80</w:t>
            </w:r>
          </w:p>
        </w:tc>
        <w:tc>
          <w:tcPr>
            <w:tcW w:w="1000"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rPr>
            </w:pPr>
          </w:p>
        </w:tc>
        <w:tc>
          <w:tcPr>
            <w:tcW w:w="900"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687"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535"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p>
        </w:tc>
        <w:tc>
          <w:tcPr>
            <w:tcW w:w="876" w:type="dxa"/>
            <w:vMerge w:val="continue"/>
            <w:noWrap w:val="0"/>
            <w:vAlign w:val="center"/>
          </w:tcPr>
          <w:p>
            <w:pPr>
              <w:pStyle w:val="17"/>
              <w:widowControl/>
              <w:adjustRightInd w:val="0"/>
              <w:snapToGrid w:val="0"/>
              <w:spacing w:after="0"/>
              <w:ind w:firstLine="0" w:firstLineChars="0"/>
              <w:jc w:val="center"/>
              <w:rPr>
                <w:rFonts w:ascii="Times New Roman" w:hAnsi="Times New Roman" w:eastAsia="宋体"/>
                <w:color w:val="auto"/>
                <w:szCs w:val="21"/>
              </w:rPr>
            </w:pPr>
          </w:p>
        </w:tc>
        <w:tc>
          <w:tcPr>
            <w:tcW w:w="862"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2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sz w:val="21"/>
                <w:szCs w:val="21"/>
                <w:vertAlign w:val="baseline"/>
                <w:lang w:val="en-US" w:eastAsia="zh-CN"/>
              </w:rPr>
              <w:t>氮氧化物</w:t>
            </w:r>
          </w:p>
        </w:tc>
        <w:tc>
          <w:tcPr>
            <w:tcW w:w="12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highlight w:val="none"/>
                <w:lang w:val="en-US" w:eastAsia="zh-CN"/>
              </w:rPr>
            </w:pPr>
            <w:r>
              <w:rPr>
                <w:rFonts w:hint="eastAsia" w:ascii="Times New Roman" w:hAnsi="Times New Roman" w:eastAsia="宋体"/>
                <w:sz w:val="21"/>
                <w:szCs w:val="21"/>
                <w:highlight w:val="none"/>
                <w:vertAlign w:val="baseline"/>
                <w:lang w:val="en-US" w:eastAsia="zh-CN"/>
              </w:rPr>
              <w:t>51.05</w:t>
            </w:r>
          </w:p>
        </w:tc>
        <w:tc>
          <w:tcPr>
            <w:tcW w:w="107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val="0"/>
                <w:bCs w:val="0"/>
                <w:color w:val="auto"/>
                <w:szCs w:val="21"/>
                <w:highlight w:val="none"/>
                <w:lang w:val="en-US" w:eastAsia="zh-CN"/>
              </w:rPr>
            </w:pPr>
            <w:r>
              <w:rPr>
                <w:rFonts w:hint="eastAsia" w:ascii="Times New Roman" w:hAnsi="Times New Roman" w:eastAsia="宋体"/>
                <w:sz w:val="21"/>
                <w:szCs w:val="21"/>
                <w:highlight w:val="none"/>
                <w:vertAlign w:val="baseline"/>
                <w:lang w:val="en-US" w:eastAsia="zh-CN"/>
              </w:rPr>
              <w:t>7.29</w:t>
            </w:r>
          </w:p>
        </w:tc>
        <w:tc>
          <w:tcPr>
            <w:tcW w:w="1000"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rPr>
            </w:pPr>
          </w:p>
        </w:tc>
        <w:tc>
          <w:tcPr>
            <w:tcW w:w="900"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687"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535" w:type="dxa"/>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876" w:type="dxa"/>
            <w:noWrap w:val="0"/>
            <w:vAlign w:val="center"/>
          </w:tcPr>
          <w:p>
            <w:pPr>
              <w:pStyle w:val="17"/>
              <w:widowControl/>
              <w:adjustRightInd w:val="0"/>
              <w:snapToGrid w:val="0"/>
              <w:spacing w:after="0"/>
              <w:ind w:firstLine="0" w:firstLineChars="0"/>
              <w:jc w:val="center"/>
              <w:rPr>
                <w:rFonts w:ascii="Times New Roman" w:hAnsi="Times New Roman" w:eastAsia="宋体" w:cs="Times New Roman"/>
                <w:color w:val="auto"/>
                <w:sz w:val="21"/>
                <w:szCs w:val="21"/>
              </w:rPr>
            </w:pPr>
            <w:r>
              <w:rPr>
                <w:rFonts w:ascii="Times New Roman" w:hAnsi="Times New Roman" w:eastAsia="宋体"/>
                <w:color w:val="auto"/>
                <w:szCs w:val="21"/>
              </w:rPr>
              <w:t>排气筒</w:t>
            </w:r>
            <w:r>
              <w:rPr>
                <w:rFonts w:hint="eastAsia" w:ascii="Times New Roman" w:hAnsi="Times New Roman" w:eastAsia="宋体"/>
                <w:color w:val="auto"/>
                <w:szCs w:val="21"/>
                <w:lang w:val="en-US" w:eastAsia="zh-CN"/>
              </w:rPr>
              <w:t>DA0</w:t>
            </w:r>
            <w:r>
              <w:rPr>
                <w:rFonts w:hint="eastAsia" w:ascii="Times New Roman" w:hAnsi="Times New Roman"/>
                <w:color w:val="auto"/>
                <w:szCs w:val="21"/>
                <w:lang w:val="en-US" w:eastAsia="zh-CN"/>
              </w:rPr>
              <w:t>20</w:t>
            </w:r>
          </w:p>
        </w:tc>
        <w:tc>
          <w:tcPr>
            <w:tcW w:w="862"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263" w:type="dxa"/>
            <w:noWrap w:val="0"/>
            <w:vAlign w:val="center"/>
          </w:tcPr>
          <w:p>
            <w:pPr>
              <w:widowControl/>
              <w:adjustRightInd w:val="0"/>
              <w:snapToGrid w:val="0"/>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1200" w:type="dxa"/>
            <w:noWrap w:val="0"/>
            <w:vAlign w:val="center"/>
          </w:tcPr>
          <w:p>
            <w:pPr>
              <w:widowControl/>
              <w:jc w:val="center"/>
              <w:textAlignment w:val="center"/>
              <w:rPr>
                <w:rFonts w:hint="default" w:ascii="Times New Roman" w:hAnsi="Times New Roman" w:eastAsia="宋体"/>
                <w:b w:val="0"/>
                <w:bCs w:val="0"/>
                <w:color w:val="auto"/>
                <w:szCs w:val="21"/>
                <w:highlight w:val="none"/>
                <w:lang w:val="en-US" w:eastAsia="zh-CN"/>
              </w:rPr>
            </w:pPr>
            <w:r>
              <w:rPr>
                <w:rFonts w:hint="eastAsia" w:ascii="Times New Roman" w:hAnsi="Times New Roman" w:eastAsia="宋体"/>
                <w:b w:val="0"/>
                <w:bCs w:val="0"/>
                <w:color w:val="auto"/>
                <w:szCs w:val="21"/>
                <w:highlight w:val="none"/>
                <w:lang w:val="en-US" w:eastAsia="zh-CN"/>
              </w:rPr>
              <w:t>676.47</w:t>
            </w:r>
          </w:p>
        </w:tc>
        <w:tc>
          <w:tcPr>
            <w:tcW w:w="1075" w:type="dxa"/>
            <w:noWrap w:val="0"/>
            <w:vAlign w:val="center"/>
          </w:tcPr>
          <w:p>
            <w:pPr>
              <w:widowControl/>
              <w:jc w:val="center"/>
              <w:textAlignment w:val="center"/>
              <w:rPr>
                <w:rFonts w:hint="default" w:ascii="Times New Roman" w:hAnsi="Times New Roman" w:eastAsia="宋体"/>
                <w:b w:val="0"/>
                <w:bCs w:val="0"/>
                <w:color w:val="auto"/>
                <w:szCs w:val="21"/>
                <w:highlight w:val="none"/>
                <w:lang w:val="en-US" w:eastAsia="zh-CN"/>
              </w:rPr>
            </w:pPr>
            <w:r>
              <w:rPr>
                <w:rFonts w:hint="eastAsia" w:ascii="Times New Roman" w:hAnsi="Times New Roman" w:eastAsia="宋体"/>
                <w:b w:val="0"/>
                <w:bCs w:val="0"/>
                <w:color w:val="auto"/>
                <w:szCs w:val="21"/>
                <w:highlight w:val="none"/>
                <w:lang w:val="en-US" w:eastAsia="zh-CN"/>
              </w:rPr>
              <w:t>3.38</w:t>
            </w:r>
          </w:p>
        </w:tc>
        <w:tc>
          <w:tcPr>
            <w:tcW w:w="1000" w:type="dxa"/>
            <w:vMerge w:val="continue"/>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rPr>
            </w:pPr>
          </w:p>
        </w:tc>
        <w:tc>
          <w:tcPr>
            <w:tcW w:w="900"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687"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default"/>
          <w:sz w:val="24"/>
          <w:szCs w:val="24"/>
          <w:lang w:val="en-US" w:eastAsia="zh-CN"/>
        </w:rPr>
      </w:pPr>
      <w:r>
        <w:rPr>
          <w:rFonts w:hint="eastAsia"/>
          <w:sz w:val="24"/>
          <w:szCs w:val="24"/>
          <w:lang w:val="en-US" w:eastAsia="zh-CN"/>
        </w:rPr>
        <w:t>从上表可知，但非正常排放对外环境影响程度比正常工况显著增加，对外环境的影响比正常工况明显加大。由此可知，废气净化装置如发生故障非正常排放的废气对周边环境影响较严重，企业需加大监测频次，发现废气净化装置异常或者达不到应有的处理效率及时停工维护，待废气处理装置正常后再恢复生产。</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cs="Times New Roman"/>
          <w:b/>
          <w:bCs/>
          <w:color w:val="auto"/>
          <w:sz w:val="24"/>
          <w:szCs w:val="24"/>
        </w:rPr>
        <w:t>大气</w:t>
      </w:r>
      <w:r>
        <w:rPr>
          <w:rFonts w:cs="Times New Roman"/>
          <w:b/>
          <w:bCs/>
          <w:color w:val="auto"/>
          <w:sz w:val="24"/>
          <w:szCs w:val="24"/>
          <w:highlight w:val="none"/>
        </w:rPr>
        <w:t>环境影响评价自查表</w:t>
      </w:r>
    </w:p>
    <w:tbl>
      <w:tblPr>
        <w:tblStyle w:val="18"/>
        <w:tblW w:w="907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79"/>
        <w:gridCol w:w="1262"/>
        <w:gridCol w:w="855"/>
        <w:gridCol w:w="273"/>
        <w:gridCol w:w="417"/>
        <w:gridCol w:w="186"/>
        <w:gridCol w:w="577"/>
        <w:gridCol w:w="187"/>
        <w:gridCol w:w="30"/>
        <w:gridCol w:w="310"/>
        <w:gridCol w:w="628"/>
        <w:gridCol w:w="140"/>
        <w:gridCol w:w="427"/>
        <w:gridCol w:w="46"/>
        <w:gridCol w:w="540"/>
        <w:gridCol w:w="94"/>
        <w:gridCol w:w="145"/>
        <w:gridCol w:w="238"/>
        <w:gridCol w:w="101"/>
        <w:gridCol w:w="426"/>
        <w:gridCol w:w="290"/>
        <w:gridCol w:w="248"/>
        <w:gridCol w:w="7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4" w:hRule="atLeast"/>
          <w:jc w:val="center"/>
        </w:trPr>
        <w:tc>
          <w:tcPr>
            <w:tcW w:w="2141" w:type="dxa"/>
            <w:gridSpan w:val="2"/>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工作内容</w:t>
            </w:r>
          </w:p>
        </w:tc>
        <w:tc>
          <w:tcPr>
            <w:tcW w:w="6929" w:type="dxa"/>
            <w:gridSpan w:val="21"/>
            <w:noWrap w:val="0"/>
            <w:vAlign w:val="center"/>
          </w:tcPr>
          <w:p>
            <w:pPr>
              <w:adjustRightInd w:val="0"/>
              <w:snapToGrid w:val="0"/>
              <w:jc w:val="center"/>
              <w:rPr>
                <w:rFonts w:ascii="Times New Roman" w:hAnsi="Times New Roman" w:eastAsia="宋体"/>
                <w:b/>
                <w:bCs/>
                <w:color w:val="auto"/>
                <w:szCs w:val="21"/>
              </w:rPr>
            </w:pPr>
            <w:r>
              <w:rPr>
                <w:rFonts w:ascii="Times New Roman" w:hAnsi="Times New Roman" w:eastAsia="宋体"/>
                <w:b/>
                <w:bCs/>
                <w:color w:val="auto"/>
                <w:szCs w:val="21"/>
              </w:rPr>
              <w:t>自查项目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1" w:hRule="atLeast"/>
          <w:jc w:val="center"/>
        </w:trPr>
        <w:tc>
          <w:tcPr>
            <w:tcW w:w="879" w:type="dxa"/>
            <w:vMerge w:val="restart"/>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评价等级与范围</w:t>
            </w: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评价等级</w:t>
            </w:r>
          </w:p>
        </w:tc>
        <w:tc>
          <w:tcPr>
            <w:tcW w:w="2308" w:type="dxa"/>
            <w:gridSpan w:val="5"/>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一级</w:t>
            </w:r>
            <w:r>
              <w:rPr>
                <w:rFonts w:ascii="Times New Roman" w:hAnsi="Times New Roman" w:eastAsia="宋体"/>
                <w:color w:val="auto"/>
                <w:szCs w:val="21"/>
              </w:rPr>
              <w:sym w:font="Wingdings 2" w:char="00A3"/>
            </w:r>
          </w:p>
        </w:tc>
        <w:tc>
          <w:tcPr>
            <w:tcW w:w="2308"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二级</w:t>
            </w:r>
            <w:r>
              <w:rPr>
                <w:rFonts w:ascii="Times New Roman" w:hAnsi="Times New Roman" w:eastAsia="宋体"/>
                <w:color w:val="auto"/>
                <w:szCs w:val="21"/>
              </w:rPr>
              <w:sym w:font="Wingdings 2" w:char="0052"/>
            </w:r>
          </w:p>
        </w:tc>
        <w:tc>
          <w:tcPr>
            <w:tcW w:w="2313"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三级</w:t>
            </w:r>
            <w:r>
              <w:rPr>
                <w:rFonts w:ascii="Times New Roman" w:hAnsi="Times New Roman" w:eastAsia="宋体"/>
                <w:color w:val="auto"/>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评价范围</w:t>
            </w:r>
          </w:p>
        </w:tc>
        <w:tc>
          <w:tcPr>
            <w:tcW w:w="2308" w:type="dxa"/>
            <w:gridSpan w:val="5"/>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边长=5~50km</w:t>
            </w:r>
            <w:r>
              <w:rPr>
                <w:rFonts w:ascii="Times New Roman" w:hAnsi="Times New Roman" w:eastAsia="宋体"/>
                <w:color w:val="auto"/>
                <w:szCs w:val="21"/>
              </w:rPr>
              <w:sym w:font="Wingdings 2" w:char="0052"/>
            </w:r>
          </w:p>
        </w:tc>
        <w:tc>
          <w:tcPr>
            <w:tcW w:w="2308"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边长5km</w:t>
            </w:r>
            <w:r>
              <w:rPr>
                <w:rFonts w:ascii="Times New Roman" w:hAnsi="Times New Roman" w:eastAsia="宋体"/>
                <w:color w:val="auto"/>
                <w:szCs w:val="21"/>
              </w:rPr>
              <w:sym w:font="Wingdings 2" w:char="0052"/>
            </w:r>
          </w:p>
        </w:tc>
        <w:tc>
          <w:tcPr>
            <w:tcW w:w="2313"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不设置评价范围</w:t>
            </w:r>
            <w:r>
              <w:rPr>
                <w:rFonts w:ascii="Times New Roman" w:hAnsi="Times New Roman" w:eastAsia="宋体"/>
                <w:color w:val="auto"/>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03" w:hRule="atLeast"/>
          <w:jc w:val="center"/>
        </w:trPr>
        <w:tc>
          <w:tcPr>
            <w:tcW w:w="879" w:type="dxa"/>
            <w:vMerge w:val="restart"/>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评价因子</w:t>
            </w: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SO</w:t>
            </w:r>
            <w:r>
              <w:rPr>
                <w:rFonts w:ascii="Times New Roman" w:hAnsi="Times New Roman" w:eastAsia="宋体"/>
                <w:color w:val="auto"/>
                <w:szCs w:val="21"/>
                <w:vertAlign w:val="subscript"/>
              </w:rPr>
              <w:t>2</w:t>
            </w:r>
            <w:r>
              <w:rPr>
                <w:rFonts w:ascii="Times New Roman" w:hAnsi="Times New Roman" w:eastAsia="宋体"/>
                <w:color w:val="auto"/>
                <w:szCs w:val="21"/>
              </w:rPr>
              <w:t>+NO</w:t>
            </w:r>
            <w:r>
              <w:rPr>
                <w:rFonts w:ascii="Times New Roman" w:hAnsi="Times New Roman" w:eastAsia="宋体"/>
                <w:color w:val="auto"/>
                <w:szCs w:val="21"/>
                <w:vertAlign w:val="subscript"/>
              </w:rPr>
              <w:t>X</w:t>
            </w:r>
            <w:r>
              <w:rPr>
                <w:rFonts w:ascii="Times New Roman" w:hAnsi="Times New Roman" w:eastAsia="宋体"/>
                <w:color w:val="auto"/>
                <w:szCs w:val="21"/>
              </w:rPr>
              <w:t>排放量</w:t>
            </w:r>
          </w:p>
        </w:tc>
        <w:tc>
          <w:tcPr>
            <w:tcW w:w="2308" w:type="dxa"/>
            <w:gridSpan w:val="5"/>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≥20000t/a</w:t>
            </w:r>
            <w:r>
              <w:rPr>
                <w:rFonts w:ascii="Times New Roman" w:hAnsi="Times New Roman" w:eastAsia="宋体"/>
                <w:color w:val="auto"/>
                <w:szCs w:val="21"/>
              </w:rPr>
              <w:sym w:font="Wingdings 2" w:char="00A3"/>
            </w:r>
          </w:p>
        </w:tc>
        <w:tc>
          <w:tcPr>
            <w:tcW w:w="2308"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500~2000t/a</w:t>
            </w:r>
            <w:r>
              <w:rPr>
                <w:rFonts w:ascii="Times New Roman" w:hAnsi="Times New Roman" w:eastAsia="宋体"/>
                <w:color w:val="auto"/>
                <w:szCs w:val="21"/>
              </w:rPr>
              <w:sym w:font="Wingdings 2" w:char="00A3"/>
            </w:r>
          </w:p>
        </w:tc>
        <w:tc>
          <w:tcPr>
            <w:tcW w:w="2313" w:type="dxa"/>
            <w:gridSpan w:val="8"/>
            <w:noWrap w:val="0"/>
            <w:vAlign w:val="center"/>
          </w:tcPr>
          <w:p>
            <w:pPr>
              <w:adjustRightInd w:val="0"/>
              <w:snapToGrid w:val="0"/>
              <w:jc w:val="center"/>
              <w:rPr>
                <w:rFonts w:hint="eastAsia" w:ascii="Times New Roman" w:hAnsi="Times New Roman" w:eastAsia="宋体"/>
                <w:color w:val="auto"/>
                <w:szCs w:val="21"/>
                <w:lang w:eastAsia="zh-CN"/>
              </w:rPr>
            </w:pPr>
            <w:r>
              <w:rPr>
                <w:rFonts w:ascii="Times New Roman" w:hAnsi="Times New Roman" w:eastAsia="宋体"/>
                <w:color w:val="auto"/>
                <w:szCs w:val="21"/>
              </w:rPr>
              <w:t>小于500t/a</w:t>
            </w:r>
            <w:r>
              <w:rPr>
                <w:rFonts w:hint="eastAsia" w:ascii="Times New Roman" w:hAnsi="Times New Roman" w:eastAsia="宋体"/>
                <w:color w:val="auto"/>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评价因子</w:t>
            </w:r>
          </w:p>
        </w:tc>
        <w:tc>
          <w:tcPr>
            <w:tcW w:w="4855" w:type="dxa"/>
            <w:gridSpan w:val="15"/>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基本污染物（</w:t>
            </w:r>
            <w:r>
              <w:rPr>
                <w:rFonts w:hint="eastAsia" w:ascii="Times New Roman" w:hAnsi="Times New Roman" w:cs="Times New Roman"/>
                <w:color w:val="auto"/>
                <w:sz w:val="21"/>
                <w:szCs w:val="21"/>
                <w:lang w:val="en-US" w:eastAsia="zh-CN"/>
              </w:rPr>
              <w:t>二氧化硫、氮氧化物、</w:t>
            </w:r>
            <w:r>
              <w:rPr>
                <w:rFonts w:ascii="Times New Roman" w:hAnsi="Times New Roman" w:eastAsia="宋体" w:cs="Times New Roman"/>
                <w:color w:val="auto"/>
                <w:sz w:val="21"/>
                <w:szCs w:val="21"/>
              </w:rPr>
              <w:t>PM</w:t>
            </w:r>
            <w:r>
              <w:rPr>
                <w:rFonts w:ascii="Times New Roman" w:hAnsi="Times New Roman" w:eastAsia="宋体" w:cs="Times New Roman"/>
                <w:color w:val="auto"/>
                <w:sz w:val="21"/>
                <w:szCs w:val="21"/>
                <w:vertAlign w:val="subscript"/>
              </w:rPr>
              <w:t>10</w:t>
            </w:r>
            <w:r>
              <w:rPr>
                <w:rFonts w:ascii="Times New Roman" w:hAnsi="Times New Roman" w:eastAsia="宋体" w:cs="Times New Roman"/>
                <w:color w:val="auto"/>
                <w:sz w:val="21"/>
                <w:szCs w:val="21"/>
              </w:rPr>
              <w:t>）</w:t>
            </w:r>
          </w:p>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其他污染物（</w:t>
            </w:r>
            <w:r>
              <w:rPr>
                <w:rFonts w:hint="eastAsia" w:ascii="Times New Roman" w:hAnsi="Times New Roman" w:cs="Times New Roman"/>
                <w:color w:val="auto"/>
                <w:sz w:val="21"/>
                <w:szCs w:val="21"/>
                <w:lang w:val="en-US" w:eastAsia="zh-CN"/>
              </w:rPr>
              <w:t>颗粒物、非甲烷总烃、VOCs、臭气浓度、异丙醇</w:t>
            </w:r>
            <w:r>
              <w:rPr>
                <w:rFonts w:ascii="Times New Roman" w:hAnsi="Times New Roman" w:eastAsia="宋体" w:cs="Times New Roman"/>
                <w:color w:val="auto"/>
                <w:sz w:val="21"/>
                <w:szCs w:val="21"/>
              </w:rPr>
              <w:t>）</w:t>
            </w:r>
          </w:p>
        </w:tc>
        <w:tc>
          <w:tcPr>
            <w:tcW w:w="2074" w:type="dxa"/>
            <w:gridSpan w:val="6"/>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包括二次PM</w:t>
            </w:r>
            <w:r>
              <w:rPr>
                <w:rFonts w:ascii="Times New Roman" w:hAnsi="Times New Roman" w:eastAsia="宋体" w:cs="Times New Roman"/>
                <w:color w:val="auto"/>
                <w:sz w:val="21"/>
                <w:szCs w:val="21"/>
                <w:vertAlign w:val="subscript"/>
              </w:rPr>
              <w:t>2.5</w:t>
            </w:r>
            <w:r>
              <w:rPr>
                <w:rFonts w:ascii="Times New Roman" w:hAnsi="Times New Roman" w:eastAsia="宋体" w:cs="Times New Roman"/>
                <w:color w:val="auto"/>
                <w:sz w:val="21"/>
                <w:szCs w:val="21"/>
              </w:rPr>
              <w:sym w:font="Wingdings 2" w:char="00A3"/>
            </w:r>
          </w:p>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不包括二次PM</w:t>
            </w:r>
            <w:r>
              <w:rPr>
                <w:rFonts w:ascii="Times New Roman" w:hAnsi="Times New Roman" w:eastAsia="宋体" w:cs="Times New Roman"/>
                <w:color w:val="auto"/>
                <w:sz w:val="21"/>
                <w:szCs w:val="21"/>
                <w:vertAlign w:val="subscript"/>
              </w:rPr>
              <w:t>2.5</w:t>
            </w:r>
            <w:r>
              <w:rPr>
                <w:rFonts w:ascii="Times New Roman" w:hAnsi="Times New Roman" w:eastAsia="宋体" w:cs="Times New Roman"/>
                <w:color w:val="auto"/>
                <w:sz w:val="21"/>
                <w:szCs w:val="21"/>
              </w:rPr>
              <w:sym w:font="Wingdings 2" w:char="0052"/>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79"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评价标准</w:t>
            </w: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评价标准</w:t>
            </w:r>
          </w:p>
        </w:tc>
        <w:tc>
          <w:tcPr>
            <w:tcW w:w="1731" w:type="dxa"/>
            <w:gridSpan w:val="4"/>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国家标准☑</w:t>
            </w:r>
          </w:p>
        </w:tc>
        <w:tc>
          <w:tcPr>
            <w:tcW w:w="1732" w:type="dxa"/>
            <w:gridSpan w:val="5"/>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地方标准</w:t>
            </w:r>
            <w:r>
              <w:rPr>
                <w:rFonts w:ascii="Times New Roman" w:hAnsi="Times New Roman" w:eastAsia="宋体"/>
                <w:color w:val="auto"/>
                <w:szCs w:val="21"/>
              </w:rPr>
              <w:sym w:font="Wingdings 2" w:char="0052"/>
            </w:r>
          </w:p>
        </w:tc>
        <w:tc>
          <w:tcPr>
            <w:tcW w:w="1731"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附录D</w:t>
            </w:r>
            <w:r>
              <w:rPr>
                <w:rFonts w:ascii="Times New Roman" w:hAnsi="Times New Roman" w:eastAsia="宋体"/>
                <w:color w:val="auto"/>
                <w:szCs w:val="21"/>
              </w:rPr>
              <w:sym w:font="Wingdings 2" w:char="0052"/>
            </w:r>
          </w:p>
        </w:tc>
        <w:tc>
          <w:tcPr>
            <w:tcW w:w="1735" w:type="dxa"/>
            <w:gridSpan w:val="4"/>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其他标准</w:t>
            </w:r>
            <w:r>
              <w:rPr>
                <w:rFonts w:ascii="Times New Roman" w:hAnsi="Times New Roman" w:eastAsia="宋体"/>
                <w:color w:val="auto"/>
                <w:szCs w:val="21"/>
              </w:rPr>
              <w:sym w:font="Wingdings 2" w:char="0052"/>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79" w:type="dxa"/>
            <w:vMerge w:val="restart"/>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现状评价</w:t>
            </w: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环境功能区</w:t>
            </w:r>
          </w:p>
        </w:tc>
        <w:tc>
          <w:tcPr>
            <w:tcW w:w="2308" w:type="dxa"/>
            <w:gridSpan w:val="5"/>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一类区□</w:t>
            </w:r>
          </w:p>
        </w:tc>
        <w:tc>
          <w:tcPr>
            <w:tcW w:w="2308"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二类区☑</w:t>
            </w:r>
          </w:p>
        </w:tc>
        <w:tc>
          <w:tcPr>
            <w:tcW w:w="2313"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一类区和二类区□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评价基准年</w:t>
            </w:r>
          </w:p>
        </w:tc>
        <w:tc>
          <w:tcPr>
            <w:tcW w:w="6929" w:type="dxa"/>
            <w:gridSpan w:val="21"/>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20</w:t>
            </w:r>
            <w:r>
              <w:rPr>
                <w:rFonts w:hint="eastAsia" w:ascii="Times New Roman" w:hAnsi="Times New Roman" w:eastAsia="宋体"/>
                <w:color w:val="auto"/>
                <w:szCs w:val="21"/>
                <w:lang w:val="en-US" w:eastAsia="zh-CN"/>
              </w:rPr>
              <w:t>20</w:t>
            </w:r>
            <w:r>
              <w:rPr>
                <w:rFonts w:ascii="Times New Roman" w:hAnsi="Times New Roman" w:eastAsia="宋体"/>
                <w:color w:val="auto"/>
                <w:szCs w:val="21"/>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环境空气质量现状调查数据来源</w:t>
            </w:r>
          </w:p>
        </w:tc>
        <w:tc>
          <w:tcPr>
            <w:tcW w:w="2525" w:type="dxa"/>
            <w:gridSpan w:val="7"/>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长期例行监测数据</w:t>
            </w:r>
            <w:r>
              <w:rPr>
                <w:rFonts w:ascii="Times New Roman" w:hAnsi="Times New Roman" w:eastAsia="宋体"/>
                <w:color w:val="auto"/>
                <w:szCs w:val="21"/>
              </w:rPr>
              <w:sym w:font="Wingdings 2" w:char="00A3"/>
            </w:r>
          </w:p>
        </w:tc>
        <w:tc>
          <w:tcPr>
            <w:tcW w:w="2330"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主管部门发布的数据☑</w:t>
            </w:r>
          </w:p>
        </w:tc>
        <w:tc>
          <w:tcPr>
            <w:tcW w:w="2074" w:type="dxa"/>
            <w:gridSpan w:val="6"/>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现状补充监测</w:t>
            </w:r>
            <w:r>
              <w:rPr>
                <w:rFonts w:ascii="Times New Roman" w:hAnsi="Times New Roman" w:eastAsia="宋体"/>
                <w:color w:val="auto"/>
                <w:szCs w:val="21"/>
              </w:rPr>
              <w:sym w:font="Wingdings 2" w:char="0052"/>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7" w:hRule="atLeast"/>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现状评价</w:t>
            </w:r>
          </w:p>
        </w:tc>
        <w:tc>
          <w:tcPr>
            <w:tcW w:w="3463" w:type="dxa"/>
            <w:gridSpan w:val="9"/>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达标区</w:t>
            </w:r>
            <w:r>
              <w:rPr>
                <w:rFonts w:ascii="Times New Roman" w:hAnsi="Times New Roman" w:eastAsia="宋体"/>
                <w:color w:val="auto"/>
                <w:szCs w:val="21"/>
              </w:rPr>
              <w:sym w:font="Wingdings 2" w:char="00A3"/>
            </w:r>
          </w:p>
        </w:tc>
        <w:tc>
          <w:tcPr>
            <w:tcW w:w="3466" w:type="dxa"/>
            <w:gridSpan w:val="12"/>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不达标区</w:t>
            </w:r>
            <w:r>
              <w:rPr>
                <w:rFonts w:ascii="Times New Roman" w:hAnsi="Times New Roman" w:eastAsia="宋体"/>
                <w:color w:val="auto"/>
                <w:szCs w:val="21"/>
              </w:rPr>
              <w:sym w:font="Wingdings 2" w:char="0052"/>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79"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污染源调查</w:t>
            </w: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调查内容</w:t>
            </w:r>
          </w:p>
        </w:tc>
        <w:tc>
          <w:tcPr>
            <w:tcW w:w="2308" w:type="dxa"/>
            <w:gridSpan w:val="5"/>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本项目正常排放源☑</w:t>
            </w:r>
          </w:p>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本项目非正常排放源</w:t>
            </w:r>
            <w:r>
              <w:rPr>
                <w:rFonts w:ascii="Times New Roman" w:hAnsi="Times New Roman" w:eastAsia="宋体"/>
                <w:color w:val="auto"/>
                <w:szCs w:val="21"/>
              </w:rPr>
              <w:sym w:font="Wingdings 2" w:char="0052"/>
            </w:r>
          </w:p>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现有污染源□</w:t>
            </w:r>
          </w:p>
        </w:tc>
        <w:tc>
          <w:tcPr>
            <w:tcW w:w="1722" w:type="dxa"/>
            <w:gridSpan w:val="6"/>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拟替代的污染源□</w:t>
            </w:r>
          </w:p>
        </w:tc>
        <w:tc>
          <w:tcPr>
            <w:tcW w:w="1590" w:type="dxa"/>
            <w:gridSpan w:val="7"/>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其他在建、拟建项目污染源</w:t>
            </w:r>
            <w:r>
              <w:rPr>
                <w:rFonts w:ascii="Times New Roman" w:hAnsi="Times New Roman" w:eastAsia="宋体"/>
                <w:color w:val="auto"/>
                <w:szCs w:val="21"/>
              </w:rPr>
              <w:sym w:font="Wingdings 2" w:char="0052"/>
            </w:r>
          </w:p>
        </w:tc>
        <w:tc>
          <w:tcPr>
            <w:tcW w:w="1309" w:type="dxa"/>
            <w:gridSpan w:val="3"/>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区域污染源□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79" w:type="dxa"/>
            <w:vMerge w:val="restart"/>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大气环境影响预测与评价</w:t>
            </w: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预测模型</w:t>
            </w:r>
          </w:p>
        </w:tc>
        <w:tc>
          <w:tcPr>
            <w:tcW w:w="855"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AERMOD</w:t>
            </w:r>
            <w:r>
              <w:rPr>
                <w:rFonts w:ascii="Times New Roman" w:hAnsi="Times New Roman" w:eastAsia="宋体"/>
                <w:color w:val="auto"/>
                <w:szCs w:val="21"/>
              </w:rPr>
              <w:sym w:font="Wingdings 2" w:char="00A3"/>
            </w:r>
          </w:p>
        </w:tc>
        <w:tc>
          <w:tcPr>
            <w:tcW w:w="690" w:type="dxa"/>
            <w:gridSpan w:val="2"/>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ADMS</w:t>
            </w:r>
          </w:p>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w:t>
            </w:r>
          </w:p>
        </w:tc>
        <w:tc>
          <w:tcPr>
            <w:tcW w:w="1290" w:type="dxa"/>
            <w:gridSpan w:val="5"/>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AUSTAL2000</w:t>
            </w:r>
          </w:p>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w:t>
            </w:r>
          </w:p>
        </w:tc>
        <w:tc>
          <w:tcPr>
            <w:tcW w:w="1241" w:type="dxa"/>
            <w:gridSpan w:val="4"/>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EDMS/AEDT</w:t>
            </w:r>
          </w:p>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w:t>
            </w:r>
          </w:p>
        </w:tc>
        <w:tc>
          <w:tcPr>
            <w:tcW w:w="1017" w:type="dxa"/>
            <w:gridSpan w:val="4"/>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CALPUFF</w:t>
            </w:r>
          </w:p>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w:t>
            </w:r>
          </w:p>
        </w:tc>
        <w:tc>
          <w:tcPr>
            <w:tcW w:w="1065" w:type="dxa"/>
            <w:gridSpan w:val="4"/>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网格模型</w:t>
            </w:r>
          </w:p>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w:t>
            </w:r>
          </w:p>
        </w:tc>
        <w:tc>
          <w:tcPr>
            <w:tcW w:w="771"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预测范围</w:t>
            </w:r>
          </w:p>
        </w:tc>
        <w:tc>
          <w:tcPr>
            <w:tcW w:w="2495" w:type="dxa"/>
            <w:gridSpan w:val="6"/>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边长≥50km□</w:t>
            </w:r>
          </w:p>
        </w:tc>
        <w:tc>
          <w:tcPr>
            <w:tcW w:w="2215"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边长5～50km□</w:t>
            </w:r>
          </w:p>
        </w:tc>
        <w:tc>
          <w:tcPr>
            <w:tcW w:w="2219" w:type="dxa"/>
            <w:gridSpan w:val="7"/>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边长= 5km☑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9" w:hRule="atLeast"/>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预测因子</w:t>
            </w:r>
          </w:p>
        </w:tc>
        <w:tc>
          <w:tcPr>
            <w:tcW w:w="4855" w:type="dxa"/>
            <w:gridSpan w:val="15"/>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预测因子(</w:t>
            </w:r>
            <w:r>
              <w:rPr>
                <w:rFonts w:hint="eastAsia" w:ascii="Times New Roman" w:hAnsi="Times New Roman" w:cs="Times New Roman"/>
                <w:color w:val="auto"/>
                <w:sz w:val="21"/>
                <w:szCs w:val="21"/>
                <w:lang w:val="en-US" w:eastAsia="zh-CN"/>
              </w:rPr>
              <w:t>二氧化硫、氮氧化物、非甲烷总烃、VOCs、异丙醇</w:t>
            </w:r>
            <w:r>
              <w:rPr>
                <w:rFonts w:ascii="Times New Roman" w:hAnsi="Times New Roman" w:eastAsia="宋体"/>
                <w:color w:val="auto"/>
                <w:szCs w:val="21"/>
              </w:rPr>
              <w:t>)</w:t>
            </w:r>
          </w:p>
        </w:tc>
        <w:tc>
          <w:tcPr>
            <w:tcW w:w="2074" w:type="dxa"/>
            <w:gridSpan w:val="6"/>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包括二次PM</w:t>
            </w:r>
            <w:r>
              <w:rPr>
                <w:rFonts w:ascii="Times New Roman" w:hAnsi="Times New Roman" w:eastAsia="宋体" w:cs="Times New Roman"/>
                <w:color w:val="auto"/>
                <w:sz w:val="21"/>
                <w:szCs w:val="21"/>
                <w:vertAlign w:val="subscript"/>
              </w:rPr>
              <w:t>2.5</w:t>
            </w:r>
            <w:r>
              <w:rPr>
                <w:rFonts w:ascii="Times New Roman" w:hAnsi="Times New Roman" w:eastAsia="宋体" w:cs="Times New Roman"/>
                <w:color w:val="auto"/>
                <w:sz w:val="21"/>
                <w:szCs w:val="21"/>
              </w:rPr>
              <w:sym w:font="Wingdings 2" w:char="00A3"/>
            </w:r>
          </w:p>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不包括二次PM</w:t>
            </w:r>
            <w:r>
              <w:rPr>
                <w:rFonts w:ascii="Times New Roman" w:hAnsi="Times New Roman" w:eastAsia="宋体"/>
                <w:color w:val="auto"/>
                <w:szCs w:val="21"/>
                <w:vertAlign w:val="subscript"/>
              </w:rPr>
              <w:t>2.5</w:t>
            </w:r>
            <w:r>
              <w:rPr>
                <w:rFonts w:ascii="Times New Roman" w:hAnsi="Times New Roman" w:eastAsia="宋体"/>
                <w:color w:val="auto"/>
                <w:szCs w:val="21"/>
              </w:rPr>
              <w:sym w:font="Wingdings 2" w:char="0052"/>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47" w:hRule="atLeast"/>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正常排放短期浓度贡献值</w:t>
            </w:r>
          </w:p>
        </w:tc>
        <w:tc>
          <w:tcPr>
            <w:tcW w:w="4030" w:type="dxa"/>
            <w:gridSpan w:val="11"/>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C</w:t>
            </w:r>
            <w:r>
              <w:rPr>
                <w:rFonts w:ascii="Times New Roman" w:hAnsi="Times New Roman" w:eastAsia="宋体"/>
                <w:color w:val="auto"/>
                <w:szCs w:val="21"/>
                <w:vertAlign w:val="subscript"/>
              </w:rPr>
              <w:t>本项目</w:t>
            </w:r>
            <w:r>
              <w:rPr>
                <w:rFonts w:ascii="Times New Roman" w:hAnsi="Times New Roman" w:eastAsia="宋体"/>
                <w:color w:val="auto"/>
                <w:szCs w:val="21"/>
              </w:rPr>
              <w:t xml:space="preserve"> 最大占标率≤100%</w:t>
            </w:r>
            <w:r>
              <w:rPr>
                <w:rFonts w:ascii="Times New Roman" w:hAnsi="Times New Roman" w:eastAsia="宋体"/>
                <w:color w:val="auto"/>
                <w:szCs w:val="21"/>
              </w:rPr>
              <w:sym w:font="Wingdings 2" w:char="0052"/>
            </w:r>
          </w:p>
        </w:tc>
        <w:tc>
          <w:tcPr>
            <w:tcW w:w="2899" w:type="dxa"/>
            <w:gridSpan w:val="10"/>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C</w:t>
            </w:r>
            <w:r>
              <w:rPr>
                <w:rFonts w:ascii="Times New Roman" w:hAnsi="Times New Roman" w:eastAsia="宋体"/>
                <w:color w:val="auto"/>
                <w:szCs w:val="21"/>
                <w:vertAlign w:val="subscript"/>
              </w:rPr>
              <w:t>本项目</w:t>
            </w:r>
            <w:r>
              <w:rPr>
                <w:rFonts w:ascii="Times New Roman" w:hAnsi="Times New Roman" w:eastAsia="宋体"/>
                <w:color w:val="auto"/>
                <w:szCs w:val="21"/>
              </w:rPr>
              <w:t xml:space="preserve"> 最大占标率＞100%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5" w:hRule="atLeast"/>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vMerge w:val="restart"/>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正常排放年均浓度贡献值</w:t>
            </w:r>
          </w:p>
        </w:tc>
        <w:tc>
          <w:tcPr>
            <w:tcW w:w="1128" w:type="dxa"/>
            <w:gridSpan w:val="2"/>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一类区</w:t>
            </w:r>
          </w:p>
        </w:tc>
        <w:tc>
          <w:tcPr>
            <w:tcW w:w="2902" w:type="dxa"/>
            <w:gridSpan w:val="9"/>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C</w:t>
            </w:r>
            <w:r>
              <w:rPr>
                <w:rFonts w:ascii="Times New Roman" w:hAnsi="Times New Roman" w:eastAsia="宋体"/>
                <w:color w:val="auto"/>
                <w:szCs w:val="21"/>
                <w:vertAlign w:val="subscript"/>
              </w:rPr>
              <w:t>本项目</w:t>
            </w:r>
            <w:r>
              <w:rPr>
                <w:rFonts w:ascii="Times New Roman" w:hAnsi="Times New Roman" w:eastAsia="宋体"/>
                <w:color w:val="auto"/>
                <w:szCs w:val="21"/>
              </w:rPr>
              <w:t xml:space="preserve"> 最大占标率≤10%</w:t>
            </w:r>
            <w:r>
              <w:rPr>
                <w:rFonts w:ascii="Times New Roman" w:hAnsi="Times New Roman" w:eastAsia="宋体"/>
                <w:color w:val="auto"/>
                <w:szCs w:val="21"/>
              </w:rPr>
              <w:sym w:font="Wingdings 2" w:char="00A3"/>
            </w:r>
          </w:p>
        </w:tc>
        <w:tc>
          <w:tcPr>
            <w:tcW w:w="2899" w:type="dxa"/>
            <w:gridSpan w:val="10"/>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C</w:t>
            </w:r>
            <w:r>
              <w:rPr>
                <w:rFonts w:ascii="Times New Roman" w:hAnsi="Times New Roman" w:eastAsia="宋体"/>
                <w:color w:val="auto"/>
                <w:szCs w:val="21"/>
                <w:vertAlign w:val="subscript"/>
              </w:rPr>
              <w:t>本项目</w:t>
            </w:r>
            <w:r>
              <w:rPr>
                <w:rFonts w:ascii="Times New Roman" w:hAnsi="Times New Roman" w:eastAsia="宋体"/>
                <w:color w:val="auto"/>
                <w:szCs w:val="21"/>
              </w:rPr>
              <w:t xml:space="preserve"> 最大占标率＞10%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9" w:hRule="atLeast"/>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vMerge w:val="continue"/>
            <w:noWrap w:val="0"/>
            <w:vAlign w:val="center"/>
          </w:tcPr>
          <w:p>
            <w:pPr>
              <w:adjustRightInd w:val="0"/>
              <w:snapToGrid w:val="0"/>
              <w:jc w:val="center"/>
              <w:rPr>
                <w:rFonts w:ascii="Times New Roman" w:hAnsi="Times New Roman" w:eastAsia="宋体"/>
                <w:color w:val="auto"/>
                <w:szCs w:val="21"/>
              </w:rPr>
            </w:pPr>
          </w:p>
        </w:tc>
        <w:tc>
          <w:tcPr>
            <w:tcW w:w="1128" w:type="dxa"/>
            <w:gridSpan w:val="2"/>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二类区</w:t>
            </w:r>
          </w:p>
        </w:tc>
        <w:tc>
          <w:tcPr>
            <w:tcW w:w="2902" w:type="dxa"/>
            <w:gridSpan w:val="9"/>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C</w:t>
            </w:r>
            <w:r>
              <w:rPr>
                <w:rFonts w:ascii="Times New Roman" w:hAnsi="Times New Roman" w:eastAsia="宋体"/>
                <w:color w:val="auto"/>
                <w:szCs w:val="21"/>
                <w:vertAlign w:val="subscript"/>
              </w:rPr>
              <w:t>本项目</w:t>
            </w:r>
            <w:r>
              <w:rPr>
                <w:rFonts w:ascii="Times New Roman" w:hAnsi="Times New Roman" w:eastAsia="宋体"/>
                <w:color w:val="auto"/>
                <w:szCs w:val="21"/>
              </w:rPr>
              <w:t xml:space="preserve"> 最大占标率≤30%</w:t>
            </w:r>
            <w:r>
              <w:rPr>
                <w:rFonts w:ascii="Times New Roman" w:hAnsi="Times New Roman" w:eastAsia="宋体"/>
                <w:color w:val="auto"/>
                <w:szCs w:val="21"/>
              </w:rPr>
              <w:sym w:font="Wingdings 2" w:char="0052"/>
            </w:r>
          </w:p>
        </w:tc>
        <w:tc>
          <w:tcPr>
            <w:tcW w:w="2899" w:type="dxa"/>
            <w:gridSpan w:val="10"/>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C</w:t>
            </w:r>
            <w:r>
              <w:rPr>
                <w:rFonts w:ascii="Times New Roman" w:hAnsi="Times New Roman" w:eastAsia="宋体"/>
                <w:color w:val="auto"/>
                <w:szCs w:val="21"/>
                <w:vertAlign w:val="subscript"/>
              </w:rPr>
              <w:t>本项目</w:t>
            </w:r>
            <w:r>
              <w:rPr>
                <w:rFonts w:ascii="Times New Roman" w:hAnsi="Times New Roman" w:eastAsia="宋体"/>
                <w:color w:val="auto"/>
                <w:szCs w:val="21"/>
              </w:rPr>
              <w:t xml:space="preserve"> 最大占标率＞30%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75" w:hRule="atLeast"/>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非正常排放1h浓度贡献值</w:t>
            </w:r>
          </w:p>
        </w:tc>
        <w:tc>
          <w:tcPr>
            <w:tcW w:w="2495" w:type="dxa"/>
            <w:gridSpan w:val="6"/>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非正常持续时长（2）h</w:t>
            </w:r>
          </w:p>
        </w:tc>
        <w:tc>
          <w:tcPr>
            <w:tcW w:w="2215"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C</w:t>
            </w:r>
            <w:r>
              <w:rPr>
                <w:rFonts w:ascii="Times New Roman" w:hAnsi="Times New Roman" w:eastAsia="宋体"/>
                <w:color w:val="auto"/>
                <w:szCs w:val="21"/>
                <w:vertAlign w:val="subscript"/>
              </w:rPr>
              <w:t>非正常</w:t>
            </w:r>
            <w:r>
              <w:rPr>
                <w:rFonts w:ascii="Times New Roman" w:hAnsi="Times New Roman" w:eastAsia="宋体"/>
                <w:color w:val="auto"/>
                <w:szCs w:val="21"/>
              </w:rPr>
              <w:t>占标率≤100%</w:t>
            </w:r>
            <w:r>
              <w:rPr>
                <w:rFonts w:ascii="Times New Roman" w:hAnsi="Times New Roman" w:eastAsia="宋体"/>
                <w:color w:val="auto"/>
                <w:szCs w:val="21"/>
              </w:rPr>
              <w:sym w:font="Wingdings 2" w:char="00A3"/>
            </w:r>
          </w:p>
        </w:tc>
        <w:tc>
          <w:tcPr>
            <w:tcW w:w="2219" w:type="dxa"/>
            <w:gridSpan w:val="7"/>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C</w:t>
            </w:r>
            <w:r>
              <w:rPr>
                <w:rFonts w:ascii="Times New Roman" w:hAnsi="Times New Roman" w:eastAsia="宋体"/>
                <w:color w:val="auto"/>
                <w:szCs w:val="21"/>
                <w:vertAlign w:val="subscript"/>
              </w:rPr>
              <w:t>非正常</w:t>
            </w:r>
            <w:r>
              <w:rPr>
                <w:rFonts w:ascii="Times New Roman" w:hAnsi="Times New Roman" w:eastAsia="宋体"/>
                <w:color w:val="auto"/>
                <w:szCs w:val="21"/>
              </w:rPr>
              <w:t xml:space="preserve"> 最大占标率＞100% </w:t>
            </w:r>
            <w:r>
              <w:rPr>
                <w:rFonts w:ascii="Times New Roman" w:hAnsi="Times New Roman" w:eastAsia="宋体"/>
                <w:color w:val="auto"/>
                <w:szCs w:val="21"/>
              </w:rPr>
              <w:sym w:font="Wingdings 2" w:char="0052"/>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保证率日平均浓度和年平均浓度叠加值</w:t>
            </w:r>
          </w:p>
        </w:tc>
        <w:tc>
          <w:tcPr>
            <w:tcW w:w="3603" w:type="dxa"/>
            <w:gridSpan w:val="10"/>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C</w:t>
            </w:r>
            <w:r>
              <w:rPr>
                <w:rFonts w:ascii="Times New Roman" w:hAnsi="Times New Roman" w:eastAsia="宋体"/>
                <w:color w:val="auto"/>
                <w:szCs w:val="21"/>
                <w:vertAlign w:val="subscript"/>
              </w:rPr>
              <w:t>叠加</w:t>
            </w:r>
            <w:r>
              <w:rPr>
                <w:rFonts w:ascii="Times New Roman" w:hAnsi="Times New Roman" w:eastAsia="宋体"/>
                <w:color w:val="auto"/>
                <w:szCs w:val="21"/>
              </w:rPr>
              <w:t>达标</w:t>
            </w:r>
            <w:r>
              <w:rPr>
                <w:rFonts w:ascii="Times New Roman" w:hAnsi="Times New Roman" w:eastAsia="宋体"/>
                <w:color w:val="auto"/>
                <w:szCs w:val="21"/>
              </w:rPr>
              <w:sym w:font="Wingdings 2" w:char="00A3"/>
            </w:r>
          </w:p>
        </w:tc>
        <w:tc>
          <w:tcPr>
            <w:tcW w:w="3326" w:type="dxa"/>
            <w:gridSpan w:val="11"/>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C</w:t>
            </w:r>
            <w:r>
              <w:rPr>
                <w:rFonts w:ascii="Times New Roman" w:hAnsi="Times New Roman" w:eastAsia="宋体"/>
                <w:color w:val="auto"/>
                <w:szCs w:val="21"/>
                <w:vertAlign w:val="subscript"/>
              </w:rPr>
              <w:t>叠加</w:t>
            </w:r>
            <w:r>
              <w:rPr>
                <w:rFonts w:ascii="Times New Roman" w:hAnsi="Times New Roman" w:eastAsia="宋体"/>
                <w:color w:val="auto"/>
                <w:szCs w:val="21"/>
              </w:rPr>
              <w:t>不达标</w:t>
            </w:r>
            <w:r>
              <w:rPr>
                <w:rFonts w:ascii="Times New Roman" w:hAnsi="Times New Roman" w:eastAsia="宋体"/>
                <w:color w:val="auto"/>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区域环境质量的整体变化情况</w:t>
            </w:r>
          </w:p>
        </w:tc>
        <w:tc>
          <w:tcPr>
            <w:tcW w:w="3603" w:type="dxa"/>
            <w:gridSpan w:val="10"/>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k≤-20%</w:t>
            </w:r>
            <w:r>
              <w:rPr>
                <w:rFonts w:ascii="Times New Roman" w:hAnsi="Times New Roman" w:eastAsia="宋体"/>
                <w:color w:val="auto"/>
                <w:szCs w:val="21"/>
              </w:rPr>
              <w:sym w:font="Wingdings 2" w:char="0052"/>
            </w:r>
          </w:p>
        </w:tc>
        <w:tc>
          <w:tcPr>
            <w:tcW w:w="3326" w:type="dxa"/>
            <w:gridSpan w:val="11"/>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k＞-20%</w:t>
            </w:r>
            <w:r>
              <w:rPr>
                <w:rFonts w:ascii="Times New Roman" w:hAnsi="Times New Roman" w:eastAsia="宋体"/>
                <w:color w:val="auto"/>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2" w:hRule="atLeast"/>
          <w:jc w:val="center"/>
        </w:trPr>
        <w:tc>
          <w:tcPr>
            <w:tcW w:w="879" w:type="dxa"/>
            <w:vMerge w:val="restart"/>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环境监测计划</w:t>
            </w: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污染源监测</w:t>
            </w:r>
          </w:p>
        </w:tc>
        <w:tc>
          <w:tcPr>
            <w:tcW w:w="4030" w:type="dxa"/>
            <w:gridSpan w:val="11"/>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监测因子：（</w:t>
            </w:r>
            <w:r>
              <w:rPr>
                <w:rFonts w:hint="eastAsia" w:ascii="Times New Roman" w:hAnsi="Times New Roman"/>
                <w:color w:val="auto"/>
                <w:szCs w:val="21"/>
                <w:lang w:val="en-US" w:eastAsia="zh-CN"/>
              </w:rPr>
              <w:t>VOCs</w:t>
            </w:r>
            <w:r>
              <w:rPr>
                <w:rFonts w:hint="eastAsia" w:ascii="Times New Roman" w:hAnsi="Times New Roman" w:eastAsia="宋体"/>
                <w:color w:val="auto"/>
                <w:szCs w:val="21"/>
                <w:lang w:eastAsia="zh-CN"/>
              </w:rPr>
              <w:t>、颗粒物</w:t>
            </w:r>
            <w:r>
              <w:rPr>
                <w:rFonts w:ascii="Times New Roman" w:hAnsi="Times New Roman" w:eastAsia="宋体"/>
                <w:color w:val="auto"/>
                <w:szCs w:val="21"/>
              </w:rPr>
              <w:t>）</w:t>
            </w:r>
          </w:p>
        </w:tc>
        <w:tc>
          <w:tcPr>
            <w:tcW w:w="1880"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有组织废气监测</w:t>
            </w:r>
            <w:r>
              <w:rPr>
                <w:rFonts w:ascii="Times New Roman" w:hAnsi="Times New Roman" w:eastAsia="宋体"/>
                <w:color w:val="auto"/>
                <w:szCs w:val="21"/>
              </w:rPr>
              <w:sym w:font="Wingdings 2" w:char="0052"/>
            </w:r>
          </w:p>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无组织废气监测</w:t>
            </w:r>
            <w:r>
              <w:rPr>
                <w:rFonts w:ascii="Times New Roman" w:hAnsi="Times New Roman" w:eastAsia="宋体"/>
                <w:color w:val="auto"/>
                <w:szCs w:val="21"/>
              </w:rPr>
              <w:sym w:font="Wingdings 2" w:char="0052"/>
            </w:r>
          </w:p>
        </w:tc>
        <w:tc>
          <w:tcPr>
            <w:tcW w:w="1019" w:type="dxa"/>
            <w:gridSpan w:val="2"/>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无监测</w:t>
            </w:r>
            <w:r>
              <w:rPr>
                <w:rFonts w:ascii="Times New Roman" w:hAnsi="Times New Roman" w:eastAsia="宋体"/>
                <w:color w:val="auto"/>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3" w:hRule="atLeast"/>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环境质量检测</w:t>
            </w:r>
          </w:p>
        </w:tc>
        <w:tc>
          <w:tcPr>
            <w:tcW w:w="4030" w:type="dxa"/>
            <w:gridSpan w:val="11"/>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监测因子：（</w:t>
            </w:r>
            <w:r>
              <w:rPr>
                <w:rFonts w:hint="eastAsia" w:ascii="Times New Roman" w:hAnsi="Times New Roman"/>
                <w:color w:val="auto"/>
                <w:szCs w:val="21"/>
                <w:lang w:val="en-US" w:eastAsia="zh-CN"/>
              </w:rPr>
              <w:t>VOCs</w:t>
            </w:r>
            <w:r>
              <w:rPr>
                <w:rFonts w:hint="eastAsia" w:ascii="Times New Roman" w:hAnsi="Times New Roman" w:eastAsia="宋体"/>
                <w:color w:val="auto"/>
                <w:szCs w:val="21"/>
                <w:lang w:val="en-US" w:eastAsia="zh-CN"/>
              </w:rPr>
              <w:t>、颗粒物</w:t>
            </w:r>
            <w:r>
              <w:rPr>
                <w:rFonts w:ascii="Times New Roman" w:hAnsi="Times New Roman" w:eastAsia="宋体"/>
                <w:color w:val="auto"/>
                <w:szCs w:val="21"/>
              </w:rPr>
              <w:t>）</w:t>
            </w:r>
          </w:p>
        </w:tc>
        <w:tc>
          <w:tcPr>
            <w:tcW w:w="1880"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监测点位数（1）</w:t>
            </w:r>
          </w:p>
        </w:tc>
        <w:tc>
          <w:tcPr>
            <w:tcW w:w="1019" w:type="dxa"/>
            <w:gridSpan w:val="2"/>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无监测</w:t>
            </w:r>
            <w:r>
              <w:rPr>
                <w:rFonts w:ascii="Times New Roman" w:hAnsi="Times New Roman" w:eastAsia="宋体"/>
                <w:color w:val="auto"/>
                <w:szCs w:val="21"/>
              </w:rPr>
              <w:sym w:font="Wingdings 2" w:char="00A3"/>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79" w:type="dxa"/>
            <w:vMerge w:val="restart"/>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评价</w:t>
            </w:r>
          </w:p>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结论</w:t>
            </w: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环境影响</w:t>
            </w:r>
          </w:p>
        </w:tc>
        <w:tc>
          <w:tcPr>
            <w:tcW w:w="6929" w:type="dxa"/>
            <w:gridSpan w:val="21"/>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可以接受☑             不可接受□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9" w:hRule="atLeast"/>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大气环境防护距离</w:t>
            </w:r>
          </w:p>
        </w:tc>
        <w:tc>
          <w:tcPr>
            <w:tcW w:w="6929" w:type="dxa"/>
            <w:gridSpan w:val="21"/>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不设置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59" w:hRule="atLeast"/>
          <w:jc w:val="center"/>
        </w:trPr>
        <w:tc>
          <w:tcPr>
            <w:tcW w:w="879" w:type="dxa"/>
            <w:vMerge w:val="continue"/>
            <w:noWrap w:val="0"/>
            <w:vAlign w:val="center"/>
          </w:tcPr>
          <w:p>
            <w:pPr>
              <w:adjustRightInd w:val="0"/>
              <w:snapToGrid w:val="0"/>
              <w:jc w:val="center"/>
              <w:rPr>
                <w:rFonts w:ascii="Times New Roman" w:hAnsi="Times New Roman" w:eastAsia="宋体"/>
                <w:color w:val="auto"/>
                <w:szCs w:val="21"/>
              </w:rPr>
            </w:pPr>
          </w:p>
        </w:tc>
        <w:tc>
          <w:tcPr>
            <w:tcW w:w="1262" w:type="dxa"/>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污染源年排放量</w:t>
            </w:r>
          </w:p>
        </w:tc>
        <w:tc>
          <w:tcPr>
            <w:tcW w:w="1731" w:type="dxa"/>
            <w:gridSpan w:val="4"/>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SO</w:t>
            </w:r>
            <w:r>
              <w:rPr>
                <w:rFonts w:ascii="Times New Roman" w:hAnsi="Times New Roman" w:eastAsia="宋体"/>
                <w:color w:val="auto"/>
                <w:szCs w:val="21"/>
                <w:vertAlign w:val="subscript"/>
              </w:rPr>
              <w:t>2</w:t>
            </w:r>
            <w:r>
              <w:rPr>
                <w:rFonts w:ascii="Times New Roman" w:hAnsi="Times New Roman" w:eastAsia="宋体"/>
                <w:color w:val="auto"/>
                <w:szCs w:val="21"/>
              </w:rPr>
              <w:t>：（</w:t>
            </w:r>
            <w:r>
              <w:rPr>
                <w:rFonts w:hint="eastAsia" w:ascii="Times New Roman" w:hAnsi="Times New Roman"/>
                <w:color w:val="auto"/>
                <w:szCs w:val="21"/>
                <w:lang w:val="en-US" w:eastAsia="zh-CN"/>
              </w:rPr>
              <w:t>4.702</w:t>
            </w:r>
            <w:r>
              <w:rPr>
                <w:rFonts w:ascii="Times New Roman" w:hAnsi="Times New Roman" w:eastAsia="宋体"/>
                <w:color w:val="auto"/>
                <w:szCs w:val="21"/>
              </w:rPr>
              <w:t>）t/a</w:t>
            </w:r>
          </w:p>
        </w:tc>
        <w:tc>
          <w:tcPr>
            <w:tcW w:w="1732" w:type="dxa"/>
            <w:gridSpan w:val="5"/>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NO</w:t>
            </w:r>
            <w:r>
              <w:rPr>
                <w:rFonts w:ascii="Times New Roman" w:hAnsi="Times New Roman" w:eastAsia="宋体"/>
                <w:color w:val="auto"/>
                <w:szCs w:val="21"/>
                <w:vertAlign w:val="subscript"/>
              </w:rPr>
              <w:t>X</w:t>
            </w:r>
            <w:r>
              <w:rPr>
                <w:rFonts w:ascii="Times New Roman" w:hAnsi="Times New Roman" w:eastAsia="宋体"/>
                <w:color w:val="auto"/>
                <w:szCs w:val="21"/>
              </w:rPr>
              <w:t>：（</w:t>
            </w:r>
            <w:r>
              <w:rPr>
                <w:rFonts w:hint="eastAsia" w:ascii="Times New Roman" w:hAnsi="Times New Roman"/>
                <w:color w:val="auto"/>
                <w:szCs w:val="21"/>
                <w:lang w:val="en-US" w:eastAsia="zh-CN"/>
              </w:rPr>
              <w:t>24.361</w:t>
            </w:r>
            <w:r>
              <w:rPr>
                <w:rFonts w:ascii="Times New Roman" w:hAnsi="Times New Roman" w:eastAsia="宋体"/>
                <w:color w:val="auto"/>
                <w:szCs w:val="21"/>
              </w:rPr>
              <w:t>）t/a</w:t>
            </w:r>
          </w:p>
        </w:tc>
        <w:tc>
          <w:tcPr>
            <w:tcW w:w="1731" w:type="dxa"/>
            <w:gridSpan w:val="8"/>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颗粒物：（</w:t>
            </w:r>
            <w:r>
              <w:rPr>
                <w:rFonts w:hint="eastAsia" w:ascii="Times New Roman" w:hAnsi="Times New Roman"/>
                <w:color w:val="auto"/>
                <w:szCs w:val="21"/>
                <w:lang w:val="en-US" w:eastAsia="zh-CN"/>
              </w:rPr>
              <w:t>4.558</w:t>
            </w:r>
            <w:r>
              <w:rPr>
                <w:rFonts w:ascii="Times New Roman" w:hAnsi="Times New Roman" w:eastAsia="宋体"/>
                <w:color w:val="auto"/>
                <w:szCs w:val="21"/>
              </w:rPr>
              <w:t>）t/a</w:t>
            </w:r>
          </w:p>
        </w:tc>
        <w:tc>
          <w:tcPr>
            <w:tcW w:w="1735" w:type="dxa"/>
            <w:gridSpan w:val="4"/>
            <w:noWrap w:val="0"/>
            <w:vAlign w:val="center"/>
          </w:tcPr>
          <w:p>
            <w:pPr>
              <w:adjustRightInd w:val="0"/>
              <w:snapToGrid w:val="0"/>
              <w:jc w:val="center"/>
              <w:rPr>
                <w:rFonts w:ascii="Times New Roman" w:hAnsi="Times New Roman" w:eastAsia="宋体"/>
                <w:color w:val="auto"/>
                <w:szCs w:val="21"/>
              </w:rPr>
            </w:pPr>
            <w:r>
              <w:rPr>
                <w:rFonts w:hint="eastAsia" w:ascii="Times New Roman" w:hAnsi="Times New Roman"/>
                <w:color w:val="auto"/>
                <w:szCs w:val="21"/>
                <w:lang w:val="en-US" w:eastAsia="zh-CN"/>
              </w:rPr>
              <w:t>VOCs</w:t>
            </w:r>
            <w:r>
              <w:rPr>
                <w:rFonts w:ascii="Times New Roman" w:hAnsi="Times New Roman" w:eastAsia="宋体"/>
                <w:color w:val="auto"/>
                <w:szCs w:val="21"/>
              </w:rPr>
              <w:t>：</w:t>
            </w:r>
          </w:p>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w:t>
            </w:r>
            <w:r>
              <w:rPr>
                <w:rFonts w:hint="eastAsia" w:ascii="Times New Roman" w:hAnsi="Times New Roman" w:eastAsia="宋体"/>
                <w:color w:val="auto"/>
                <w:szCs w:val="21"/>
                <w:lang w:eastAsia="zh-CN"/>
              </w:rPr>
              <w:t>0.</w:t>
            </w:r>
            <w:r>
              <w:rPr>
                <w:rFonts w:hint="eastAsia" w:ascii="Times New Roman" w:hAnsi="Times New Roman"/>
                <w:color w:val="auto"/>
                <w:szCs w:val="21"/>
                <w:lang w:val="en-US" w:eastAsia="zh-CN"/>
              </w:rPr>
              <w:t>0341</w:t>
            </w:r>
            <w:r>
              <w:rPr>
                <w:rFonts w:ascii="Times New Roman" w:hAnsi="Times New Roman" w:eastAsia="宋体"/>
                <w:color w:val="auto"/>
                <w:szCs w:val="21"/>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5" w:hRule="atLeast"/>
          <w:jc w:val="center"/>
        </w:trPr>
        <w:tc>
          <w:tcPr>
            <w:tcW w:w="9070" w:type="dxa"/>
            <w:gridSpan w:val="23"/>
            <w:noWrap w:val="0"/>
            <w:vAlign w:val="center"/>
          </w:tcPr>
          <w:p>
            <w:pPr>
              <w:adjustRightInd w:val="0"/>
              <w:snapToGrid w:val="0"/>
              <w:jc w:val="center"/>
              <w:rPr>
                <w:rFonts w:ascii="Times New Roman" w:hAnsi="Times New Roman" w:eastAsia="宋体"/>
                <w:color w:val="auto"/>
                <w:szCs w:val="21"/>
              </w:rPr>
            </w:pPr>
            <w:r>
              <w:rPr>
                <w:rFonts w:ascii="Times New Roman" w:hAnsi="Times New Roman" w:eastAsia="宋体"/>
                <w:color w:val="auto"/>
                <w:szCs w:val="21"/>
              </w:rPr>
              <w:t>注：“□”为勾选项，填“√”；“（    ）”为内容填写项</w:t>
            </w:r>
          </w:p>
        </w:tc>
      </w:tr>
    </w:tbl>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sectPr>
          <w:headerReference r:id="rId44" w:type="default"/>
          <w:footerReference r:id="rId45"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26" w:name="_Toc24238"/>
      <w:bookmarkStart w:id="27" w:name="_Toc10709"/>
      <w:r>
        <w:rPr>
          <w:rFonts w:hint="eastAsia" w:ascii="Times New Roman" w:hAnsi="Times New Roman" w:eastAsia="宋体" w:cs="Times New Roman"/>
          <w:lang w:val="en-US" w:eastAsia="zh-CN"/>
        </w:rPr>
        <w:t>6</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2</w:t>
      </w:r>
      <w:r>
        <w:rPr>
          <w:rFonts w:hint="eastAsia" w:ascii="宋体" w:hAnsi="宋体" w:eastAsia="宋体" w:cs="宋体"/>
          <w:lang w:val="en-US" w:eastAsia="zh-CN"/>
        </w:rPr>
        <w:t>地表水影响预测与评价</w:t>
      </w:r>
      <w:bookmarkEnd w:id="26"/>
      <w:bookmarkEnd w:id="27"/>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rFonts w:hint="default" w:ascii="Times New Roman" w:hAnsi="Times New Roman" w:cs="Times New Roman"/>
          <w:b/>
          <w:bCs/>
          <w:color w:val="auto"/>
          <w:sz w:val="28"/>
          <w:szCs w:val="28"/>
        </w:rPr>
        <w:t>.1</w:t>
      </w:r>
      <w:r>
        <w:rPr>
          <w:b/>
          <w:bCs/>
          <w:color w:val="auto"/>
          <w:sz w:val="28"/>
          <w:szCs w:val="28"/>
        </w:rPr>
        <w:t xml:space="preserve"> </w:t>
      </w:r>
      <w:r>
        <w:rPr>
          <w:rFonts w:hint="eastAsia"/>
          <w:b/>
          <w:bCs/>
          <w:color w:val="auto"/>
          <w:sz w:val="28"/>
          <w:szCs w:val="28"/>
        </w:rPr>
        <w:t>地表水环境影响评价等级确定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根据《环境影响评价技术导则-地表水环境》(HJ2.3-2018)中5.2评价等级确定小结，水污染影响型建设项目评价等级判定见表</w:t>
      </w:r>
      <w:r>
        <w:rPr>
          <w:rFonts w:hint="eastAsia" w:ascii="Times New Roman" w:hAnsi="Times New Roman"/>
          <w:sz w:val="24"/>
          <w:szCs w:val="24"/>
          <w:lang w:val="en-US" w:eastAsia="zh-CN"/>
        </w:rPr>
        <w:t>6.2</w:t>
      </w:r>
      <w:r>
        <w:rPr>
          <w:rFonts w:hint="default" w:ascii="Times New Roman" w:hAnsi="Times New Roman"/>
          <w:sz w:val="24"/>
          <w:szCs w:val="24"/>
          <w:lang w:val="en-US" w:eastAsia="zh-CN"/>
        </w:rPr>
        <w:t>-1。</w:t>
      </w:r>
    </w:p>
    <w:p>
      <w:pPr>
        <w:pStyle w:val="25"/>
        <w:keepNext w:val="0"/>
        <w:keepLines w:val="0"/>
        <w:pageBreakBefore w:val="0"/>
        <w:widowControl w:val="0"/>
        <w:kinsoku/>
        <w:wordWrap/>
        <w:overflowPunct/>
        <w:topLinePunct w:val="0"/>
        <w:autoSpaceDE/>
        <w:autoSpaceDN/>
        <w:bidi w:val="0"/>
        <w:adjustRightInd w:val="0"/>
        <w:snapToGrid w:val="0"/>
        <w:ind w:firstLine="0" w:firstLineChars="0"/>
        <w:jc w:val="center"/>
        <w:textAlignment w:val="baseline"/>
        <w:rPr>
          <w:rFonts w:ascii="Times New Roman" w:hAnsi="Times New Roman" w:cs="Times New Roman"/>
          <w:b/>
          <w:bCs/>
          <w:color w:val="auto"/>
          <w:sz w:val="24"/>
          <w:szCs w:val="24"/>
        </w:rPr>
      </w:pPr>
      <w:r>
        <w:rPr>
          <w:rFonts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6.2</w:t>
      </w:r>
      <w:r>
        <w:rPr>
          <w:rFonts w:ascii="Times New Roman" w:hAnsi="Times New Roman" w:cs="Times New Roman"/>
          <w:b/>
          <w:bCs/>
          <w:color w:val="auto"/>
          <w:sz w:val="24"/>
          <w:szCs w:val="24"/>
        </w:rPr>
        <w:t>-</w:t>
      </w:r>
      <w:r>
        <w:rPr>
          <w:rFonts w:hint="eastAsia" w:ascii="Times New Roman" w:hAnsi="Times New Roman" w:cs="Times New Roman"/>
          <w:b/>
          <w:bCs/>
          <w:color w:val="auto"/>
          <w:sz w:val="24"/>
          <w:szCs w:val="24"/>
          <w:lang w:val="en-US" w:eastAsia="zh-CN"/>
        </w:rPr>
        <w:t>1</w:t>
      </w:r>
      <w:r>
        <w:rPr>
          <w:rFonts w:ascii="Times New Roman" w:hAnsi="Times New Roman" w:cs="Times New Roman"/>
          <w:b/>
          <w:bCs/>
          <w:color w:val="auto"/>
          <w:sz w:val="24"/>
          <w:szCs w:val="24"/>
        </w:rPr>
        <w:t xml:space="preserve">  </w:t>
      </w:r>
      <w:r>
        <w:rPr>
          <w:rFonts w:hint="eastAsia" w:ascii="Times New Roman" w:hAnsi="Times New Roman" w:cs="Times New Roman"/>
          <w:b/>
          <w:bCs/>
          <w:color w:val="auto"/>
          <w:sz w:val="24"/>
          <w:szCs w:val="24"/>
        </w:rPr>
        <w:t>水污染影响型建设项目评价等级判定</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55"/>
        <w:gridCol w:w="2839"/>
        <w:gridCol w:w="2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555" w:type="dxa"/>
            <w:vMerge w:val="restart"/>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评价等级</w:t>
            </w:r>
          </w:p>
        </w:tc>
        <w:tc>
          <w:tcPr>
            <w:tcW w:w="5678" w:type="dxa"/>
            <w:gridSpan w:val="2"/>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2555" w:type="dxa"/>
            <w:vMerge w:val="continue"/>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p>
        </w:tc>
        <w:tc>
          <w:tcPr>
            <w:tcW w:w="283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排放方式</w:t>
            </w:r>
          </w:p>
        </w:tc>
        <w:tc>
          <w:tcPr>
            <w:tcW w:w="283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eastAsia="宋体"/>
                <w:lang w:val="en-US" w:eastAsia="zh-CN"/>
              </w:rPr>
            </w:pPr>
            <w:r>
              <w:rPr>
                <w:rFonts w:hint="eastAsia" w:ascii="Times New Roman" w:hAnsi="Times New Roman" w:eastAsia="宋体"/>
                <w:lang w:val="en-US" w:eastAsia="zh-CN"/>
              </w:rPr>
              <w:t>废水排放量Q/（m3/d）</w:t>
            </w:r>
          </w:p>
          <w:p>
            <w:pPr>
              <w:rPr>
                <w:rFonts w:hint="default" w:ascii="Times New Roman" w:hAnsi="Times New Roman" w:eastAsia="宋体"/>
                <w:lang w:val="en-US" w:eastAsia="zh-CN"/>
              </w:rPr>
            </w:pPr>
            <w:r>
              <w:rPr>
                <w:rFonts w:hint="eastAsia" w:ascii="Times New Roman" w:hAnsi="Times New Roman" w:eastAsia="宋体"/>
                <w:sz w:val="21"/>
                <w:szCs w:val="21"/>
                <w:vertAlign w:val="baseline"/>
                <w:lang w:val="en-US" w:eastAsia="zh-CN"/>
              </w:rP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2555"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一级</w:t>
            </w:r>
          </w:p>
        </w:tc>
        <w:tc>
          <w:tcPr>
            <w:tcW w:w="283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直接排放</w:t>
            </w:r>
          </w:p>
        </w:tc>
        <w:tc>
          <w:tcPr>
            <w:tcW w:w="283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Q</w:t>
            </w:r>
            <w:r>
              <w:rPr>
                <w:rFonts w:hint="default" w:ascii="Times New Roman" w:hAnsi="Times New Roman" w:eastAsia="宋体" w:cs="Arial"/>
                <w:sz w:val="21"/>
                <w:szCs w:val="21"/>
                <w:vertAlign w:val="baseline"/>
                <w:lang w:val="en-US" w:eastAsia="zh-CN"/>
              </w:rPr>
              <w:t>≥</w:t>
            </w:r>
            <w:r>
              <w:rPr>
                <w:rFonts w:hint="eastAsia" w:ascii="Times New Roman" w:hAnsi="Times New Roman" w:eastAsia="宋体"/>
                <w:sz w:val="21"/>
                <w:szCs w:val="21"/>
                <w:vertAlign w:val="baseline"/>
                <w:lang w:val="en-US" w:eastAsia="zh-CN"/>
              </w:rPr>
              <w:t>2000或W</w:t>
            </w:r>
            <w:r>
              <w:rPr>
                <w:rFonts w:hint="default" w:ascii="Times New Roman" w:hAnsi="Times New Roman" w:eastAsia="宋体" w:cs="Arial"/>
                <w:sz w:val="21"/>
                <w:szCs w:val="21"/>
                <w:vertAlign w:val="baseline"/>
                <w:lang w:val="en-US" w:eastAsia="zh-CN"/>
              </w:rPr>
              <w:t>≥</w:t>
            </w:r>
            <w:r>
              <w:rPr>
                <w:rFonts w:hint="eastAsia" w:ascii="Times New Roman" w:hAnsi="Times New Roman" w:eastAsia="宋体"/>
                <w:sz w:val="21"/>
                <w:szCs w:val="21"/>
                <w:vertAlign w:val="baseline"/>
                <w:lang w:val="en-US" w:eastAsia="zh-CN"/>
              </w:rPr>
              <w:t>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555"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二级</w:t>
            </w:r>
          </w:p>
        </w:tc>
        <w:tc>
          <w:tcPr>
            <w:tcW w:w="283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直接排放</w:t>
            </w:r>
          </w:p>
        </w:tc>
        <w:tc>
          <w:tcPr>
            <w:tcW w:w="283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2555"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三级A</w:t>
            </w:r>
          </w:p>
        </w:tc>
        <w:tc>
          <w:tcPr>
            <w:tcW w:w="2839"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直接排放</w:t>
            </w:r>
          </w:p>
        </w:tc>
        <w:tc>
          <w:tcPr>
            <w:tcW w:w="283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Q</w:t>
            </w:r>
            <w:r>
              <w:rPr>
                <w:rFonts w:hint="default" w:ascii="Times New Roman" w:hAnsi="Times New Roman" w:eastAsia="宋体" w:cs="Times New Roman"/>
                <w:sz w:val="21"/>
                <w:szCs w:val="21"/>
                <w:vertAlign w:val="baseline"/>
                <w:lang w:val="en-US" w:eastAsia="zh-CN"/>
              </w:rPr>
              <w:t>﹤</w:t>
            </w:r>
            <w:r>
              <w:rPr>
                <w:rFonts w:hint="eastAsia" w:ascii="Times New Roman" w:hAnsi="Times New Roman" w:eastAsia="宋体"/>
                <w:sz w:val="21"/>
                <w:szCs w:val="21"/>
                <w:vertAlign w:val="baseline"/>
                <w:lang w:val="en-US" w:eastAsia="zh-CN"/>
              </w:rPr>
              <w:t>200且W</w:t>
            </w:r>
            <w:r>
              <w:rPr>
                <w:rFonts w:hint="default" w:ascii="Times New Roman" w:hAnsi="Times New Roman" w:eastAsia="宋体" w:cs="Times New Roman"/>
                <w:sz w:val="21"/>
                <w:szCs w:val="21"/>
                <w:vertAlign w:val="baseline"/>
                <w:lang w:val="en-US" w:eastAsia="zh-CN"/>
              </w:rPr>
              <w:t>﹤</w:t>
            </w:r>
            <w:r>
              <w:rPr>
                <w:rFonts w:hint="eastAsia" w:ascii="Times New Roman" w:hAnsi="Times New Roman" w:eastAsia="宋体"/>
                <w:sz w:val="21"/>
                <w:szCs w:val="21"/>
                <w:vertAlign w:val="baseline"/>
                <w:lang w:val="en-US" w:eastAsia="zh-CN"/>
              </w:rP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555"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三级B</w:t>
            </w:r>
          </w:p>
        </w:tc>
        <w:tc>
          <w:tcPr>
            <w:tcW w:w="283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间接</w:t>
            </w:r>
            <w:r>
              <w:rPr>
                <w:rFonts w:hint="eastAsia" w:ascii="Times New Roman" w:hAnsi="Times New Roman" w:eastAsia="宋体"/>
                <w:sz w:val="21"/>
                <w:szCs w:val="21"/>
                <w:vertAlign w:val="baseline"/>
                <w:lang w:val="en-US" w:eastAsia="zh-CN"/>
              </w:rPr>
              <w:t>排放</w:t>
            </w:r>
          </w:p>
        </w:tc>
        <w:tc>
          <w:tcPr>
            <w:tcW w:w="283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6" w:hRule="atLeast"/>
          <w:jc w:val="center"/>
        </w:trPr>
        <w:tc>
          <w:tcPr>
            <w:tcW w:w="8233" w:type="dxa"/>
            <w:gridSpan w:val="3"/>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both"/>
              <w:textAlignment w:val="auto"/>
              <w:rPr>
                <w:rFonts w:hint="eastAsia" w:ascii="Times New Roman" w:hAnsi="Times New Roman" w:eastAsia="宋体"/>
                <w:lang w:val="en-US" w:eastAsia="zh-CN"/>
              </w:rPr>
            </w:pPr>
            <w:r>
              <w:rPr>
                <w:rFonts w:hint="eastAsia" w:ascii="Times New Roman" w:hAnsi="Times New Roman" w:eastAsia="宋体"/>
                <w:lang w:val="en-US" w:eastAsia="zh-CN"/>
              </w:rPr>
              <w:t>注1：水污染物当量数等于该污染物的年排放量除以该污染物的污染当量值（见附录 A），</w:t>
            </w:r>
          </w:p>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both"/>
              <w:textAlignment w:val="auto"/>
              <w:rPr>
                <w:rFonts w:hint="default" w:ascii="Times New Roman" w:hAnsi="Times New Roman" w:eastAsia="宋体"/>
                <w:lang w:val="en-US" w:eastAsia="zh-CN"/>
              </w:rPr>
            </w:pPr>
            <w:r>
              <w:rPr>
                <w:rFonts w:hint="eastAsia" w:ascii="Times New Roman" w:hAnsi="Times New Roman" w:eastAsia="宋体"/>
                <w:lang w:val="en-US" w:eastAsia="zh-CN"/>
              </w:rPr>
              <w:t>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rPr>
                <w:rFonts w:hint="eastAsia" w:ascii="Times New Roman" w:hAnsi="Times New Roman" w:eastAsia="宋体"/>
                <w:lang w:val="en-US" w:eastAsia="zh-CN"/>
              </w:rPr>
            </w:pPr>
            <w:r>
              <w:rPr>
                <w:rFonts w:hint="eastAsia" w:ascii="Times New Roman" w:hAnsi="Times New Roman" w:eastAsia="宋体"/>
                <w:lang w:val="en-US" w:eastAsia="zh-CN"/>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pPr>
              <w:rPr>
                <w:rFonts w:hint="eastAsia" w:ascii="Times New Roman" w:hAnsi="Times New Roman" w:eastAsia="宋体"/>
                <w:lang w:val="en-US" w:eastAsia="zh-CN"/>
              </w:rPr>
            </w:pPr>
            <w:r>
              <w:rPr>
                <w:rFonts w:hint="eastAsia" w:ascii="Times New Roman" w:hAnsi="Times New Roman" w:eastAsia="宋体"/>
                <w:lang w:val="en-US" w:eastAsia="zh-CN"/>
              </w:rPr>
              <w:t>注3：厂区存在堆积物（露天堆放的原料、燃料、废渣等以及垃圾堆放场）、降尘污染的，应将初期雨污水纳入废水排放量，相应的主要污染物纳入水污染当量计算。</w:t>
            </w:r>
          </w:p>
          <w:p>
            <w:pPr>
              <w:rPr>
                <w:rFonts w:hint="eastAsia" w:ascii="Times New Roman" w:hAnsi="Times New Roman" w:eastAsia="宋体"/>
                <w:lang w:val="en-US" w:eastAsia="zh-CN"/>
              </w:rPr>
            </w:pPr>
            <w:r>
              <w:rPr>
                <w:rFonts w:hint="eastAsia" w:ascii="Times New Roman" w:hAnsi="Times New Roman" w:eastAsia="宋体"/>
                <w:lang w:val="en-US" w:eastAsia="zh-CN"/>
              </w:rPr>
              <w:t>注4：建设项目直接排放第一类污染物的，其评价等级为一级；建设项目直接排放的污染物为受纳水体超标因子的，评价等级不低于二级。</w:t>
            </w:r>
          </w:p>
          <w:p>
            <w:pPr>
              <w:rPr>
                <w:rFonts w:hint="eastAsia" w:ascii="Times New Roman" w:hAnsi="Times New Roman" w:eastAsia="宋体"/>
                <w:lang w:val="en-US" w:eastAsia="zh-CN"/>
              </w:rPr>
            </w:pPr>
            <w:r>
              <w:rPr>
                <w:rFonts w:hint="eastAsia" w:ascii="Times New Roman" w:hAnsi="Times New Roman" w:eastAsia="宋体"/>
                <w:lang w:val="en-US" w:eastAsia="zh-CN"/>
              </w:rPr>
              <w:t>注5：直接排放受纳水体影响范围涉及饮用水水源保护区、饮用水取水口、重点保护与珍稀水生生物的栖息地、重要水生生物的自然产卵场等保护目标时，评价等级不低于二级。</w:t>
            </w:r>
          </w:p>
          <w:p>
            <w:pPr>
              <w:rPr>
                <w:rFonts w:hint="eastAsia" w:ascii="Times New Roman" w:hAnsi="Times New Roman" w:eastAsia="宋体"/>
                <w:lang w:val="en-US" w:eastAsia="zh-CN"/>
              </w:rPr>
            </w:pPr>
            <w:r>
              <w:rPr>
                <w:rFonts w:hint="eastAsia" w:ascii="Times New Roman" w:hAnsi="Times New Roman" w:eastAsia="宋体"/>
                <w:lang w:val="en-US" w:eastAsia="zh-CN"/>
              </w:rPr>
              <w:t>注6：建设项目向河流、湖库排放温排水引起受纳水体水温变化超过水环境质量标准要求，且评价范围有水温敏感目标时，评价等级为一级。</w:t>
            </w:r>
          </w:p>
          <w:p>
            <w:pPr>
              <w:rPr>
                <w:rFonts w:hint="eastAsia" w:ascii="Times New Roman" w:hAnsi="Times New Roman" w:eastAsia="宋体"/>
                <w:lang w:val="en-US" w:eastAsia="zh-CN"/>
              </w:rPr>
            </w:pPr>
            <w:r>
              <w:rPr>
                <w:rFonts w:hint="eastAsia" w:ascii="Times New Roman" w:hAnsi="Times New Roman" w:eastAsia="宋体"/>
                <w:lang w:val="en-US" w:eastAsia="zh-CN"/>
              </w:rPr>
              <w:t>注7：建设项目利用海水作为调节温度介质，排水量≥500万m</w:t>
            </w:r>
            <w:r>
              <w:rPr>
                <w:rFonts w:hint="eastAsia" w:ascii="Times New Roman" w:hAnsi="Times New Roman" w:eastAsia="宋体"/>
                <w:vertAlign w:val="superscript"/>
                <w:lang w:val="en-US" w:eastAsia="zh-CN"/>
              </w:rPr>
              <w:t>3</w:t>
            </w:r>
            <w:r>
              <w:rPr>
                <w:rFonts w:hint="eastAsia" w:ascii="Times New Roman" w:hAnsi="Times New Roman" w:eastAsia="宋体"/>
                <w:lang w:val="en-US" w:eastAsia="zh-CN"/>
              </w:rPr>
              <w:t>/d，评价等级为一级；排水量</w:t>
            </w:r>
            <w:r>
              <w:rPr>
                <w:rFonts w:hint="default" w:ascii="Times New Roman" w:hAnsi="Times New Roman" w:eastAsia="宋体" w:cs="Times New Roman"/>
                <w:lang w:val="en-US" w:eastAsia="zh-CN"/>
              </w:rPr>
              <w:t>＜500</w:t>
            </w:r>
            <w:r>
              <w:rPr>
                <w:rFonts w:hint="eastAsia" w:ascii="Times New Roman" w:hAnsi="Times New Roman" w:eastAsia="宋体"/>
                <w:lang w:val="en-US" w:eastAsia="zh-CN"/>
              </w:rPr>
              <w:t>万m</w:t>
            </w:r>
            <w:r>
              <w:rPr>
                <w:rFonts w:hint="eastAsia" w:ascii="Times New Roman" w:hAnsi="Times New Roman" w:eastAsia="宋体"/>
                <w:vertAlign w:val="superscript"/>
                <w:lang w:val="en-US" w:eastAsia="zh-CN"/>
              </w:rPr>
              <w:t>3</w:t>
            </w:r>
            <w:r>
              <w:rPr>
                <w:rFonts w:hint="eastAsia" w:ascii="Times New Roman" w:hAnsi="Times New Roman" w:eastAsia="宋体"/>
                <w:lang w:val="en-US" w:eastAsia="zh-CN"/>
              </w:rPr>
              <w:t>/d，评价等级为二级。</w:t>
            </w:r>
          </w:p>
          <w:p>
            <w:pPr>
              <w:rPr>
                <w:rFonts w:hint="eastAsia" w:ascii="Times New Roman" w:hAnsi="Times New Roman" w:eastAsia="宋体"/>
                <w:lang w:val="en-US" w:eastAsia="zh-CN"/>
              </w:rPr>
            </w:pPr>
            <w:r>
              <w:rPr>
                <w:rFonts w:hint="eastAsia" w:ascii="Times New Roman" w:hAnsi="Times New Roman" w:eastAsia="宋体"/>
                <w:lang w:val="en-US" w:eastAsia="zh-CN"/>
              </w:rPr>
              <w:t xml:space="preserve">注8：仅涉及清净下水排放的，如其排放水质满足受纳水体水环境质量标准要求的，评价等级为三级A。 </w:t>
            </w:r>
          </w:p>
          <w:p>
            <w:pPr>
              <w:rPr>
                <w:rFonts w:hint="eastAsia" w:ascii="Times New Roman" w:hAnsi="Times New Roman" w:eastAsia="宋体"/>
                <w:lang w:val="en-US" w:eastAsia="zh-CN"/>
              </w:rPr>
            </w:pPr>
            <w:r>
              <w:rPr>
                <w:rFonts w:hint="eastAsia" w:ascii="Times New Roman" w:hAnsi="Times New Roman" w:eastAsia="宋体"/>
                <w:lang w:val="en-US" w:eastAsia="zh-CN"/>
              </w:rPr>
              <w:t>注9：依托现有排放口，且对外环境未新增排放污染物的直接排放建设项目，评价等级参照间接排放，定为三级B。</w:t>
            </w:r>
          </w:p>
          <w:p>
            <w:pPr>
              <w:rPr>
                <w:rFonts w:hint="eastAsia" w:ascii="Times New Roman" w:hAnsi="Times New Roman" w:eastAsia="宋体"/>
                <w:lang w:val="en-US" w:eastAsia="zh-CN"/>
              </w:rPr>
            </w:pPr>
            <w:r>
              <w:rPr>
                <w:rFonts w:hint="eastAsia" w:ascii="Times New Roman" w:hAnsi="Times New Roman" w:eastAsia="宋体"/>
                <w:lang w:val="en-US" w:eastAsia="zh-CN"/>
              </w:rPr>
              <w:t>注10：建设项目生产工艺中有废水产生，但作为回水利用，不排放到外环境的，按三级B评价。</w:t>
            </w:r>
          </w:p>
        </w:tc>
      </w:tr>
    </w:tbl>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本项目</w:t>
      </w:r>
      <w:r>
        <w:rPr>
          <w:rFonts w:hint="eastAsia" w:ascii="Times New Roman" w:hAnsi="Times New Roman"/>
          <w:sz w:val="24"/>
          <w:szCs w:val="24"/>
          <w:lang w:val="en-US" w:eastAsia="zh-CN"/>
        </w:rPr>
        <w:t>化机浆车间生产废水和RTO碱喷淋废水经过MVR系统和碱回收系统处理后全部回用，不排放；本项目不新增生活废水的产生</w:t>
      </w:r>
      <w:r>
        <w:rPr>
          <w:rFonts w:hint="default" w:ascii="Times New Roman" w:hAnsi="Times New Roman"/>
          <w:sz w:val="24"/>
          <w:szCs w:val="24"/>
          <w:lang w:val="en-US" w:eastAsia="zh-CN"/>
        </w:rPr>
        <w:t>。本项目</w:t>
      </w:r>
      <w:r>
        <w:rPr>
          <w:rFonts w:hint="eastAsia" w:ascii="Times New Roman" w:hAnsi="Times New Roman"/>
          <w:sz w:val="24"/>
          <w:szCs w:val="24"/>
          <w:lang w:val="en-US" w:eastAsia="zh-CN"/>
        </w:rPr>
        <w:t>无</w:t>
      </w:r>
      <w:r>
        <w:rPr>
          <w:rFonts w:hint="default" w:ascii="Times New Roman" w:hAnsi="Times New Roman"/>
          <w:sz w:val="24"/>
          <w:szCs w:val="24"/>
          <w:lang w:val="en-US" w:eastAsia="zh-CN"/>
        </w:rPr>
        <w:t>废水</w:t>
      </w:r>
      <w:r>
        <w:rPr>
          <w:rFonts w:hint="eastAsia" w:ascii="Times New Roman" w:hAnsi="Times New Roman"/>
          <w:sz w:val="24"/>
          <w:szCs w:val="24"/>
          <w:lang w:val="en-US" w:eastAsia="zh-CN"/>
        </w:rPr>
        <w:t>排放</w:t>
      </w:r>
      <w:r>
        <w:rPr>
          <w:rFonts w:hint="default" w:ascii="Times New Roman" w:hAnsi="Times New Roman"/>
          <w:sz w:val="24"/>
          <w:szCs w:val="24"/>
          <w:lang w:val="en-US" w:eastAsia="zh-CN"/>
        </w:rPr>
        <w:t>，因此本次地表水评价确定为三级B。</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b/>
          <w:bCs/>
          <w:color w:val="auto"/>
          <w:sz w:val="28"/>
          <w:szCs w:val="28"/>
        </w:rPr>
        <w:t xml:space="preserve"> </w:t>
      </w:r>
      <w:r>
        <w:rPr>
          <w:rFonts w:hint="eastAsia"/>
          <w:b/>
          <w:bCs/>
          <w:color w:val="auto"/>
          <w:sz w:val="28"/>
          <w:szCs w:val="28"/>
        </w:rPr>
        <w:t>地表水环境影响评价</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根据《水污染影响型建设项目评价等级判定》表，本项目废水间接排放，因此本次地表水评价确定为三级B。</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根据《环境影响评价技术导则 地表水环境》（HJ2.3-2018）中8.1.2可知：水污染影响型三级B评价，主要评价内容包括：水污染控制和水环境影响减缓措施有效性评价和依托污水处理设施的环境可行性评价</w:t>
      </w:r>
      <w:r>
        <w:rPr>
          <w:rFonts w:hint="eastAsia" w:ascii="Times New Roman" w:hAnsi="Times New Roman"/>
          <w:sz w:val="24"/>
          <w:szCs w:val="24"/>
          <w:lang w:val="en-US" w:eastAsia="zh-CN"/>
        </w:rPr>
        <w:t>。</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1、水污染控制和水环境影响减缓措施有效性评价</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本项目为化机浆生产项目，化机浆车间生产废水和RTO碱喷淋废水经过MVR系统和碱回收系统处理后全部回用，不排放；本项目不新增生活废水的产生。</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w:t>
      </w:r>
      <w:r>
        <w:rPr>
          <w:rFonts w:hint="default" w:ascii="Times New Roman" w:hAnsi="Times New Roman"/>
          <w:sz w:val="24"/>
          <w:szCs w:val="24"/>
          <w:lang w:val="en-US" w:eastAsia="zh-CN"/>
        </w:rPr>
        <w:t>依托污水处理设施的环境可行性评价</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（1）</w:t>
      </w:r>
      <w:r>
        <w:rPr>
          <w:rFonts w:hint="default" w:ascii="Times New Roman" w:hAnsi="Times New Roman"/>
          <w:sz w:val="24"/>
          <w:szCs w:val="24"/>
          <w:lang w:val="en-US" w:eastAsia="zh-CN"/>
        </w:rPr>
        <w:t>调查区域废水收集排放基本情况</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山东博汇纸业股份有限公司</w:t>
      </w:r>
      <w:r>
        <w:rPr>
          <w:rFonts w:hint="default" w:ascii="Times New Roman" w:hAnsi="Times New Roman"/>
          <w:sz w:val="24"/>
          <w:szCs w:val="24"/>
          <w:lang w:val="en-US" w:eastAsia="zh-CN"/>
        </w:rPr>
        <w:t>建有污水集中处理装置</w:t>
      </w:r>
      <w:r>
        <w:rPr>
          <w:rFonts w:hint="eastAsia" w:ascii="Times New Roman" w:hAnsi="Times New Roman"/>
          <w:sz w:val="24"/>
          <w:szCs w:val="24"/>
          <w:lang w:val="en-US" w:eastAsia="zh-CN"/>
        </w:rPr>
        <w:t>，设有在线监测系统，依法取得入河排污口设置许可</w:t>
      </w:r>
      <w:r>
        <w:rPr>
          <w:rFonts w:hint="default" w:ascii="Times New Roman" w:hAnsi="Times New Roman"/>
          <w:sz w:val="24"/>
          <w:szCs w:val="24"/>
          <w:lang w:val="en-US" w:eastAsia="zh-CN"/>
        </w:rPr>
        <w:t>。目前，山东博汇纸业股份有限公司所有</w:t>
      </w:r>
      <w:r>
        <w:rPr>
          <w:rFonts w:hint="eastAsia" w:ascii="Times New Roman" w:hAnsi="Times New Roman"/>
          <w:sz w:val="24"/>
          <w:szCs w:val="24"/>
          <w:lang w:val="en-US" w:eastAsia="zh-CN"/>
        </w:rPr>
        <w:t>项目</w:t>
      </w:r>
      <w:r>
        <w:rPr>
          <w:rFonts w:hint="default" w:ascii="Times New Roman" w:hAnsi="Times New Roman"/>
          <w:sz w:val="24"/>
          <w:szCs w:val="24"/>
          <w:lang w:val="en-US" w:eastAsia="zh-CN"/>
        </w:rPr>
        <w:t>的废水全部经管网排入</w:t>
      </w:r>
      <w:r>
        <w:rPr>
          <w:rFonts w:hint="eastAsia" w:ascii="Times New Roman" w:hAnsi="Times New Roman"/>
          <w:sz w:val="24"/>
          <w:szCs w:val="24"/>
          <w:lang w:val="en-US" w:eastAsia="zh-CN"/>
        </w:rPr>
        <w:t>博汇纸业博汇纸业绿色环保能源综合利用之废水处理项目</w:t>
      </w:r>
      <w:r>
        <w:rPr>
          <w:rFonts w:hint="default" w:ascii="Times New Roman" w:hAnsi="Times New Roman"/>
          <w:sz w:val="24"/>
          <w:szCs w:val="24"/>
          <w:lang w:val="en-US" w:eastAsia="zh-CN"/>
        </w:rPr>
        <w:t>，经污水处理装置进一步处理，在线监测达标后排至</w:t>
      </w:r>
      <w:r>
        <w:rPr>
          <w:rFonts w:hint="eastAsia" w:ascii="Times New Roman" w:hAnsi="Times New Roman"/>
          <w:sz w:val="24"/>
          <w:szCs w:val="24"/>
          <w:lang w:val="en-US" w:eastAsia="zh-CN"/>
        </w:rPr>
        <w:t>杏花河</w:t>
      </w:r>
      <w:r>
        <w:rPr>
          <w:rFonts w:hint="default" w:ascii="Times New Roman" w:hAnsi="Times New Roman"/>
          <w:sz w:val="24"/>
          <w:szCs w:val="24"/>
          <w:lang w:val="en-US" w:eastAsia="zh-CN"/>
        </w:rPr>
        <w:t>，最终入小清河。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w:t>
      </w:r>
      <w:r>
        <w:rPr>
          <w:rFonts w:hint="eastAsia" w:ascii="Times New Roman" w:hAnsi="Times New Roman"/>
          <w:sz w:val="24"/>
          <w:szCs w:val="24"/>
          <w:lang w:val="en-US" w:eastAsia="zh-CN"/>
        </w:rPr>
        <w:t>无</w:t>
      </w:r>
      <w:r>
        <w:rPr>
          <w:rFonts w:hint="default" w:ascii="Times New Roman" w:hAnsi="Times New Roman"/>
          <w:sz w:val="24"/>
          <w:szCs w:val="24"/>
          <w:lang w:val="en-US" w:eastAsia="zh-CN"/>
        </w:rPr>
        <w:t>废水排放。</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（2）博汇纸业污水处理系统情况</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博汇纸业博汇纸业绿色环保能源综合利用之废水处理项目位于桓台县马桥化工产业园区山东博汇纸业股份有限公司东厂区内，位于本项目东侧。博汇纸业污水处理系统设计处理规模为10万m</w:t>
      </w:r>
      <w:r>
        <w:rPr>
          <w:rFonts w:hint="eastAsia" w:ascii="Times New Roman" w:hAnsi="Times New Roman"/>
          <w:sz w:val="24"/>
          <w:szCs w:val="24"/>
          <w:vertAlign w:val="superscript"/>
          <w:lang w:val="en-US" w:eastAsia="zh-CN"/>
        </w:rPr>
        <w:t>3</w:t>
      </w:r>
      <w:r>
        <w:rPr>
          <w:rFonts w:hint="eastAsia" w:ascii="Times New Roman" w:hAnsi="Times New Roman"/>
          <w:sz w:val="24"/>
          <w:szCs w:val="24"/>
          <w:lang w:val="en-US" w:eastAsia="zh-CN"/>
        </w:rPr>
        <w:t>/d，1条线处理箱板纸、化学浆等混合废水（简称箱板纸水处理1#线），处理规模为7万m</w:t>
      </w:r>
      <w:r>
        <w:rPr>
          <w:rFonts w:hint="eastAsia" w:ascii="Times New Roman" w:hAnsi="Times New Roman"/>
          <w:sz w:val="24"/>
          <w:szCs w:val="24"/>
          <w:vertAlign w:val="superscript"/>
          <w:lang w:val="en-US" w:eastAsia="zh-CN"/>
        </w:rPr>
        <w:t>3</w:t>
      </w:r>
      <w:r>
        <w:rPr>
          <w:rFonts w:hint="eastAsia" w:ascii="Times New Roman" w:hAnsi="Times New Roman"/>
          <w:sz w:val="24"/>
          <w:szCs w:val="24"/>
          <w:lang w:val="en-US" w:eastAsia="zh-CN"/>
        </w:rPr>
        <w:t>/d，1条线处理卡纸废水（简称卡纸水处理2#线），处理规模为3万m</w:t>
      </w:r>
      <w:r>
        <w:rPr>
          <w:rFonts w:hint="eastAsia" w:ascii="Times New Roman" w:hAnsi="Times New Roman"/>
          <w:sz w:val="24"/>
          <w:szCs w:val="24"/>
          <w:vertAlign w:val="superscript"/>
          <w:lang w:val="en-US" w:eastAsia="zh-CN"/>
        </w:rPr>
        <w:t>3</w:t>
      </w:r>
      <w:r>
        <w:rPr>
          <w:rFonts w:hint="eastAsia" w:ascii="Times New Roman" w:hAnsi="Times New Roman"/>
          <w:sz w:val="24"/>
          <w:szCs w:val="24"/>
          <w:lang w:val="en-US" w:eastAsia="zh-CN"/>
        </w:rPr>
        <w:t>/d污水处理厂采用“水解酸化+A</w:t>
      </w:r>
      <w:r>
        <w:rPr>
          <w:rFonts w:hint="eastAsia" w:ascii="Times New Roman" w:hAnsi="Times New Roman"/>
          <w:sz w:val="24"/>
          <w:szCs w:val="24"/>
          <w:vertAlign w:val="superscript"/>
          <w:lang w:val="en-US" w:eastAsia="zh-CN"/>
        </w:rPr>
        <w:t>2</w:t>
      </w:r>
      <w:r>
        <w:rPr>
          <w:rFonts w:hint="eastAsia" w:ascii="Times New Roman" w:hAnsi="Times New Roman"/>
          <w:sz w:val="24"/>
          <w:szCs w:val="24"/>
          <w:lang w:val="en-US" w:eastAsia="zh-CN"/>
        </w:rPr>
        <w:t>/O+深度处理”处理工艺，回用水系统采用“RO反渗透+双膜法+电渗析+多效蒸发”工艺。详细情况见“3.3.2.6 绿色环保能源综合利用之废水处理改造项目”章节。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进水水质要求见下表。</w:t>
      </w:r>
    </w:p>
    <w:p>
      <w:pPr>
        <w:pStyle w:val="25"/>
        <w:keepNext w:val="0"/>
        <w:keepLines w:val="0"/>
        <w:pageBreakBefore w:val="0"/>
        <w:widowControl w:val="0"/>
        <w:kinsoku/>
        <w:wordWrap/>
        <w:overflowPunct/>
        <w:topLinePunct w:val="0"/>
        <w:autoSpaceDE/>
        <w:autoSpaceDN/>
        <w:bidi w:val="0"/>
        <w:adjustRightInd w:val="0"/>
        <w:snapToGrid w:val="0"/>
        <w:ind w:firstLine="0" w:firstLineChars="0"/>
        <w:jc w:val="center"/>
        <w:textAlignment w:val="baseline"/>
        <w:rPr>
          <w:rFonts w:ascii="Times New Roman" w:hAnsi="Times New Roman" w:cs="Times New Roman"/>
          <w:b/>
          <w:bCs/>
          <w:color w:val="auto"/>
          <w:sz w:val="24"/>
          <w:szCs w:val="24"/>
        </w:rPr>
      </w:pPr>
    </w:p>
    <w:p>
      <w:pPr>
        <w:pStyle w:val="25"/>
        <w:keepNext w:val="0"/>
        <w:keepLines w:val="0"/>
        <w:pageBreakBefore w:val="0"/>
        <w:widowControl w:val="0"/>
        <w:kinsoku/>
        <w:wordWrap/>
        <w:overflowPunct/>
        <w:topLinePunct w:val="0"/>
        <w:autoSpaceDE/>
        <w:autoSpaceDN/>
        <w:bidi w:val="0"/>
        <w:adjustRightInd w:val="0"/>
        <w:snapToGrid w:val="0"/>
        <w:ind w:firstLine="0" w:firstLineChars="0"/>
        <w:jc w:val="center"/>
        <w:textAlignment w:val="baseline"/>
        <w:rPr>
          <w:rFonts w:hint="default" w:ascii="Times New Roman" w:hAnsi="Times New Roman" w:eastAsia="宋体" w:cs="Times New Roman"/>
          <w:b/>
          <w:bCs/>
          <w:color w:val="auto"/>
          <w:sz w:val="24"/>
          <w:szCs w:val="24"/>
          <w:lang w:val="en-US" w:eastAsia="zh-CN"/>
        </w:rPr>
      </w:pPr>
      <w:r>
        <w:rPr>
          <w:rFonts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6.2</w:t>
      </w:r>
      <w:r>
        <w:rPr>
          <w:rFonts w:ascii="Times New Roman" w:hAnsi="Times New Roman" w:cs="Times New Roman"/>
          <w:b/>
          <w:bCs/>
          <w:color w:val="auto"/>
          <w:sz w:val="24"/>
          <w:szCs w:val="24"/>
        </w:rPr>
        <w:t>-</w:t>
      </w:r>
      <w:r>
        <w:rPr>
          <w:rFonts w:hint="eastAsia" w:ascii="Times New Roman" w:hAnsi="Times New Roman" w:cs="Times New Roman"/>
          <w:b/>
          <w:bCs/>
          <w:color w:val="auto"/>
          <w:sz w:val="24"/>
          <w:szCs w:val="24"/>
          <w:lang w:val="en-US" w:eastAsia="zh-CN"/>
        </w:rPr>
        <w:t>2</w:t>
      </w:r>
      <w:r>
        <w:rPr>
          <w:rFonts w:ascii="Times New Roman" w:hAnsi="Times New Roman" w:cs="Times New Roman"/>
          <w:b/>
          <w:bCs/>
          <w:color w:val="auto"/>
          <w:sz w:val="24"/>
          <w:szCs w:val="24"/>
        </w:rPr>
        <w:t xml:space="preserve">  </w:t>
      </w:r>
      <w:r>
        <w:rPr>
          <w:rFonts w:hint="eastAsia" w:ascii="Times New Roman" w:hAnsi="Times New Roman" w:cs="Times New Roman"/>
          <w:b/>
          <w:bCs/>
          <w:color w:val="auto"/>
          <w:sz w:val="24"/>
          <w:szCs w:val="24"/>
          <w:lang w:val="en-US" w:eastAsia="zh-CN"/>
        </w:rPr>
        <w:t>博汇纸业废水处理系统进水水质要求（mg/L，pH无量纲）</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7"/>
        <w:gridCol w:w="955"/>
        <w:gridCol w:w="927"/>
        <w:gridCol w:w="982"/>
        <w:gridCol w:w="886"/>
        <w:gridCol w:w="818"/>
        <w:gridCol w:w="763"/>
        <w:gridCol w:w="947"/>
        <w:gridCol w:w="9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297"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处理线</w:t>
            </w:r>
          </w:p>
        </w:tc>
        <w:tc>
          <w:tcPr>
            <w:tcW w:w="955"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ascii="Times New Roman" w:hAnsi="Times New Roman" w:eastAsia="宋体"/>
                <w:sz w:val="21"/>
                <w:szCs w:val="21"/>
              </w:rPr>
              <w:t>pH</w:t>
            </w:r>
          </w:p>
        </w:tc>
        <w:tc>
          <w:tcPr>
            <w:tcW w:w="927"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C</w:t>
            </w:r>
            <w:r>
              <w:rPr>
                <w:rFonts w:ascii="Times New Roman" w:hAnsi="Times New Roman" w:eastAsia="宋体"/>
                <w:sz w:val="21"/>
                <w:szCs w:val="21"/>
              </w:rPr>
              <w:t>ODcr</w:t>
            </w:r>
          </w:p>
        </w:tc>
        <w:tc>
          <w:tcPr>
            <w:tcW w:w="982"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B</w:t>
            </w:r>
            <w:r>
              <w:rPr>
                <w:rFonts w:ascii="Times New Roman" w:hAnsi="Times New Roman" w:eastAsia="宋体"/>
                <w:sz w:val="21"/>
                <w:szCs w:val="21"/>
              </w:rPr>
              <w:t>OD</w:t>
            </w:r>
            <w:r>
              <w:rPr>
                <w:rFonts w:ascii="Times New Roman" w:hAnsi="Times New Roman" w:eastAsia="宋体"/>
                <w:sz w:val="21"/>
                <w:szCs w:val="21"/>
                <w:vertAlign w:val="subscript"/>
              </w:rPr>
              <w:t>5</w:t>
            </w:r>
          </w:p>
        </w:tc>
        <w:tc>
          <w:tcPr>
            <w:tcW w:w="886"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S</w:t>
            </w:r>
            <w:r>
              <w:rPr>
                <w:rFonts w:ascii="Times New Roman" w:hAnsi="Times New Roman" w:eastAsia="宋体"/>
                <w:sz w:val="21"/>
                <w:szCs w:val="21"/>
              </w:rPr>
              <w:t>S</w:t>
            </w:r>
          </w:p>
        </w:tc>
        <w:tc>
          <w:tcPr>
            <w:tcW w:w="818"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氨氮</w:t>
            </w:r>
          </w:p>
        </w:tc>
        <w:tc>
          <w:tcPr>
            <w:tcW w:w="763"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TN</w:t>
            </w:r>
          </w:p>
        </w:tc>
        <w:tc>
          <w:tcPr>
            <w:tcW w:w="947"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TP</w:t>
            </w:r>
          </w:p>
        </w:tc>
        <w:tc>
          <w:tcPr>
            <w:tcW w:w="947"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全盐量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1297"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b w:val="0"/>
                <w:bCs w:val="0"/>
                <w:sz w:val="21"/>
                <w:szCs w:val="21"/>
                <w:vertAlign w:val="baseline"/>
                <w:lang w:val="en-US" w:eastAsia="zh-CN"/>
              </w:rPr>
            </w:pPr>
            <w:r>
              <w:rPr>
                <w:rFonts w:hint="eastAsia" w:ascii="Times New Roman" w:hAnsi="Times New Roman" w:eastAsia="宋体"/>
                <w:b w:val="0"/>
                <w:bCs w:val="0"/>
                <w:sz w:val="21"/>
                <w:szCs w:val="21"/>
              </w:rPr>
              <w:t>箱板纸水处理1#线</w:t>
            </w:r>
          </w:p>
        </w:tc>
        <w:tc>
          <w:tcPr>
            <w:tcW w:w="955"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≤6000</w:t>
            </w:r>
          </w:p>
        </w:tc>
        <w:tc>
          <w:tcPr>
            <w:tcW w:w="927"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≤2150</w:t>
            </w:r>
          </w:p>
        </w:tc>
        <w:tc>
          <w:tcPr>
            <w:tcW w:w="982"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≤1500</w:t>
            </w:r>
          </w:p>
        </w:tc>
        <w:tc>
          <w:tcPr>
            <w:tcW w:w="886"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≤20</w:t>
            </w:r>
          </w:p>
        </w:tc>
        <w:tc>
          <w:tcPr>
            <w:tcW w:w="818"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≤35</w:t>
            </w:r>
          </w:p>
        </w:tc>
        <w:tc>
          <w:tcPr>
            <w:tcW w:w="763"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≤3</w:t>
            </w:r>
          </w:p>
        </w:tc>
        <w:tc>
          <w:tcPr>
            <w:tcW w:w="947"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≤3200</w:t>
            </w:r>
          </w:p>
        </w:tc>
        <w:tc>
          <w:tcPr>
            <w:tcW w:w="947"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trPr>
        <w:tc>
          <w:tcPr>
            <w:tcW w:w="1297"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b w:val="0"/>
                <w:bCs w:val="0"/>
                <w:sz w:val="21"/>
                <w:szCs w:val="21"/>
                <w:vertAlign w:val="baseline"/>
                <w:lang w:val="en-US" w:eastAsia="zh-CN"/>
              </w:rPr>
            </w:pPr>
            <w:r>
              <w:rPr>
                <w:rFonts w:hint="eastAsia" w:ascii="Times New Roman" w:hAnsi="Times New Roman" w:eastAsia="宋体"/>
                <w:b w:val="0"/>
                <w:bCs w:val="0"/>
                <w:sz w:val="21"/>
                <w:szCs w:val="21"/>
              </w:rPr>
              <w:t>卡纸水处理2#线</w:t>
            </w:r>
          </w:p>
        </w:tc>
        <w:tc>
          <w:tcPr>
            <w:tcW w:w="955"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≤2800</w:t>
            </w:r>
          </w:p>
        </w:tc>
        <w:tc>
          <w:tcPr>
            <w:tcW w:w="927"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≤1100</w:t>
            </w:r>
          </w:p>
        </w:tc>
        <w:tc>
          <w:tcPr>
            <w:tcW w:w="982"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≤750</w:t>
            </w:r>
          </w:p>
        </w:tc>
        <w:tc>
          <w:tcPr>
            <w:tcW w:w="886"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≤10</w:t>
            </w:r>
          </w:p>
        </w:tc>
        <w:tc>
          <w:tcPr>
            <w:tcW w:w="818"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≤20</w:t>
            </w:r>
          </w:p>
        </w:tc>
        <w:tc>
          <w:tcPr>
            <w:tcW w:w="763"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≤2</w:t>
            </w:r>
          </w:p>
        </w:tc>
        <w:tc>
          <w:tcPr>
            <w:tcW w:w="947"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≤2500</w:t>
            </w:r>
          </w:p>
        </w:tc>
        <w:tc>
          <w:tcPr>
            <w:tcW w:w="947" w:type="dxa"/>
            <w:vAlign w:val="center"/>
          </w:tcPr>
          <w:p>
            <w:pPr>
              <w:spacing w:line="240" w:lineRule="atLeast"/>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rPr>
              <w:t>≤2800</w:t>
            </w:r>
          </w:p>
        </w:tc>
      </w:tr>
    </w:tbl>
    <w:p>
      <w:pPr>
        <w:pStyle w:val="2"/>
        <w:keepNext w:val="0"/>
        <w:keepLines w:val="0"/>
        <w:pageBreakBefore w:val="0"/>
        <w:widowControl w:val="0"/>
        <w:kinsoku/>
        <w:wordWrap/>
        <w:overflowPunct/>
        <w:topLinePunct w:val="0"/>
        <w:autoSpaceDE/>
        <w:autoSpaceDN/>
        <w:bidi w:val="0"/>
        <w:adjustRightInd/>
        <w:snapToGrid w:val="0"/>
        <w:spacing w:before="157" w:beforeLines="50" w:line="360" w:lineRule="auto"/>
        <w:ind w:left="0" w:leftChars="0"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经过处理后，外排出水水质达到《流域水污染物综合排放标准 第3部分：小清河流域》（DB37/3416.3-2018）以及《中共淄博市委 淄博市人民政府印发&lt;2021年高质量发展“十二大攻坚行动”实施方案&gt;的通知》（淄发[2021]5号）标准，排入杏花河后汇入小清河。</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本次评价期间博汇纸业废水处理系统正在改造，故本次评价参考改造前6万m</w:t>
      </w:r>
      <w:r>
        <w:rPr>
          <w:rFonts w:hint="eastAsia" w:ascii="Times New Roman" w:hAnsi="Times New Roman"/>
          <w:sz w:val="24"/>
          <w:szCs w:val="24"/>
          <w:vertAlign w:val="superscript"/>
          <w:lang w:val="en-US" w:eastAsia="zh-CN"/>
        </w:rPr>
        <w:t>3</w:t>
      </w:r>
      <w:r>
        <w:rPr>
          <w:rFonts w:hint="eastAsia" w:ascii="Times New Roman" w:hAnsi="Times New Roman"/>
          <w:sz w:val="24"/>
          <w:szCs w:val="24"/>
          <w:lang w:val="en-US" w:eastAsia="zh-CN"/>
        </w:rPr>
        <w:t>/d污水处理系统的例行监测数据，由废水排放监测达标情况可知，出水水质可以达标排放。</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sz w:val="24"/>
          <w:szCs w:val="24"/>
          <w:lang w:val="en-US" w:eastAsia="zh-CN"/>
        </w:rPr>
      </w:pPr>
      <w:r>
        <w:rPr>
          <w:rFonts w:hint="default"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6.2</w:t>
      </w:r>
      <w:r>
        <w:rPr>
          <w:rFonts w:hint="default" w:ascii="Times New Roman" w:hAnsi="Times New Roman" w:cs="Times New Roman"/>
          <w:b/>
          <w:bCs/>
          <w:color w:val="auto"/>
          <w:sz w:val="24"/>
          <w:szCs w:val="24"/>
        </w:rPr>
        <w:t>-</w:t>
      </w:r>
      <w:r>
        <w:rPr>
          <w:rFonts w:hint="eastAsia" w:ascii="Times New Roman" w:hAnsi="Times New Roman" w:cs="Times New Roman"/>
          <w:b/>
          <w:bCs/>
          <w:color w:val="auto"/>
          <w:sz w:val="24"/>
          <w:szCs w:val="24"/>
          <w:lang w:val="en-US" w:eastAsia="zh-CN"/>
        </w:rPr>
        <w:t>3</w:t>
      </w:r>
      <w:r>
        <w:rPr>
          <w:rFonts w:cs="Times New Roman"/>
          <w:b/>
          <w:bCs/>
          <w:color w:val="auto"/>
          <w:sz w:val="24"/>
          <w:szCs w:val="24"/>
        </w:rPr>
        <w:t xml:space="preserve">  </w:t>
      </w:r>
      <w:r>
        <w:rPr>
          <w:rFonts w:hint="eastAsia" w:cs="Times New Roman"/>
          <w:b/>
          <w:bCs/>
          <w:color w:val="auto"/>
          <w:sz w:val="24"/>
          <w:szCs w:val="24"/>
          <w:lang w:val="en-US" w:eastAsia="zh-CN"/>
        </w:rPr>
        <w:t>博汇纸业废水处理系统</w:t>
      </w:r>
      <w:r>
        <w:rPr>
          <w:rFonts w:hint="eastAsia" w:cs="Times New Roman"/>
          <w:b/>
          <w:bCs/>
          <w:color w:val="auto"/>
          <w:sz w:val="24"/>
          <w:szCs w:val="24"/>
        </w:rPr>
        <w:t>总排污口在线监测数据</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932"/>
        <w:gridCol w:w="1502"/>
        <w:gridCol w:w="1217"/>
        <w:gridCol w:w="1218"/>
        <w:gridCol w:w="1218"/>
        <w:gridCol w:w="1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12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时间</w:t>
            </w:r>
          </w:p>
        </w:tc>
        <w:tc>
          <w:tcPr>
            <w:tcW w:w="93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pH</w:t>
            </w:r>
          </w:p>
        </w:tc>
        <w:tc>
          <w:tcPr>
            <w:tcW w:w="15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化学需氧量</w:t>
            </w:r>
            <w:r>
              <w:rPr>
                <w:rFonts w:hint="eastAsia" w:ascii="Times New Roman" w:hAnsi="Times New Roman"/>
                <w:sz w:val="21"/>
                <w:szCs w:val="21"/>
                <w:vertAlign w:val="baseline"/>
                <w:lang w:val="en-US" w:eastAsia="zh-CN"/>
              </w:rPr>
              <w:t>（mg/L）</w:t>
            </w:r>
          </w:p>
        </w:tc>
        <w:tc>
          <w:tcPr>
            <w:tcW w:w="12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氨氮</w:t>
            </w:r>
            <w:r>
              <w:rPr>
                <w:rFonts w:hint="eastAsia" w:ascii="Times New Roman" w:hAnsi="Times New Roman"/>
                <w:sz w:val="21"/>
                <w:szCs w:val="21"/>
                <w:vertAlign w:val="baseline"/>
                <w:lang w:val="en-US" w:eastAsia="zh-CN"/>
              </w:rPr>
              <w:t>（mg/L）</w:t>
            </w:r>
          </w:p>
        </w:tc>
        <w:tc>
          <w:tcPr>
            <w:tcW w:w="12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总磷</w:t>
            </w:r>
            <w:r>
              <w:rPr>
                <w:rFonts w:hint="eastAsia" w:ascii="Times New Roman" w:hAnsi="Times New Roman"/>
                <w:sz w:val="21"/>
                <w:szCs w:val="21"/>
                <w:vertAlign w:val="baseline"/>
                <w:lang w:val="en-US" w:eastAsia="zh-CN"/>
              </w:rPr>
              <w:t>（mg/L）</w:t>
            </w:r>
          </w:p>
        </w:tc>
        <w:tc>
          <w:tcPr>
            <w:tcW w:w="12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总氮</w:t>
            </w:r>
            <w:r>
              <w:rPr>
                <w:rFonts w:hint="eastAsia" w:ascii="Times New Roman" w:hAnsi="Times New Roman"/>
                <w:sz w:val="21"/>
                <w:szCs w:val="21"/>
                <w:vertAlign w:val="baseline"/>
                <w:lang w:val="en-US" w:eastAsia="zh-CN"/>
              </w:rPr>
              <w:t>（mg/L）</w:t>
            </w:r>
          </w:p>
        </w:tc>
        <w:tc>
          <w:tcPr>
            <w:tcW w:w="12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废水量（m</w:t>
            </w:r>
            <w:r>
              <w:rPr>
                <w:rFonts w:hint="eastAsia" w:ascii="Times New Roman" w:hAnsi="Times New Roman" w:eastAsia="宋体"/>
                <w:sz w:val="21"/>
                <w:szCs w:val="21"/>
                <w:vertAlign w:val="superscript"/>
                <w:lang w:val="en-US" w:eastAsia="zh-CN"/>
              </w:rPr>
              <w:t>3</w:t>
            </w:r>
            <w:r>
              <w:rPr>
                <w:rFonts w:hint="eastAsia" w:ascii="Times New Roman" w:hAnsi="Times New Roman" w:eastAsia="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12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2021-01</w:t>
            </w:r>
          </w:p>
        </w:tc>
        <w:tc>
          <w:tcPr>
            <w:tcW w:w="93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7.39</w:t>
            </w:r>
          </w:p>
        </w:tc>
        <w:tc>
          <w:tcPr>
            <w:tcW w:w="150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25</w:t>
            </w:r>
          </w:p>
        </w:tc>
        <w:tc>
          <w:tcPr>
            <w:tcW w:w="1217"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1.36</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0.0079</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7.29</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1007779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2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2021-0</w:t>
            </w:r>
            <w:r>
              <w:rPr>
                <w:rFonts w:hint="eastAsia" w:ascii="Times New Roman" w:hAnsi="Times New Roman"/>
                <w:sz w:val="21"/>
                <w:szCs w:val="21"/>
                <w:vertAlign w:val="baseline"/>
                <w:lang w:val="en-US" w:eastAsia="zh-CN"/>
              </w:rPr>
              <w:t>2</w:t>
            </w:r>
          </w:p>
        </w:tc>
        <w:tc>
          <w:tcPr>
            <w:tcW w:w="93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7.48</w:t>
            </w:r>
          </w:p>
        </w:tc>
        <w:tc>
          <w:tcPr>
            <w:tcW w:w="150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26.1</w:t>
            </w:r>
          </w:p>
        </w:tc>
        <w:tc>
          <w:tcPr>
            <w:tcW w:w="1217"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1.33</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0.009</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6.31</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829229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2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2021-0</w:t>
            </w:r>
            <w:r>
              <w:rPr>
                <w:rFonts w:hint="eastAsia" w:ascii="Times New Roman" w:hAnsi="Times New Roman"/>
                <w:sz w:val="21"/>
                <w:szCs w:val="21"/>
                <w:vertAlign w:val="baseline"/>
                <w:lang w:val="en-US" w:eastAsia="zh-CN"/>
              </w:rPr>
              <w:t>3</w:t>
            </w:r>
          </w:p>
        </w:tc>
        <w:tc>
          <w:tcPr>
            <w:tcW w:w="93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7.26</w:t>
            </w:r>
          </w:p>
        </w:tc>
        <w:tc>
          <w:tcPr>
            <w:tcW w:w="150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24.7</w:t>
            </w:r>
          </w:p>
        </w:tc>
        <w:tc>
          <w:tcPr>
            <w:tcW w:w="1217"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0.817</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0.0101</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5.27</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1319545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12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2021-0</w:t>
            </w:r>
            <w:r>
              <w:rPr>
                <w:rFonts w:hint="eastAsia" w:ascii="Times New Roman" w:hAnsi="Times New Roman"/>
                <w:sz w:val="21"/>
                <w:szCs w:val="21"/>
                <w:vertAlign w:val="baseline"/>
                <w:lang w:val="en-US" w:eastAsia="zh-CN"/>
              </w:rPr>
              <w:t>4</w:t>
            </w:r>
          </w:p>
        </w:tc>
        <w:tc>
          <w:tcPr>
            <w:tcW w:w="93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7.11</w:t>
            </w:r>
          </w:p>
        </w:tc>
        <w:tc>
          <w:tcPr>
            <w:tcW w:w="150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24.7</w:t>
            </w:r>
          </w:p>
        </w:tc>
        <w:tc>
          <w:tcPr>
            <w:tcW w:w="1217"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1.15</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0.0294</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7.12</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1223983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2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2021-0</w:t>
            </w:r>
            <w:r>
              <w:rPr>
                <w:rFonts w:hint="eastAsia" w:ascii="Times New Roman" w:hAnsi="Times New Roman"/>
                <w:sz w:val="21"/>
                <w:szCs w:val="21"/>
                <w:vertAlign w:val="baseline"/>
                <w:lang w:val="en-US" w:eastAsia="zh-CN"/>
              </w:rPr>
              <w:t>5</w:t>
            </w:r>
          </w:p>
        </w:tc>
        <w:tc>
          <w:tcPr>
            <w:tcW w:w="93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7.21</w:t>
            </w:r>
          </w:p>
        </w:tc>
        <w:tc>
          <w:tcPr>
            <w:tcW w:w="150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24.9</w:t>
            </w:r>
          </w:p>
        </w:tc>
        <w:tc>
          <w:tcPr>
            <w:tcW w:w="1217"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0.924</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0.0368</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7.73</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1186522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12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2021-0</w:t>
            </w:r>
            <w:r>
              <w:rPr>
                <w:rFonts w:hint="eastAsia" w:ascii="Times New Roman" w:hAnsi="Times New Roman"/>
                <w:sz w:val="21"/>
                <w:szCs w:val="21"/>
                <w:vertAlign w:val="baseline"/>
                <w:lang w:val="en-US" w:eastAsia="zh-CN"/>
              </w:rPr>
              <w:t>6</w:t>
            </w:r>
          </w:p>
        </w:tc>
        <w:tc>
          <w:tcPr>
            <w:tcW w:w="93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7.14</w:t>
            </w:r>
          </w:p>
        </w:tc>
        <w:tc>
          <w:tcPr>
            <w:tcW w:w="150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24.6</w:t>
            </w:r>
          </w:p>
        </w:tc>
        <w:tc>
          <w:tcPr>
            <w:tcW w:w="1217"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0.788</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0.0555</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7.38</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1199268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12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2021-0</w:t>
            </w:r>
            <w:r>
              <w:rPr>
                <w:rFonts w:hint="eastAsia" w:ascii="Times New Roman" w:hAnsi="Times New Roman"/>
                <w:sz w:val="21"/>
                <w:szCs w:val="21"/>
                <w:vertAlign w:val="baseline"/>
                <w:lang w:val="en-US" w:eastAsia="zh-CN"/>
              </w:rPr>
              <w:t>7</w:t>
            </w:r>
          </w:p>
        </w:tc>
        <w:tc>
          <w:tcPr>
            <w:tcW w:w="93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7.08</w:t>
            </w:r>
          </w:p>
        </w:tc>
        <w:tc>
          <w:tcPr>
            <w:tcW w:w="1502"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29.5</w:t>
            </w:r>
          </w:p>
        </w:tc>
        <w:tc>
          <w:tcPr>
            <w:tcW w:w="1217"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0.599</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0.0678</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8.08</w:t>
            </w:r>
          </w:p>
        </w:tc>
        <w:tc>
          <w:tcPr>
            <w:tcW w:w="1218"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eastAsia" w:ascii="Times New Roman" w:hAnsi="Times New Roman" w:eastAsia="宋体" w:cs="Arial Unicode MS"/>
                <w:i w:val="0"/>
                <w:iCs w:val="0"/>
                <w:color w:val="000000"/>
                <w:kern w:val="0"/>
                <w:sz w:val="21"/>
                <w:szCs w:val="21"/>
                <w:u w:val="none"/>
                <w:lang w:val="en-US" w:eastAsia="zh-CN" w:bidi="ar"/>
              </w:rPr>
              <w:t>254264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2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标准</w:t>
            </w:r>
          </w:p>
        </w:tc>
        <w:tc>
          <w:tcPr>
            <w:tcW w:w="932" w:type="dxa"/>
            <w:vAlign w:val="center"/>
          </w:tcPr>
          <w:p>
            <w:pPr>
              <w:keepNext w:val="0"/>
              <w:keepLines w:val="0"/>
              <w:widowControl/>
              <w:suppressLineNumbers w:val="0"/>
              <w:jc w:val="center"/>
              <w:textAlignment w:val="center"/>
              <w:rPr>
                <w:rFonts w:hint="default" w:ascii="Times New Roman" w:hAnsi="Times New Roman" w:eastAsia="宋体" w:cs="Arial Unicode MS"/>
                <w:i w:val="0"/>
                <w:iCs w:val="0"/>
                <w:color w:val="000000"/>
                <w:kern w:val="0"/>
                <w:sz w:val="21"/>
                <w:szCs w:val="21"/>
                <w:u w:val="none"/>
                <w:lang w:val="en-US" w:eastAsia="zh-CN" w:bidi="ar"/>
              </w:rPr>
            </w:pPr>
            <w:r>
              <w:rPr>
                <w:rFonts w:hint="eastAsia" w:ascii="Times New Roman" w:hAnsi="Times New Roman" w:eastAsia="宋体" w:cs="Arial Unicode MS"/>
                <w:i w:val="0"/>
                <w:iCs w:val="0"/>
                <w:color w:val="000000"/>
                <w:kern w:val="0"/>
                <w:sz w:val="21"/>
                <w:szCs w:val="21"/>
                <w:u w:val="none"/>
                <w:lang w:val="en-US" w:eastAsia="zh-CN" w:bidi="ar"/>
              </w:rPr>
              <w:t>6-9</w:t>
            </w:r>
          </w:p>
        </w:tc>
        <w:tc>
          <w:tcPr>
            <w:tcW w:w="1502" w:type="dxa"/>
            <w:vAlign w:val="center"/>
          </w:tcPr>
          <w:p>
            <w:pPr>
              <w:keepNext w:val="0"/>
              <w:keepLines w:val="0"/>
              <w:widowControl/>
              <w:suppressLineNumbers w:val="0"/>
              <w:jc w:val="center"/>
              <w:textAlignment w:val="center"/>
              <w:rPr>
                <w:rFonts w:hint="default" w:ascii="Times New Roman" w:hAnsi="Times New Roman" w:eastAsia="宋体" w:cs="Arial Unicode MS"/>
                <w:i w:val="0"/>
                <w:iCs w:val="0"/>
                <w:color w:val="000000"/>
                <w:kern w:val="0"/>
                <w:sz w:val="21"/>
                <w:szCs w:val="21"/>
                <w:u w:val="none"/>
                <w:lang w:val="en-US" w:eastAsia="zh-CN" w:bidi="ar"/>
              </w:rPr>
            </w:pPr>
            <w:r>
              <w:rPr>
                <w:rFonts w:hint="eastAsia" w:ascii="Times New Roman" w:hAnsi="Times New Roman" w:eastAsia="宋体" w:cs="Arial Unicode MS"/>
                <w:i w:val="0"/>
                <w:iCs w:val="0"/>
                <w:color w:val="000000"/>
                <w:kern w:val="0"/>
                <w:sz w:val="21"/>
                <w:szCs w:val="21"/>
                <w:u w:val="none"/>
                <w:lang w:val="en-US" w:eastAsia="zh-CN" w:bidi="ar"/>
              </w:rPr>
              <w:t>40</w:t>
            </w:r>
          </w:p>
        </w:tc>
        <w:tc>
          <w:tcPr>
            <w:tcW w:w="1217" w:type="dxa"/>
            <w:vAlign w:val="center"/>
          </w:tcPr>
          <w:p>
            <w:pPr>
              <w:keepNext w:val="0"/>
              <w:keepLines w:val="0"/>
              <w:widowControl/>
              <w:suppressLineNumbers w:val="0"/>
              <w:jc w:val="center"/>
              <w:textAlignment w:val="center"/>
              <w:rPr>
                <w:rFonts w:hint="default" w:ascii="Times New Roman" w:hAnsi="Times New Roman" w:eastAsia="宋体" w:cs="Arial Unicode MS"/>
                <w:i w:val="0"/>
                <w:iCs w:val="0"/>
                <w:color w:val="000000"/>
                <w:kern w:val="0"/>
                <w:sz w:val="21"/>
                <w:szCs w:val="21"/>
                <w:u w:val="none"/>
                <w:lang w:val="en-US" w:eastAsia="zh-CN" w:bidi="ar"/>
              </w:rPr>
            </w:pPr>
            <w:r>
              <w:rPr>
                <w:rFonts w:hint="eastAsia" w:ascii="Times New Roman" w:hAnsi="Times New Roman" w:eastAsia="宋体" w:cs="Arial Unicode MS"/>
                <w:i w:val="0"/>
                <w:iCs w:val="0"/>
                <w:color w:val="000000"/>
                <w:kern w:val="0"/>
                <w:sz w:val="21"/>
                <w:szCs w:val="21"/>
                <w:u w:val="none"/>
                <w:lang w:val="en-US" w:eastAsia="zh-CN" w:bidi="ar"/>
              </w:rPr>
              <w:t>2</w:t>
            </w:r>
          </w:p>
        </w:tc>
        <w:tc>
          <w:tcPr>
            <w:tcW w:w="1218" w:type="dxa"/>
            <w:vAlign w:val="center"/>
          </w:tcPr>
          <w:p>
            <w:pPr>
              <w:keepNext w:val="0"/>
              <w:keepLines w:val="0"/>
              <w:widowControl/>
              <w:suppressLineNumbers w:val="0"/>
              <w:jc w:val="center"/>
              <w:textAlignment w:val="center"/>
              <w:rPr>
                <w:rFonts w:hint="default"/>
                <w:lang w:val="en-US" w:eastAsia="zh-CN"/>
              </w:rPr>
            </w:pPr>
            <w:r>
              <w:rPr>
                <w:rFonts w:hint="eastAsia"/>
                <w:lang w:val="en-US" w:eastAsia="zh-CN"/>
              </w:rPr>
              <w:t>0.8</w:t>
            </w:r>
          </w:p>
        </w:tc>
        <w:tc>
          <w:tcPr>
            <w:tcW w:w="1218" w:type="dxa"/>
            <w:vAlign w:val="center"/>
          </w:tcPr>
          <w:p>
            <w:pPr>
              <w:keepNext w:val="0"/>
              <w:keepLines w:val="0"/>
              <w:widowControl/>
              <w:suppressLineNumbers w:val="0"/>
              <w:jc w:val="center"/>
              <w:textAlignment w:val="center"/>
              <w:rPr>
                <w:rFonts w:hint="default" w:ascii="Times New Roman" w:hAnsi="Times New Roman" w:eastAsia="宋体" w:cs="Arial Unicode MS"/>
                <w:i w:val="0"/>
                <w:iCs w:val="0"/>
                <w:color w:val="000000"/>
                <w:kern w:val="0"/>
                <w:sz w:val="21"/>
                <w:szCs w:val="21"/>
                <w:u w:val="none"/>
                <w:lang w:val="en-US" w:eastAsia="zh-CN" w:bidi="ar"/>
              </w:rPr>
            </w:pPr>
            <w:r>
              <w:rPr>
                <w:rFonts w:hint="eastAsia" w:ascii="Times New Roman" w:hAnsi="Times New Roman" w:eastAsia="宋体" w:cs="Arial Unicode MS"/>
                <w:i w:val="0"/>
                <w:iCs w:val="0"/>
                <w:color w:val="000000"/>
                <w:kern w:val="0"/>
                <w:sz w:val="21"/>
                <w:szCs w:val="21"/>
                <w:u w:val="none"/>
                <w:lang w:val="en-US" w:eastAsia="zh-CN" w:bidi="ar"/>
              </w:rPr>
              <w:t>10</w:t>
            </w:r>
          </w:p>
        </w:tc>
        <w:tc>
          <w:tcPr>
            <w:tcW w:w="1218" w:type="dxa"/>
            <w:vAlign w:val="center"/>
          </w:tcPr>
          <w:p>
            <w:pPr>
              <w:keepNext w:val="0"/>
              <w:keepLines w:val="0"/>
              <w:widowControl/>
              <w:suppressLineNumbers w:val="0"/>
              <w:jc w:val="center"/>
              <w:textAlignment w:val="center"/>
              <w:rPr>
                <w:rFonts w:hint="default" w:ascii="Times New Roman" w:hAnsi="Times New Roman" w:eastAsia="宋体" w:cs="Arial Unicode MS"/>
                <w:i w:val="0"/>
                <w:iCs w:val="0"/>
                <w:color w:val="000000"/>
                <w:kern w:val="0"/>
                <w:sz w:val="21"/>
                <w:szCs w:val="21"/>
                <w:u w:val="none"/>
                <w:lang w:val="en-US" w:eastAsia="zh-CN" w:bidi="ar"/>
              </w:rPr>
            </w:pPr>
            <w:r>
              <w:rPr>
                <w:rFonts w:hint="eastAsia" w:ascii="Times New Roman" w:hAnsi="Times New Roman" w:eastAsia="宋体" w:cs="Arial Unicode MS"/>
                <w:i w:val="0"/>
                <w:iCs w:val="0"/>
                <w:color w:val="000000"/>
                <w:kern w:val="0"/>
                <w:sz w:val="21"/>
                <w:szCs w:val="21"/>
                <w:u w:val="none"/>
                <w:lang w:val="en-US" w:eastAsia="zh-CN" w:bidi="ar"/>
              </w:rPr>
              <w:t>/</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3、地表水环境影响评价结论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根据以上评价可知：项目为水污染影响型三级B评价，可不进行水环境影响预测，项目地表水环境影响是可接受的。</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eastAsia="宋体"/>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b/>
          <w:bCs/>
          <w:color w:val="auto"/>
          <w:sz w:val="28"/>
          <w:szCs w:val="28"/>
        </w:rPr>
        <w:t xml:space="preserve"> </w:t>
      </w:r>
      <w:r>
        <w:rPr>
          <w:rFonts w:hint="eastAsia"/>
          <w:b/>
          <w:bCs/>
          <w:color w:val="auto"/>
          <w:sz w:val="28"/>
          <w:szCs w:val="28"/>
        </w:rPr>
        <w:t>地表水</w:t>
      </w:r>
      <w:r>
        <w:rPr>
          <w:rFonts w:hint="eastAsia"/>
          <w:b/>
          <w:bCs/>
          <w:color w:val="auto"/>
          <w:sz w:val="28"/>
          <w:szCs w:val="28"/>
          <w:lang w:val="en-US" w:eastAsia="zh-CN"/>
        </w:rPr>
        <w:t>区域环境质量</w:t>
      </w:r>
    </w:p>
    <w:p>
      <w:pPr>
        <w:pStyle w:val="17"/>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区域主要地表水体为杏花河和小清河，杏花河为小清河支流，根据淄博市在线监测数据，2020年全年桓台县入小清河断面COD为23.3mg/L，氨氮为1.55mg/L，满足《地表水环境质量标准》（GB3838-2002）</w:t>
      </w:r>
      <w:r>
        <w:rPr>
          <w:rFonts w:hint="default" w:ascii="Times New Roman" w:hAnsi="Times New Roman" w:cs="Times New Roman"/>
          <w:sz w:val="24"/>
          <w:szCs w:val="24"/>
          <w:lang w:val="en-US" w:eastAsia="zh-CN"/>
        </w:rPr>
        <w:t>Ⅴ</w:t>
      </w:r>
      <w:r>
        <w:rPr>
          <w:rFonts w:hint="eastAsia" w:ascii="Times New Roman" w:hAnsi="Times New Roman"/>
          <w:sz w:val="24"/>
          <w:szCs w:val="24"/>
          <w:lang w:val="en-US" w:eastAsia="zh-CN"/>
        </w:rPr>
        <w:t>类水质要求。</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4</w:t>
      </w:r>
      <w:r>
        <w:rPr>
          <w:b/>
          <w:bCs/>
          <w:color w:val="auto"/>
          <w:sz w:val="28"/>
          <w:szCs w:val="28"/>
        </w:rPr>
        <w:t xml:space="preserve"> </w:t>
      </w:r>
      <w:r>
        <w:rPr>
          <w:rFonts w:hint="eastAsia"/>
          <w:b/>
          <w:bCs/>
          <w:color w:val="auto"/>
          <w:sz w:val="28"/>
          <w:szCs w:val="28"/>
        </w:rPr>
        <w:t>小清河治理规划</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山东省政府批复的《小清河流域污染综合治理规划》，按照“谁污染、谁治理”的原则，制定点源总量控制方案分配污染物削减量，提出流域内工业点源污染综合治理方案。对于位于南水北调东线工程睦里庄至柴庄闸河段汇水区内处于污水处理厂管网覆盖范围之内的工业污染源，废水一律进入城市污水处理厂；对于汇水区内向小清河干流直接排污的工业点源实施截污或改排。所有向距离小清河干流5公里以内干、支流直接排放的工业点源，执行一级排放标准；污水处理厂视作点源，同样执行一级排放标准。工业点源和污水处理厂必须达标排放，深度处理后调蓄回用或资源化后的尾水实施截污导流。对不满足以上要求的点源，责令实施限期治理或停产治理，建设达标再提高、点源截污回用、清洁生产等工程项目，并对特殊要求的点源实施结构调整，予以关、并、转、迁。</w:t>
      </w:r>
    </w:p>
    <w:p>
      <w:pPr>
        <w:pStyle w:val="17"/>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项目废水经</w:t>
      </w:r>
      <w:r>
        <w:rPr>
          <w:rFonts w:hint="eastAsia" w:ascii="Times New Roman" w:hAnsi="Times New Roman"/>
          <w:sz w:val="24"/>
          <w:szCs w:val="24"/>
          <w:lang w:val="en-US" w:eastAsia="zh-CN"/>
        </w:rPr>
        <w:t>博汇纸业废水处理系统</w:t>
      </w:r>
      <w:r>
        <w:rPr>
          <w:rFonts w:hint="default" w:ascii="Times New Roman" w:hAnsi="Times New Roman"/>
          <w:sz w:val="24"/>
          <w:szCs w:val="24"/>
          <w:lang w:val="en-US" w:eastAsia="zh-CN"/>
        </w:rPr>
        <w:t>处理后，水质达到《地表水环境质量标准》（GB3838-2002）V类标准，对</w:t>
      </w:r>
      <w:r>
        <w:rPr>
          <w:rFonts w:hint="eastAsia" w:ascii="Times New Roman" w:hAnsi="Times New Roman"/>
          <w:sz w:val="24"/>
          <w:szCs w:val="24"/>
          <w:lang w:val="en-US" w:eastAsia="zh-CN"/>
        </w:rPr>
        <w:t>杏花河</w:t>
      </w:r>
      <w:r>
        <w:rPr>
          <w:rFonts w:hint="default" w:ascii="Times New Roman" w:hAnsi="Times New Roman"/>
          <w:sz w:val="24"/>
          <w:szCs w:val="24"/>
          <w:lang w:val="en-US" w:eastAsia="zh-CN"/>
        </w:rPr>
        <w:t>和小清河的水质有一定净化作用。项目废水治理方案符合《小清河流域污染综合治理规划》要求。</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5</w:t>
      </w:r>
      <w:r>
        <w:rPr>
          <w:b/>
          <w:bCs/>
          <w:color w:val="auto"/>
          <w:sz w:val="28"/>
          <w:szCs w:val="28"/>
        </w:rPr>
        <w:t xml:space="preserve"> </w:t>
      </w:r>
      <w:r>
        <w:rPr>
          <w:rFonts w:hint="eastAsia"/>
          <w:b/>
          <w:bCs/>
          <w:color w:val="auto"/>
          <w:sz w:val="28"/>
          <w:szCs w:val="28"/>
        </w:rPr>
        <w:t>项目落实《水污染防治行动计划》的情况分析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根据《国务院关于印发水污染防治行动计划的通知》（国发[2015]17 号），《水污染防治行动计划》（水十条）“第一条全面控制污染物排放中提出专项整治十大重点行业，制定造纸、焦化、氮肥、有色金属、印染、农副食品加工、原料药制造、制革、农药、电镀等行业专项治理方案，实施清洁化改造。”本项目属于</w:t>
      </w:r>
      <w:r>
        <w:rPr>
          <w:rFonts w:hint="eastAsia" w:ascii="Times New Roman" w:hAnsi="Times New Roman" w:cs="Times New Roman"/>
          <w:kern w:val="2"/>
          <w:sz w:val="24"/>
          <w:szCs w:val="24"/>
          <w:lang w:val="en-US" w:eastAsia="zh-CN" w:bidi="ar-SA"/>
        </w:rPr>
        <w:t>化机浆</w:t>
      </w:r>
      <w:r>
        <w:rPr>
          <w:rFonts w:hint="default" w:ascii="Times New Roman" w:hAnsi="Times New Roman" w:eastAsia="宋体" w:cs="Times New Roman"/>
          <w:kern w:val="2"/>
          <w:sz w:val="24"/>
          <w:szCs w:val="24"/>
          <w:lang w:val="en-US" w:eastAsia="zh-CN" w:bidi="ar-SA"/>
        </w:rPr>
        <w:t>制造，不属于“水十条”中专项整治十大重点行业，生活废水</w:t>
      </w:r>
      <w:r>
        <w:rPr>
          <w:rFonts w:hint="eastAsia" w:ascii="Times New Roman" w:hAnsi="Times New Roman" w:cs="Times New Roman"/>
          <w:kern w:val="2"/>
          <w:sz w:val="24"/>
          <w:szCs w:val="24"/>
          <w:lang w:val="en-US" w:eastAsia="zh-CN" w:bidi="ar-SA"/>
        </w:rPr>
        <w:t>经过博汇纸业废水处理系统处理后排放</w:t>
      </w:r>
      <w:r>
        <w:rPr>
          <w:rFonts w:hint="default" w:ascii="Times New Roman" w:hAnsi="Times New Roman" w:eastAsia="宋体" w:cs="Times New Roman"/>
          <w:kern w:val="2"/>
          <w:sz w:val="24"/>
          <w:szCs w:val="24"/>
          <w:lang w:val="en-US" w:eastAsia="zh-CN" w:bidi="ar-SA"/>
        </w:rPr>
        <w:t>，不直接排入外环境。综上所述，本项目落实了《水污染防治行动计划》（水十条）中的要求。</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hint="default"/>
          <w:lang w:val="en-US" w:eastAsia="zh-CN"/>
        </w:rPr>
      </w:pPr>
      <w:r>
        <w:rPr>
          <w:rFonts w:cs="Times New Roman"/>
          <w:b/>
          <w:bCs/>
          <w:color w:val="auto"/>
          <w:sz w:val="24"/>
          <w:szCs w:val="24"/>
        </w:rPr>
        <w:t xml:space="preserve">  </w:t>
      </w:r>
      <w:r>
        <w:rPr>
          <w:rFonts w:hint="eastAsia" w:cs="Times New Roman"/>
          <w:b/>
          <w:bCs/>
          <w:color w:val="auto"/>
          <w:sz w:val="24"/>
          <w:szCs w:val="24"/>
          <w:lang w:val="en-US" w:eastAsia="zh-CN"/>
        </w:rPr>
        <w:t>地表水</w:t>
      </w:r>
      <w:r>
        <w:rPr>
          <w:rFonts w:hint="eastAsia" w:cs="Times New Roman"/>
          <w:b/>
          <w:bCs/>
          <w:color w:val="auto"/>
          <w:sz w:val="24"/>
          <w:szCs w:val="24"/>
          <w:highlight w:val="none"/>
          <w:lang w:val="en-US" w:eastAsia="zh-CN"/>
        </w:rPr>
        <w:t>环境影响评价自查表</w:t>
      </w:r>
    </w:p>
    <w:tbl>
      <w:tblPr>
        <w:tblStyle w:val="18"/>
        <w:tblW w:w="87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6"/>
        <w:gridCol w:w="1436"/>
        <w:gridCol w:w="1557"/>
        <w:gridCol w:w="905"/>
        <w:gridCol w:w="359"/>
        <w:gridCol w:w="250"/>
        <w:gridCol w:w="313"/>
        <w:gridCol w:w="1037"/>
        <w:gridCol w:w="395"/>
        <w:gridCol w:w="256"/>
        <w:gridCol w:w="371"/>
        <w:gridCol w:w="42"/>
        <w:gridCol w:w="108"/>
        <w:gridCol w:w="11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2" w:type="dxa"/>
            <w:gridSpan w:val="2"/>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工作内容</w:t>
            </w:r>
          </w:p>
        </w:tc>
        <w:tc>
          <w:tcPr>
            <w:tcW w:w="6745" w:type="dxa"/>
            <w:gridSpan w:val="12"/>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影响识别</w:t>
            </w: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影响类型</w:t>
            </w:r>
          </w:p>
        </w:tc>
        <w:tc>
          <w:tcPr>
            <w:tcW w:w="6745" w:type="dxa"/>
            <w:gridSpan w:val="12"/>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 xml:space="preserve">水污染影响型 ☑；水文要素影响型 </w:t>
            </w:r>
            <w:r>
              <w:rPr>
                <w:rFonts w:cs="Times New Roman"/>
                <w:color w:val="auto"/>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水环境保护目标</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 xml:space="preserve">饮用水水源保护区 □；饮用水取水口 □；涉水的自然保护区 </w:t>
            </w:r>
            <w:r>
              <w:rPr>
                <w:rFonts w:cs="Times New Roman"/>
                <w:color w:val="auto"/>
                <w:sz w:val="21"/>
                <w:szCs w:val="21"/>
              </w:rPr>
              <w:sym w:font="Wingdings 2" w:char="00A3"/>
            </w:r>
            <w:r>
              <w:rPr>
                <w:rFonts w:cs="Times New Roman"/>
                <w:color w:val="auto"/>
                <w:sz w:val="21"/>
                <w:szCs w:val="21"/>
              </w:rPr>
              <w:t>；重要湿地 □；</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 xml:space="preserve">重点保护与珍稀水生生物的栖息地 □；重要水生生物的自然产卵场及索饵场、越冬场和洄游通道、天然渔场等渔业水体 □；涉水的风景名胜区 □；其他 </w:t>
            </w:r>
            <w:r>
              <w:rPr>
                <w:rFonts w:cs="Times New Roman"/>
                <w:color w:val="auto"/>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影响途径</w:t>
            </w:r>
          </w:p>
        </w:tc>
        <w:tc>
          <w:tcPr>
            <w:tcW w:w="3384"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水污染影响型</w:t>
            </w:r>
          </w:p>
        </w:tc>
        <w:tc>
          <w:tcPr>
            <w:tcW w:w="3361" w:type="dxa"/>
            <w:gridSpan w:val="7"/>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3384"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 xml:space="preserve">直接排放 □；间接排放 </w:t>
            </w:r>
            <w:r>
              <w:rPr>
                <w:rFonts w:cs="Times New Roman"/>
                <w:color w:val="auto"/>
                <w:sz w:val="21"/>
                <w:szCs w:val="21"/>
              </w:rPr>
              <w:sym w:font="Wingdings 2" w:char="0052"/>
            </w:r>
            <w:r>
              <w:rPr>
                <w:rFonts w:cs="Times New Roman"/>
                <w:color w:val="auto"/>
                <w:sz w:val="21"/>
                <w:szCs w:val="21"/>
              </w:rPr>
              <w:t>；其他 □</w:t>
            </w:r>
          </w:p>
        </w:tc>
        <w:tc>
          <w:tcPr>
            <w:tcW w:w="3361" w:type="dxa"/>
            <w:gridSpan w:val="7"/>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水温 □；径流 □；水域面积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影响因子</w:t>
            </w:r>
          </w:p>
        </w:tc>
        <w:tc>
          <w:tcPr>
            <w:tcW w:w="3384" w:type="dxa"/>
            <w:gridSpan w:val="5"/>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 xml:space="preserve">持久性污染物 □；有毒有害污染物 </w:t>
            </w:r>
            <w:r>
              <w:rPr>
                <w:rFonts w:cs="Times New Roman"/>
                <w:color w:val="auto"/>
                <w:sz w:val="21"/>
                <w:szCs w:val="21"/>
              </w:rPr>
              <w:sym w:font="Wingdings 2" w:char="0052"/>
            </w:r>
            <w:r>
              <w:rPr>
                <w:rFonts w:cs="Times New Roman"/>
                <w:color w:val="auto"/>
                <w:sz w:val="21"/>
                <w:szCs w:val="21"/>
              </w:rPr>
              <w:t xml:space="preserve">；非持久性污染物 </w:t>
            </w:r>
            <w:r>
              <w:rPr>
                <w:rFonts w:cs="Times New Roman"/>
                <w:color w:val="auto"/>
                <w:sz w:val="21"/>
                <w:szCs w:val="21"/>
              </w:rPr>
              <w:sym w:font="Wingdings 2" w:char="0052"/>
            </w:r>
            <w:r>
              <w:rPr>
                <w:rFonts w:cs="Times New Roman"/>
                <w:color w:val="auto"/>
                <w:sz w:val="21"/>
                <w:szCs w:val="21"/>
              </w:rPr>
              <w:t xml:space="preserve">；pH值 </w:t>
            </w:r>
            <w:r>
              <w:rPr>
                <w:rFonts w:cs="Times New Roman"/>
                <w:color w:val="auto"/>
                <w:sz w:val="21"/>
                <w:szCs w:val="21"/>
              </w:rPr>
              <w:sym w:font="Wingdings 2" w:char="0052"/>
            </w:r>
            <w:r>
              <w:rPr>
                <w:rFonts w:cs="Times New Roman"/>
                <w:color w:val="auto"/>
                <w:sz w:val="21"/>
                <w:szCs w:val="21"/>
              </w:rPr>
              <w:t xml:space="preserve">；热污染 □；富营养化 □；其他 </w:t>
            </w:r>
            <w:r>
              <w:rPr>
                <w:rFonts w:cs="Times New Roman"/>
                <w:color w:val="auto"/>
                <w:sz w:val="21"/>
                <w:szCs w:val="21"/>
              </w:rPr>
              <w:sym w:font="Wingdings 2" w:char="00A3"/>
            </w:r>
          </w:p>
        </w:tc>
        <w:tc>
          <w:tcPr>
            <w:tcW w:w="3361" w:type="dxa"/>
            <w:gridSpan w:val="7"/>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 xml:space="preserve">水温 □；水位（水深） </w:t>
            </w:r>
            <w:r>
              <w:rPr>
                <w:rFonts w:cs="Times New Roman"/>
                <w:color w:val="auto"/>
                <w:sz w:val="21"/>
                <w:szCs w:val="21"/>
              </w:rPr>
              <w:sym w:font="Wingdings 2" w:char="00A3"/>
            </w:r>
            <w:r>
              <w:rPr>
                <w:rFonts w:cs="Times New Roman"/>
                <w:color w:val="auto"/>
                <w:sz w:val="21"/>
                <w:szCs w:val="21"/>
              </w:rPr>
              <w:t>；流速 □；流量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2" w:type="dxa"/>
            <w:gridSpan w:val="2"/>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评价等级</w:t>
            </w:r>
          </w:p>
        </w:tc>
        <w:tc>
          <w:tcPr>
            <w:tcW w:w="3384"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水污染影响型</w:t>
            </w:r>
          </w:p>
        </w:tc>
        <w:tc>
          <w:tcPr>
            <w:tcW w:w="3361" w:type="dxa"/>
            <w:gridSpan w:val="7"/>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2" w:type="dxa"/>
            <w:gridSpan w:val="2"/>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3384"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 xml:space="preserve">一级 □；二级 □；三级A □；三级B </w:t>
            </w:r>
            <w:r>
              <w:rPr>
                <w:rFonts w:cs="Times New Roman"/>
                <w:color w:val="auto"/>
                <w:sz w:val="21"/>
                <w:szCs w:val="21"/>
              </w:rPr>
              <w:sym w:font="Wingdings 2" w:char="0052"/>
            </w:r>
          </w:p>
        </w:tc>
        <w:tc>
          <w:tcPr>
            <w:tcW w:w="3361" w:type="dxa"/>
            <w:gridSpan w:val="7"/>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一级 □；二级 □；三级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现状调查</w:t>
            </w:r>
          </w:p>
        </w:tc>
        <w:tc>
          <w:tcPr>
            <w:tcW w:w="143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区域污染源</w:t>
            </w:r>
          </w:p>
        </w:tc>
        <w:tc>
          <w:tcPr>
            <w:tcW w:w="3384"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调查项目</w:t>
            </w:r>
          </w:p>
        </w:tc>
        <w:tc>
          <w:tcPr>
            <w:tcW w:w="3361" w:type="dxa"/>
            <w:gridSpan w:val="7"/>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2462" w:type="dxa"/>
            <w:gridSpan w:val="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已建□；在建□；拟建</w:t>
            </w:r>
            <w:r>
              <w:rPr>
                <w:rFonts w:cs="Times New Roman"/>
                <w:color w:val="auto"/>
                <w:sz w:val="21"/>
                <w:szCs w:val="21"/>
              </w:rPr>
              <w:sym w:font="Wingdings 2" w:char="00A3"/>
            </w:r>
            <w:r>
              <w:rPr>
                <w:rFonts w:cs="Times New Roman"/>
                <w:color w:val="auto"/>
                <w:sz w:val="21"/>
                <w:szCs w:val="21"/>
              </w:rPr>
              <w:t>；其他</w:t>
            </w:r>
            <w:r>
              <w:rPr>
                <w:rFonts w:cs="Times New Roman"/>
                <w:color w:val="auto"/>
                <w:sz w:val="21"/>
                <w:szCs w:val="21"/>
              </w:rPr>
              <w:sym w:font="Wingdings 2" w:char="00A3"/>
            </w:r>
          </w:p>
        </w:tc>
        <w:tc>
          <w:tcPr>
            <w:tcW w:w="922" w:type="dxa"/>
            <w:gridSpan w:val="3"/>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拟替代的污染源</w:t>
            </w:r>
            <w:r>
              <w:rPr>
                <w:rFonts w:cs="Times New Roman"/>
                <w:color w:val="auto"/>
                <w:sz w:val="21"/>
                <w:szCs w:val="21"/>
              </w:rPr>
              <w:sym w:font="Wingdings 2" w:char="00A3"/>
            </w:r>
          </w:p>
        </w:tc>
        <w:tc>
          <w:tcPr>
            <w:tcW w:w="3361" w:type="dxa"/>
            <w:gridSpan w:val="7"/>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排污许可证□；环评□；环保验收□；既有实测□；现场监测</w:t>
            </w:r>
            <w:r>
              <w:rPr>
                <w:rFonts w:cs="Times New Roman"/>
                <w:color w:val="auto"/>
                <w:sz w:val="21"/>
                <w:szCs w:val="21"/>
              </w:rPr>
              <w:sym w:font="Wingdings 2" w:char="00A3"/>
            </w:r>
            <w:r>
              <w:rPr>
                <w:rFonts w:cs="Times New Roman"/>
                <w:color w:val="auto"/>
                <w:sz w:val="21"/>
                <w:szCs w:val="21"/>
              </w:rPr>
              <w:t>；入河排放口数据</w:t>
            </w:r>
            <w:r>
              <w:rPr>
                <w:rFonts w:cs="Times New Roman"/>
                <w:color w:val="auto"/>
                <w:sz w:val="21"/>
                <w:szCs w:val="21"/>
              </w:rPr>
              <w:sym w:font="Wingdings 2" w:char="00A3"/>
            </w:r>
            <w:r>
              <w:rPr>
                <w:rFonts w:cs="Times New Roman"/>
                <w:color w:val="auto"/>
                <w:sz w:val="21"/>
                <w:szCs w:val="21"/>
              </w:rPr>
              <w:t>；其他</w:t>
            </w:r>
            <w:r>
              <w:rPr>
                <w:rFonts w:cs="Times New Roman"/>
                <w:color w:val="auto"/>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受影响水体水环境质量</w:t>
            </w:r>
          </w:p>
        </w:tc>
        <w:tc>
          <w:tcPr>
            <w:tcW w:w="3384"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调查时期</w:t>
            </w:r>
          </w:p>
        </w:tc>
        <w:tc>
          <w:tcPr>
            <w:tcW w:w="3361" w:type="dxa"/>
            <w:gridSpan w:val="7"/>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3384" w:type="dxa"/>
            <w:gridSpan w:val="5"/>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丰水期□；平水期□；枯水期□；冰封期□</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春季</w:t>
            </w:r>
            <w:r>
              <w:rPr>
                <w:rFonts w:cs="Times New Roman"/>
                <w:color w:val="auto"/>
                <w:sz w:val="21"/>
                <w:szCs w:val="21"/>
              </w:rPr>
              <w:sym w:font="Wingdings 2" w:char="0052"/>
            </w:r>
            <w:r>
              <w:rPr>
                <w:rFonts w:cs="Times New Roman"/>
                <w:color w:val="auto"/>
                <w:sz w:val="21"/>
                <w:szCs w:val="21"/>
              </w:rPr>
              <w:t xml:space="preserve"> ；夏季□；秋季□；冬季□</w:t>
            </w:r>
          </w:p>
        </w:tc>
        <w:tc>
          <w:tcPr>
            <w:tcW w:w="3361" w:type="dxa"/>
            <w:gridSpan w:val="7"/>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生态环境保护主管部门</w:t>
            </w:r>
            <w:r>
              <w:rPr>
                <w:rFonts w:cs="Times New Roman"/>
                <w:color w:val="auto"/>
                <w:sz w:val="21"/>
                <w:szCs w:val="21"/>
              </w:rPr>
              <w:sym w:font="Wingdings 2" w:char="0052"/>
            </w:r>
            <w:r>
              <w:rPr>
                <w:rFonts w:cs="Times New Roman"/>
                <w:color w:val="auto"/>
                <w:sz w:val="21"/>
                <w:szCs w:val="21"/>
              </w:rPr>
              <w:t>；补充监测</w:t>
            </w:r>
            <w:r>
              <w:rPr>
                <w:rFonts w:cs="Times New Roman"/>
                <w:color w:val="auto"/>
                <w:sz w:val="21"/>
                <w:szCs w:val="21"/>
              </w:rPr>
              <w:sym w:font="Wingdings 2" w:char="00A3"/>
            </w:r>
            <w:r>
              <w:rPr>
                <w:rFonts w:cs="Times New Roman"/>
                <w:color w:val="auto"/>
                <w:sz w:val="21"/>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区域水资源开发利用状况</w:t>
            </w:r>
          </w:p>
        </w:tc>
        <w:tc>
          <w:tcPr>
            <w:tcW w:w="6745" w:type="dxa"/>
            <w:gridSpan w:val="12"/>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未开发□；开发量 40%以下□；开发量 40%以上□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水文情势调查</w:t>
            </w:r>
          </w:p>
        </w:tc>
        <w:tc>
          <w:tcPr>
            <w:tcW w:w="3384"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调查时期</w:t>
            </w:r>
          </w:p>
        </w:tc>
        <w:tc>
          <w:tcPr>
            <w:tcW w:w="3361" w:type="dxa"/>
            <w:gridSpan w:val="7"/>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3384" w:type="dxa"/>
            <w:gridSpan w:val="5"/>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丰水期□；平水期□；枯水期□；冰封期□</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春季□；夏季□；秋季□；冬季□</w:t>
            </w:r>
          </w:p>
        </w:tc>
        <w:tc>
          <w:tcPr>
            <w:tcW w:w="3361" w:type="dxa"/>
            <w:gridSpan w:val="7"/>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水行政主管部门□；补充监测□；</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补充监测</w:t>
            </w:r>
          </w:p>
        </w:tc>
        <w:tc>
          <w:tcPr>
            <w:tcW w:w="3384"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监测时期</w:t>
            </w:r>
          </w:p>
        </w:tc>
        <w:tc>
          <w:tcPr>
            <w:tcW w:w="2059" w:type="dxa"/>
            <w:gridSpan w:val="4"/>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监测因子</w:t>
            </w:r>
          </w:p>
        </w:tc>
        <w:tc>
          <w:tcPr>
            <w:tcW w:w="1302" w:type="dxa"/>
            <w:gridSpan w:val="3"/>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3384" w:type="dxa"/>
            <w:gridSpan w:val="5"/>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丰水期□；平水期□；枯水期□；冰封期□</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春季</w:t>
            </w:r>
            <w:r>
              <w:rPr>
                <w:rFonts w:cs="Times New Roman"/>
                <w:color w:val="auto"/>
                <w:sz w:val="21"/>
                <w:szCs w:val="21"/>
              </w:rPr>
              <w:sym w:font="Wingdings 2" w:char="00A3"/>
            </w:r>
            <w:r>
              <w:rPr>
                <w:rFonts w:cs="Times New Roman"/>
                <w:color w:val="auto"/>
                <w:sz w:val="21"/>
                <w:szCs w:val="21"/>
              </w:rPr>
              <w:t>；夏季□；秋季</w:t>
            </w:r>
            <w:r>
              <w:rPr>
                <w:rFonts w:cs="Times New Roman"/>
                <w:color w:val="auto"/>
                <w:sz w:val="21"/>
                <w:szCs w:val="21"/>
              </w:rPr>
              <w:sym w:font="Wingdings 2" w:char="0052"/>
            </w:r>
            <w:r>
              <w:rPr>
                <w:rFonts w:cs="Times New Roman"/>
                <w:color w:val="auto"/>
                <w:sz w:val="21"/>
                <w:szCs w:val="21"/>
              </w:rPr>
              <w:t>；冬季□</w:t>
            </w:r>
          </w:p>
        </w:tc>
        <w:tc>
          <w:tcPr>
            <w:tcW w:w="2059" w:type="dxa"/>
            <w:gridSpan w:val="4"/>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pH值、COD、BOD</w:t>
            </w:r>
            <w:r>
              <w:rPr>
                <w:rFonts w:cs="Times New Roman"/>
                <w:color w:val="auto"/>
                <w:sz w:val="21"/>
                <w:szCs w:val="21"/>
                <w:vertAlign w:val="subscript"/>
              </w:rPr>
              <w:t>5</w:t>
            </w:r>
            <w:r>
              <w:rPr>
                <w:rFonts w:cs="Times New Roman"/>
                <w:color w:val="auto"/>
                <w:sz w:val="21"/>
                <w:szCs w:val="21"/>
              </w:rPr>
              <w:t>、氨氮、悬浮物、总氮、总磷、挥发酚、氰化物、氟化物、全盐量、石油类、硫化物、锌、甲苯、粪大肠菌群等共16项</w:t>
            </w:r>
          </w:p>
        </w:tc>
        <w:tc>
          <w:tcPr>
            <w:tcW w:w="1302" w:type="dxa"/>
            <w:gridSpan w:val="3"/>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监测断面或点位个数（4）个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现状评价</w:t>
            </w: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评价范围</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河流：长度（）km；湖库、河口及近岸海域：面积（）km</w:t>
            </w:r>
            <w:r>
              <w:rPr>
                <w:rFonts w:cs="Times New Roman"/>
                <w:color w:val="auto"/>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both"/>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评价因子</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pH值、COD、BOD</w:t>
            </w:r>
            <w:r>
              <w:rPr>
                <w:rFonts w:cs="Times New Roman"/>
                <w:color w:val="auto"/>
                <w:sz w:val="21"/>
                <w:szCs w:val="21"/>
                <w:vertAlign w:val="subscript"/>
              </w:rPr>
              <w:t>5</w:t>
            </w:r>
            <w:r>
              <w:rPr>
                <w:rFonts w:cs="Times New Roman"/>
                <w:color w:val="auto"/>
                <w:sz w:val="21"/>
                <w:szCs w:val="21"/>
              </w:rPr>
              <w:t>、氨氮、悬浮物、总氮、总磷、全盐量、石油类、粪大肠菌群等共</w:t>
            </w:r>
            <w:r>
              <w:rPr>
                <w:rFonts w:hint="eastAsia" w:cs="Times New Roman"/>
                <w:color w:val="auto"/>
                <w:sz w:val="21"/>
                <w:szCs w:val="21"/>
                <w:lang w:val="en-US" w:eastAsia="zh-CN"/>
              </w:rPr>
              <w:t>10</w:t>
            </w:r>
            <w:r>
              <w:rPr>
                <w:rFonts w:cs="Times New Roman"/>
                <w:color w:val="auto"/>
                <w:sz w:val="21"/>
                <w:szCs w:val="21"/>
              </w:rPr>
              <w:t>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评价标准</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河流、湖库、河口：Ⅰ类□；Ⅱ类□；Ⅲ类□；Ⅳ类</w:t>
            </w:r>
            <w:r>
              <w:rPr>
                <w:rFonts w:cs="Times New Roman"/>
                <w:color w:val="auto"/>
                <w:sz w:val="21"/>
                <w:szCs w:val="21"/>
              </w:rPr>
              <w:sym w:font="Wingdings 2" w:char="0052"/>
            </w:r>
            <w:r>
              <w:rPr>
                <w:rFonts w:cs="Times New Roman"/>
                <w:color w:val="auto"/>
                <w:sz w:val="21"/>
                <w:szCs w:val="21"/>
              </w:rPr>
              <w:t>；Ⅴ类□</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近岸海域：第一类□；第二类□；第三类□；第四类□</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规划年评价标准（）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评价时期</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丰水期□；平水期□；枯水期□；冰封期□</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春季</w:t>
            </w:r>
            <w:r>
              <w:rPr>
                <w:rFonts w:cs="Times New Roman"/>
                <w:color w:val="auto"/>
                <w:sz w:val="21"/>
                <w:szCs w:val="21"/>
              </w:rPr>
              <w:sym w:font="Wingdings 2" w:char="00A3"/>
            </w:r>
            <w:r>
              <w:rPr>
                <w:rFonts w:cs="Times New Roman"/>
                <w:color w:val="auto"/>
                <w:sz w:val="21"/>
                <w:szCs w:val="21"/>
              </w:rPr>
              <w:t>；夏季□；秋季</w:t>
            </w:r>
            <w:r>
              <w:rPr>
                <w:rFonts w:cs="Times New Roman"/>
                <w:color w:val="auto"/>
                <w:sz w:val="21"/>
                <w:szCs w:val="21"/>
              </w:rPr>
              <w:sym w:font="Wingdings 2" w:char="0052"/>
            </w:r>
            <w:r>
              <w:rPr>
                <w:rFonts w:cs="Times New Roman"/>
                <w:color w:val="auto"/>
                <w:sz w:val="21"/>
                <w:szCs w:val="21"/>
              </w:rPr>
              <w:t>；冬季□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评价结论</w:t>
            </w:r>
          </w:p>
        </w:tc>
        <w:tc>
          <w:tcPr>
            <w:tcW w:w="5593" w:type="dxa"/>
            <w:gridSpan w:val="11"/>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水环境功能区或水功能区、近岸海域环境功能区水质达标状况</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□：达标□；不达标</w:t>
            </w:r>
            <w:r>
              <w:rPr>
                <w:rFonts w:cs="Times New Roman"/>
                <w:color w:val="auto"/>
                <w:sz w:val="21"/>
                <w:szCs w:val="21"/>
              </w:rPr>
              <w:sym w:font="Wingdings 2" w:char="0052"/>
            </w:r>
            <w:r>
              <w:rPr>
                <w:rFonts w:cs="Times New Roman"/>
                <w:color w:val="auto"/>
                <w:sz w:val="21"/>
                <w:szCs w:val="21"/>
              </w:rPr>
              <w:t></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水环境控制单元或断面水质达标状况□：达标</w:t>
            </w:r>
            <w:r>
              <w:rPr>
                <w:rFonts w:cs="Times New Roman"/>
                <w:color w:val="auto"/>
                <w:sz w:val="21"/>
                <w:szCs w:val="21"/>
              </w:rPr>
              <w:sym w:font="Wingdings 2" w:char="0052"/>
            </w:r>
            <w:r>
              <w:rPr>
                <w:rFonts w:cs="Times New Roman"/>
                <w:color w:val="auto"/>
                <w:sz w:val="21"/>
                <w:szCs w:val="21"/>
              </w:rPr>
              <w:t>；不达标□</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水环境保护目标质量状况□：达标□；不达标</w:t>
            </w:r>
            <w:r>
              <w:rPr>
                <w:rFonts w:cs="Times New Roman"/>
                <w:color w:val="auto"/>
                <w:sz w:val="21"/>
                <w:szCs w:val="21"/>
              </w:rPr>
              <w:sym w:font="Wingdings 2" w:char="0052"/>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对照断面、控制断面等代表性断面的水质状况□：达标□；不达标</w:t>
            </w:r>
            <w:r>
              <w:rPr>
                <w:rFonts w:cs="Times New Roman"/>
                <w:color w:val="auto"/>
                <w:sz w:val="21"/>
                <w:szCs w:val="21"/>
              </w:rPr>
              <w:sym w:font="Wingdings 2" w:char="0052"/>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底泥污染评价□</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水资源与开发利用程度及其水文情势评价□</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水环境质量回顾评价□</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流域（区域）水资源（包括水能资源）与开发利用总体状况、生态流量管理要求与现状满足程度、建设项目占用水域空间的水流状况与河湖演变状况□</w:t>
            </w:r>
          </w:p>
        </w:tc>
        <w:tc>
          <w:tcPr>
            <w:tcW w:w="1152" w:type="dxa"/>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达标区□</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不达标区</w:t>
            </w:r>
            <w:r>
              <w:rPr>
                <w:rFonts w:cs="Times New Roman"/>
                <w:color w:val="auto"/>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影响预测</w:t>
            </w: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预测范围</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河流：长度（）km；湖库、河口及近岸海域：面积（）km</w:t>
            </w:r>
            <w:r>
              <w:rPr>
                <w:rFonts w:cs="Times New Roman"/>
                <w:color w:val="auto"/>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影响预测</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预测时期</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丰水期□；平水期□；枯水期□；冰封期□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春季□；夏季□；秋季□；冬季□</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设计水文条件□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预测情景</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建设期□；生产运行期□；服务期满后□</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正常工况□；非正常工况□</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污染控制和减缓措施方案□</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区（流）域环境质量改善目标要求情景□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预测方法</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数值解□：解析解□；其他□</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导则推荐模式□：其他□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影响评价</w:t>
            </w: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水污染控制和水环境影响减缓措施有效性评价</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 xml:space="preserve">区（流）域水环境质量改善目标 </w:t>
            </w:r>
            <w:r>
              <w:rPr>
                <w:rFonts w:cs="Times New Roman"/>
                <w:color w:val="auto"/>
                <w:sz w:val="21"/>
                <w:szCs w:val="21"/>
              </w:rPr>
              <w:sym w:font="Wingdings 2" w:char="0052"/>
            </w:r>
            <w:r>
              <w:rPr>
                <w:rFonts w:cs="Times New Roman"/>
                <w:color w:val="auto"/>
                <w:sz w:val="21"/>
                <w:szCs w:val="21"/>
              </w:rPr>
              <w:t xml:space="preserve">；替代削减源 </w:t>
            </w:r>
            <w:r>
              <w:rPr>
                <w:rFonts w:cs="Times New Roman"/>
                <w:color w:val="auto"/>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水环境影响评价</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排放口混合区外满足水环境管理要求 □</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 xml:space="preserve">水环境功能区或水功能区、近岸海域环境功能区水质达标 </w:t>
            </w:r>
            <w:r>
              <w:rPr>
                <w:rFonts w:cs="Times New Roman"/>
                <w:color w:val="auto"/>
                <w:sz w:val="21"/>
                <w:szCs w:val="21"/>
              </w:rPr>
              <w:sym w:font="Wingdings 2" w:char="00A3"/>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满足水环境保护目标水域水环境质量要求 □</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 xml:space="preserve">水环境控制单元或断面水质达标 </w:t>
            </w:r>
            <w:r>
              <w:rPr>
                <w:rFonts w:cs="Times New Roman"/>
                <w:color w:val="auto"/>
                <w:sz w:val="21"/>
                <w:szCs w:val="21"/>
              </w:rPr>
              <w:sym w:font="Wingdings 2" w:char="00A3"/>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 xml:space="preserve">满足重点水污染物排放总量控制指标要求，重点行业建设项目，主要污染物排放满足等量或减量替代要求 </w:t>
            </w:r>
            <w:r>
              <w:rPr>
                <w:rFonts w:cs="Times New Roman"/>
                <w:color w:val="auto"/>
                <w:sz w:val="21"/>
                <w:szCs w:val="21"/>
              </w:rPr>
              <w:sym w:font="Wingdings 2" w:char="00A3"/>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 xml:space="preserve">满足区（流）域水环境质量改善目标 </w:t>
            </w:r>
            <w:r>
              <w:rPr>
                <w:rFonts w:cs="Times New Roman"/>
                <w:color w:val="auto"/>
                <w:sz w:val="21"/>
                <w:szCs w:val="21"/>
              </w:rPr>
              <w:sym w:font="Wingdings 2" w:char="0052"/>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水文要素影响型建设项目同时应包括水温情势变化评价、主要水温特征值影响评价、生态流量符合性评价 □</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对于新设或调整入河（湖库、近岸海域）排放口的建设项目，应包括排放口设置的环境合理性评价 □</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 xml:space="preserve">满足生态保护红线、水环境质量底线、资源利用上线和环境准入清单管理要求 </w:t>
            </w:r>
            <w:r>
              <w:rPr>
                <w:rFonts w:cs="Times New Roman"/>
                <w:color w:val="auto"/>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污染源排放量核算</w:t>
            </w:r>
          </w:p>
        </w:tc>
        <w:tc>
          <w:tcPr>
            <w:tcW w:w="2821" w:type="dxa"/>
            <w:gridSpan w:val="3"/>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污染物名称</w:t>
            </w:r>
          </w:p>
        </w:tc>
        <w:tc>
          <w:tcPr>
            <w:tcW w:w="1995" w:type="dxa"/>
            <w:gridSpan w:val="4"/>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排放量（t/a）</w:t>
            </w:r>
          </w:p>
        </w:tc>
        <w:tc>
          <w:tcPr>
            <w:tcW w:w="1929"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2821" w:type="dxa"/>
            <w:gridSpan w:val="3"/>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CODcr</w:t>
            </w:r>
          </w:p>
        </w:tc>
        <w:tc>
          <w:tcPr>
            <w:tcW w:w="1995" w:type="dxa"/>
            <w:gridSpan w:val="4"/>
            <w:noWrap w:val="0"/>
            <w:vAlign w:val="center"/>
          </w:tcPr>
          <w:p>
            <w:pPr>
              <w:pStyle w:val="25"/>
              <w:snapToGrid w:val="0"/>
              <w:spacing w:line="240" w:lineRule="auto"/>
              <w:ind w:firstLine="0" w:firstLineChars="0"/>
              <w:jc w:val="center"/>
              <w:rPr>
                <w:rFonts w:cs="Times New Roman"/>
                <w:color w:val="auto"/>
                <w:sz w:val="21"/>
                <w:szCs w:val="21"/>
              </w:rPr>
            </w:pPr>
          </w:p>
        </w:tc>
        <w:tc>
          <w:tcPr>
            <w:tcW w:w="1929" w:type="dxa"/>
            <w:gridSpan w:val="5"/>
            <w:noWrap w:val="0"/>
            <w:vAlign w:val="center"/>
          </w:tcPr>
          <w:p>
            <w:pPr>
              <w:pStyle w:val="25"/>
              <w:snapToGrid w:val="0"/>
              <w:spacing w:line="240" w:lineRule="auto"/>
              <w:ind w:firstLine="0" w:firstLineChars="0"/>
              <w:jc w:val="center"/>
              <w:rPr>
                <w:rFonts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2821" w:type="dxa"/>
            <w:gridSpan w:val="3"/>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NH</w:t>
            </w:r>
            <w:r>
              <w:rPr>
                <w:rFonts w:cs="Times New Roman"/>
                <w:color w:val="auto"/>
                <w:sz w:val="21"/>
                <w:szCs w:val="21"/>
                <w:vertAlign w:val="subscript"/>
              </w:rPr>
              <w:t>3</w:t>
            </w:r>
            <w:r>
              <w:rPr>
                <w:rFonts w:cs="Times New Roman"/>
                <w:color w:val="auto"/>
                <w:sz w:val="21"/>
                <w:szCs w:val="21"/>
              </w:rPr>
              <w:t>-N</w:t>
            </w:r>
          </w:p>
        </w:tc>
        <w:tc>
          <w:tcPr>
            <w:tcW w:w="1995" w:type="dxa"/>
            <w:gridSpan w:val="4"/>
            <w:noWrap w:val="0"/>
            <w:vAlign w:val="center"/>
          </w:tcPr>
          <w:p>
            <w:pPr>
              <w:pStyle w:val="25"/>
              <w:snapToGrid w:val="0"/>
              <w:spacing w:line="240" w:lineRule="auto"/>
              <w:ind w:firstLine="0" w:firstLineChars="0"/>
              <w:jc w:val="center"/>
              <w:rPr>
                <w:rFonts w:cs="Times New Roman"/>
                <w:color w:val="auto"/>
                <w:sz w:val="21"/>
                <w:szCs w:val="21"/>
              </w:rPr>
            </w:pPr>
          </w:p>
        </w:tc>
        <w:tc>
          <w:tcPr>
            <w:tcW w:w="1929" w:type="dxa"/>
            <w:gridSpan w:val="5"/>
            <w:noWrap w:val="0"/>
            <w:vAlign w:val="center"/>
          </w:tcPr>
          <w:p>
            <w:pPr>
              <w:pStyle w:val="25"/>
              <w:snapToGrid w:val="0"/>
              <w:spacing w:line="240" w:lineRule="auto"/>
              <w:ind w:firstLine="0" w:firstLineChars="0"/>
              <w:jc w:val="center"/>
              <w:rPr>
                <w:rFonts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替代源排放情况</w:t>
            </w:r>
          </w:p>
        </w:tc>
        <w:tc>
          <w:tcPr>
            <w:tcW w:w="1557"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污染源名称</w:t>
            </w:r>
          </w:p>
        </w:tc>
        <w:tc>
          <w:tcPr>
            <w:tcW w:w="1514" w:type="dxa"/>
            <w:gridSpan w:val="3"/>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排污许可证编号</w:t>
            </w:r>
          </w:p>
        </w:tc>
        <w:tc>
          <w:tcPr>
            <w:tcW w:w="1350" w:type="dxa"/>
            <w:gridSpan w:val="2"/>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污染物名称</w:t>
            </w:r>
          </w:p>
        </w:tc>
        <w:tc>
          <w:tcPr>
            <w:tcW w:w="1064" w:type="dxa"/>
            <w:gridSpan w:val="4"/>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排放量（t/a）</w:t>
            </w:r>
          </w:p>
        </w:tc>
        <w:tc>
          <w:tcPr>
            <w:tcW w:w="1260" w:type="dxa"/>
            <w:gridSpan w:val="2"/>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557"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w:t>
            </w:r>
          </w:p>
        </w:tc>
        <w:tc>
          <w:tcPr>
            <w:tcW w:w="1514" w:type="dxa"/>
            <w:gridSpan w:val="3"/>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w:t>
            </w:r>
          </w:p>
        </w:tc>
        <w:tc>
          <w:tcPr>
            <w:tcW w:w="1350" w:type="dxa"/>
            <w:gridSpan w:val="2"/>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w:t>
            </w:r>
          </w:p>
        </w:tc>
        <w:tc>
          <w:tcPr>
            <w:tcW w:w="1064" w:type="dxa"/>
            <w:gridSpan w:val="4"/>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w:t>
            </w:r>
          </w:p>
        </w:tc>
        <w:tc>
          <w:tcPr>
            <w:tcW w:w="1260" w:type="dxa"/>
            <w:gridSpan w:val="2"/>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生态流量确定</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生态流量：一般水期（）m/s；鱼类繁殖期（）m/s；其他（）m/s</w:t>
            </w:r>
          </w:p>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t>生态水位：一般水期（）m；鱼类繁殖期（）m；其他（）m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防治措施</w:t>
            </w: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环保措施</w:t>
            </w:r>
          </w:p>
        </w:tc>
        <w:tc>
          <w:tcPr>
            <w:tcW w:w="6745" w:type="dxa"/>
            <w:gridSpan w:val="12"/>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 xml:space="preserve">污水处理设施 </w:t>
            </w:r>
            <w:r>
              <w:rPr>
                <w:rFonts w:cs="Times New Roman"/>
                <w:color w:val="auto"/>
                <w:sz w:val="21"/>
                <w:szCs w:val="21"/>
              </w:rPr>
              <w:sym w:font="Wingdings 2" w:char="00A3"/>
            </w:r>
            <w:r>
              <w:rPr>
                <w:rFonts w:cs="Times New Roman"/>
                <w:color w:val="auto"/>
                <w:sz w:val="21"/>
                <w:szCs w:val="21"/>
              </w:rPr>
              <w:t xml:space="preserve">；水文减缓设施 □；生态流量保障设施 </w:t>
            </w:r>
            <w:r>
              <w:rPr>
                <w:rFonts w:cs="Times New Roman"/>
                <w:color w:val="auto"/>
                <w:sz w:val="21"/>
                <w:szCs w:val="21"/>
              </w:rPr>
              <w:sym w:font="Wingdings 2" w:char="00A3"/>
            </w:r>
            <w:r>
              <w:rPr>
                <w:rFonts w:cs="Times New Roman"/>
                <w:color w:val="auto"/>
                <w:sz w:val="21"/>
                <w:szCs w:val="21"/>
              </w:rPr>
              <w:t xml:space="preserve">；区域削减 </w:t>
            </w:r>
            <w:r>
              <w:rPr>
                <w:rFonts w:cs="Times New Roman"/>
                <w:color w:val="auto"/>
                <w:sz w:val="21"/>
                <w:szCs w:val="21"/>
              </w:rPr>
              <w:sym w:font="Wingdings 2" w:char="00A3"/>
            </w:r>
            <w:r>
              <w:rPr>
                <w:rFonts w:cs="Times New Roman"/>
                <w:color w:val="auto"/>
                <w:sz w:val="21"/>
                <w:szCs w:val="21"/>
              </w:rPr>
              <w:t xml:space="preserve">；依托其他工程措施 </w:t>
            </w:r>
            <w:r>
              <w:rPr>
                <w:rFonts w:cs="Times New Roman"/>
                <w:color w:val="auto"/>
                <w:sz w:val="21"/>
                <w:szCs w:val="21"/>
              </w:rPr>
              <w:sym w:font="Wingdings 2" w:char="0052"/>
            </w:r>
            <w:r>
              <w:rPr>
                <w:rFonts w:cs="Times New Roman"/>
                <w:color w:val="auto"/>
                <w:sz w:val="21"/>
                <w:szCs w:val="21"/>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restart"/>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监测计划</w:t>
            </w:r>
          </w:p>
        </w:tc>
        <w:tc>
          <w:tcPr>
            <w:tcW w:w="2821" w:type="dxa"/>
            <w:gridSpan w:val="3"/>
            <w:noWrap w:val="0"/>
            <w:vAlign w:val="center"/>
          </w:tcPr>
          <w:p>
            <w:pPr>
              <w:pStyle w:val="25"/>
              <w:snapToGrid w:val="0"/>
              <w:spacing w:line="240" w:lineRule="auto"/>
              <w:ind w:firstLine="0" w:firstLineChars="0"/>
              <w:jc w:val="center"/>
              <w:rPr>
                <w:rFonts w:cs="Times New Roman"/>
                <w:color w:val="auto"/>
                <w:sz w:val="21"/>
                <w:szCs w:val="21"/>
              </w:rPr>
            </w:pPr>
          </w:p>
        </w:tc>
        <w:tc>
          <w:tcPr>
            <w:tcW w:w="2251"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环境质量</w:t>
            </w:r>
          </w:p>
        </w:tc>
        <w:tc>
          <w:tcPr>
            <w:tcW w:w="1673" w:type="dxa"/>
            <w:gridSpan w:val="4"/>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2821" w:type="dxa"/>
            <w:gridSpan w:val="3"/>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监测方式</w:t>
            </w:r>
          </w:p>
        </w:tc>
        <w:tc>
          <w:tcPr>
            <w:tcW w:w="2251"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 xml:space="preserve">手动 </w:t>
            </w:r>
            <w:r>
              <w:rPr>
                <w:rFonts w:cs="Times New Roman"/>
                <w:color w:val="auto"/>
                <w:sz w:val="21"/>
                <w:szCs w:val="21"/>
              </w:rPr>
              <w:sym w:font="Wingdings 2" w:char="00A3"/>
            </w:r>
            <w:r>
              <w:rPr>
                <w:rFonts w:cs="Times New Roman"/>
                <w:color w:val="auto"/>
                <w:sz w:val="21"/>
                <w:szCs w:val="21"/>
              </w:rPr>
              <w:t xml:space="preserve">；自动 </w:t>
            </w:r>
            <w:r>
              <w:rPr>
                <w:rFonts w:cs="Times New Roman"/>
                <w:color w:val="auto"/>
                <w:sz w:val="21"/>
                <w:szCs w:val="21"/>
              </w:rPr>
              <w:sym w:font="Wingdings 2" w:char="00A3"/>
            </w:r>
            <w:r>
              <w:rPr>
                <w:rFonts w:cs="Times New Roman"/>
                <w:color w:val="auto"/>
                <w:sz w:val="21"/>
                <w:szCs w:val="21"/>
              </w:rPr>
              <w:t xml:space="preserve">；无监测 </w:t>
            </w:r>
            <w:r>
              <w:rPr>
                <w:rFonts w:cs="Times New Roman"/>
                <w:color w:val="auto"/>
                <w:sz w:val="21"/>
                <w:szCs w:val="21"/>
              </w:rPr>
              <w:sym w:font="Wingdings 2" w:char="00A3"/>
            </w:r>
          </w:p>
        </w:tc>
        <w:tc>
          <w:tcPr>
            <w:tcW w:w="1673" w:type="dxa"/>
            <w:gridSpan w:val="4"/>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 xml:space="preserve">手动 </w:t>
            </w:r>
            <w:r>
              <w:rPr>
                <w:rFonts w:cs="Times New Roman"/>
                <w:color w:val="auto"/>
                <w:sz w:val="21"/>
                <w:szCs w:val="21"/>
              </w:rPr>
              <w:sym w:font="Wingdings 2" w:char="00A3"/>
            </w:r>
            <w:r>
              <w:rPr>
                <w:rFonts w:cs="Times New Roman"/>
                <w:color w:val="auto"/>
                <w:sz w:val="21"/>
                <w:szCs w:val="21"/>
              </w:rPr>
              <w:t xml:space="preserve">；自动 </w:t>
            </w:r>
            <w:r>
              <w:rPr>
                <w:rFonts w:cs="Times New Roman"/>
                <w:color w:val="auto"/>
                <w:sz w:val="21"/>
                <w:szCs w:val="21"/>
              </w:rPr>
              <w:sym w:font="Wingdings 2" w:char="00A3"/>
            </w:r>
            <w:r>
              <w:rPr>
                <w:rFonts w:cs="Times New Roman"/>
                <w:color w:val="auto"/>
                <w:sz w:val="21"/>
                <w:szCs w:val="21"/>
              </w:rPr>
              <w:t xml:space="preserve">；无监测 </w:t>
            </w:r>
            <w:r>
              <w:rPr>
                <w:rFonts w:cs="Times New Roman"/>
                <w:color w:val="auto"/>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2821" w:type="dxa"/>
            <w:gridSpan w:val="3"/>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监测点位</w:t>
            </w:r>
          </w:p>
        </w:tc>
        <w:tc>
          <w:tcPr>
            <w:tcW w:w="2251"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w:t>
            </w:r>
          </w:p>
        </w:tc>
        <w:tc>
          <w:tcPr>
            <w:tcW w:w="1673" w:type="dxa"/>
            <w:gridSpan w:val="4"/>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2821" w:type="dxa"/>
            <w:gridSpan w:val="3"/>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监测因子</w:t>
            </w:r>
          </w:p>
        </w:tc>
        <w:tc>
          <w:tcPr>
            <w:tcW w:w="2251" w:type="dxa"/>
            <w:gridSpan w:val="5"/>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w:t>
            </w:r>
          </w:p>
        </w:tc>
        <w:tc>
          <w:tcPr>
            <w:tcW w:w="1673" w:type="dxa"/>
            <w:gridSpan w:val="4"/>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6" w:type="dxa"/>
            <w:vMerge w:val="continue"/>
            <w:noWrap w:val="0"/>
            <w:vAlign w:val="center"/>
          </w:tcPr>
          <w:p>
            <w:pPr>
              <w:pStyle w:val="25"/>
              <w:snapToGrid w:val="0"/>
              <w:spacing w:line="240" w:lineRule="auto"/>
              <w:ind w:firstLine="0" w:firstLineChars="0"/>
              <w:jc w:val="center"/>
              <w:rPr>
                <w:rFonts w:cs="Times New Roman"/>
                <w:color w:val="auto"/>
                <w:sz w:val="21"/>
                <w:szCs w:val="21"/>
              </w:rPr>
            </w:pPr>
          </w:p>
        </w:tc>
        <w:tc>
          <w:tcPr>
            <w:tcW w:w="1436" w:type="dxa"/>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污染物排放清单</w:t>
            </w:r>
          </w:p>
        </w:tc>
        <w:tc>
          <w:tcPr>
            <w:tcW w:w="6745" w:type="dxa"/>
            <w:gridSpan w:val="12"/>
            <w:noWrap w:val="0"/>
            <w:vAlign w:val="center"/>
          </w:tcPr>
          <w:p>
            <w:pPr>
              <w:pStyle w:val="25"/>
              <w:snapToGrid w:val="0"/>
              <w:spacing w:line="240" w:lineRule="auto"/>
              <w:ind w:firstLine="0" w:firstLineChars="0"/>
              <w:jc w:val="both"/>
              <w:rPr>
                <w:rFonts w:cs="Times New Roman"/>
                <w:color w:val="auto"/>
                <w:sz w:val="21"/>
                <w:szCs w:val="21"/>
              </w:rPr>
            </w:pPr>
            <w:r>
              <w:rPr>
                <w:rFonts w:cs="Times New Roman"/>
                <w:color w:val="auto"/>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2" w:type="dxa"/>
            <w:gridSpan w:val="2"/>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评价结论</w:t>
            </w:r>
          </w:p>
        </w:tc>
        <w:tc>
          <w:tcPr>
            <w:tcW w:w="6745" w:type="dxa"/>
            <w:gridSpan w:val="12"/>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 xml:space="preserve">可以接受 </w:t>
            </w:r>
            <w:r>
              <w:rPr>
                <w:rFonts w:cs="Times New Roman"/>
                <w:color w:val="auto"/>
                <w:sz w:val="21"/>
                <w:szCs w:val="21"/>
              </w:rPr>
              <w:sym w:font="Wingdings 2" w:char="0052"/>
            </w:r>
            <w:r>
              <w:rPr>
                <w:rFonts w:cs="Times New Roman"/>
                <w:color w:val="auto"/>
                <w:sz w:val="21"/>
                <w:szCs w:val="21"/>
              </w:rPr>
              <w:t xml:space="preserve">；不可以接受 </w:t>
            </w:r>
            <w:r>
              <w:rPr>
                <w:rFonts w:cs="Times New Roman"/>
                <w:color w:val="auto"/>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7" w:type="dxa"/>
            <w:gridSpan w:val="14"/>
            <w:noWrap w:val="0"/>
            <w:vAlign w:val="center"/>
          </w:tcPr>
          <w:p>
            <w:pPr>
              <w:pStyle w:val="25"/>
              <w:snapToGrid w:val="0"/>
              <w:spacing w:line="240" w:lineRule="auto"/>
              <w:ind w:firstLine="0" w:firstLineChars="0"/>
              <w:jc w:val="center"/>
              <w:rPr>
                <w:rFonts w:cs="Times New Roman"/>
                <w:color w:val="auto"/>
                <w:sz w:val="21"/>
                <w:szCs w:val="21"/>
              </w:rPr>
            </w:pPr>
            <w:r>
              <w:rPr>
                <w:rFonts w:cs="Times New Roman"/>
                <w:color w:val="auto"/>
                <w:sz w:val="21"/>
                <w:szCs w:val="21"/>
              </w:rPr>
              <w:t>备注：“</w:t>
            </w:r>
            <w:r>
              <w:rPr>
                <w:rFonts w:cs="Times New Roman"/>
                <w:color w:val="auto"/>
                <w:sz w:val="21"/>
                <w:szCs w:val="21"/>
              </w:rPr>
              <w:sym w:font="Wingdings 2" w:char="00A3"/>
            </w:r>
            <w:r>
              <w:rPr>
                <w:rFonts w:cs="Times New Roman"/>
                <w:color w:val="auto"/>
                <w:sz w:val="21"/>
                <w:szCs w:val="21"/>
              </w:rPr>
              <w:t>”为勾选项，可√；“（）”为内容填写项；“备注”为其他补充内容。</w:t>
            </w:r>
          </w:p>
        </w:tc>
      </w:tr>
    </w:tbl>
    <w:p>
      <w:pPr>
        <w:rPr>
          <w:rFonts w:hint="default"/>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28" w:name="_Toc7327"/>
      <w:bookmarkStart w:id="29" w:name="_Toc12943"/>
      <w:r>
        <w:rPr>
          <w:rFonts w:hint="eastAsia" w:ascii="Times New Roman" w:hAnsi="Times New Roman" w:eastAsia="宋体" w:cs="Times New Roman"/>
          <w:lang w:val="en-US" w:eastAsia="zh-CN"/>
        </w:rPr>
        <w:t>6</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3</w:t>
      </w:r>
      <w:r>
        <w:rPr>
          <w:rFonts w:hint="eastAsia" w:ascii="宋体" w:hAnsi="宋体" w:eastAsia="宋体" w:cs="宋体"/>
          <w:lang w:val="en-US" w:eastAsia="zh-CN"/>
        </w:rPr>
        <w:t>地下水影响预测与评价</w:t>
      </w:r>
      <w:bookmarkEnd w:id="28"/>
      <w:bookmarkEnd w:id="29"/>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rFonts w:hint="default" w:ascii="Times New Roman" w:hAnsi="Times New Roman" w:cs="Times New Roman"/>
          <w:b/>
          <w:bCs/>
          <w:color w:val="auto"/>
          <w:sz w:val="28"/>
          <w:szCs w:val="28"/>
        </w:rPr>
        <w:t>.1</w:t>
      </w:r>
      <w:r>
        <w:rPr>
          <w:b/>
          <w:bCs/>
          <w:color w:val="auto"/>
          <w:sz w:val="28"/>
          <w:szCs w:val="28"/>
        </w:rPr>
        <w:t xml:space="preserve"> </w:t>
      </w:r>
      <w:r>
        <w:rPr>
          <w:rFonts w:hint="eastAsia"/>
          <w:b/>
          <w:bCs/>
          <w:color w:val="auto"/>
          <w:sz w:val="28"/>
          <w:szCs w:val="28"/>
        </w:rPr>
        <w:t>地</w:t>
      </w:r>
      <w:r>
        <w:rPr>
          <w:rFonts w:hint="eastAsia"/>
          <w:b/>
          <w:bCs/>
          <w:color w:val="auto"/>
          <w:sz w:val="28"/>
          <w:szCs w:val="28"/>
          <w:lang w:val="en-US" w:eastAsia="zh-CN"/>
        </w:rPr>
        <w:t>下</w:t>
      </w:r>
      <w:r>
        <w:rPr>
          <w:rFonts w:hint="eastAsia"/>
          <w:b/>
          <w:bCs/>
          <w:color w:val="auto"/>
          <w:sz w:val="28"/>
          <w:szCs w:val="28"/>
        </w:rPr>
        <w:t>水环境影响评价等级确定</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rPr>
      </w:pPr>
      <w:r>
        <w:rPr>
          <w:rFonts w:hint="eastAsia" w:ascii="Times New Roman" w:hAnsi="Times New Roman" w:cs="Times New Roman"/>
          <w:b/>
          <w:bCs/>
          <w:sz w:val="24"/>
          <w:szCs w:val="24"/>
          <w:highlight w:val="none"/>
          <w:lang w:val="en-US" w:eastAsia="zh-CN"/>
        </w:rPr>
        <w:t>6.3.1</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1</w:t>
      </w:r>
      <w:r>
        <w:rPr>
          <w:rFonts w:hint="eastAsia" w:ascii="Times New Roman" w:hAnsi="Times New Roman"/>
          <w:b/>
          <w:bCs/>
          <w:sz w:val="24"/>
          <w:szCs w:val="24"/>
          <w:highlight w:val="none"/>
          <w:lang w:val="en-US" w:eastAsia="zh-CN"/>
        </w:rPr>
        <w:t xml:space="preserve"> 划分依据</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（1）地下水环境影响评价类别</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依据《环境影响评价技术导则-地下水环境》（HJ610-2016）附录A确定建设项目所属的地下水环境影响评价类别。</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本项目行业类别属于</w:t>
      </w:r>
      <w:r>
        <w:rPr>
          <w:rFonts w:hint="eastAsia" w:ascii="Times New Roman" w:hAnsi="Times New Roman"/>
          <w:sz w:val="24"/>
          <w:szCs w:val="24"/>
          <w:lang w:val="en-US" w:eastAsia="zh-CN"/>
        </w:rPr>
        <w:t>“C221纸浆制造”</w:t>
      </w:r>
      <w:r>
        <w:rPr>
          <w:rFonts w:hint="default" w:ascii="Times New Roman" w:hAnsi="Times New Roman"/>
          <w:sz w:val="24"/>
          <w:szCs w:val="24"/>
          <w:lang w:val="en-US" w:eastAsia="zh-CN"/>
        </w:rPr>
        <w:t>，经对照《环境影响评价技术导则-地下水环境》（HJ610-2016）附录A——地下水环境影响评价行业分类表，确定本项目地下水环境影响评价类别为</w:t>
      </w:r>
      <w:r>
        <w:rPr>
          <w:rFonts w:hint="default" w:ascii="Times New Roman" w:hAnsi="Times New Roman" w:eastAsia="宋体" w:cs="Times New Roman"/>
          <w:sz w:val="24"/>
          <w:szCs w:val="24"/>
          <w:lang w:val="en-US" w:eastAsia="zh-CN"/>
        </w:rPr>
        <w:t>Ⅱ</w:t>
      </w:r>
      <w:r>
        <w:rPr>
          <w:rFonts w:hint="default" w:ascii="Times New Roman" w:hAnsi="Times New Roman"/>
          <w:b w:val="0"/>
          <w:bCs w:val="0"/>
          <w:sz w:val="24"/>
          <w:szCs w:val="24"/>
          <w:lang w:val="en-US" w:eastAsia="zh-CN"/>
        </w:rPr>
        <w:t>类</w:t>
      </w:r>
      <w:r>
        <w:rPr>
          <w:rFonts w:hint="default" w:ascii="Times New Roman" w:hAnsi="Times New Roman"/>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（2）建设项目地下水环境敏感程度</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建设项目的地下水环境敏感程度可分为敏感、较敏感、不敏感三级，分级原则见表</w:t>
      </w:r>
      <w:r>
        <w:rPr>
          <w:rFonts w:hint="eastAsia" w:ascii="Times New Roman" w:hAnsi="Times New Roman"/>
          <w:sz w:val="24"/>
          <w:szCs w:val="24"/>
          <w:lang w:val="en-US" w:eastAsia="zh-CN"/>
        </w:rPr>
        <w:t>6.3</w:t>
      </w:r>
      <w:r>
        <w:rPr>
          <w:rFonts w:hint="default" w:ascii="Times New Roman" w:hAnsi="Times New Roman"/>
          <w:sz w:val="24"/>
          <w:szCs w:val="24"/>
          <w:lang w:val="en-US" w:eastAsia="zh-CN"/>
        </w:rPr>
        <w:t>-1。</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hint="default" w:ascii="Times New Roman" w:hAnsi="Times New Roman"/>
          <w:lang w:val="en-US" w:eastAsia="zh-CN"/>
        </w:rPr>
      </w:pPr>
      <w:r>
        <w:rPr>
          <w:rFonts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6.3</w:t>
      </w:r>
      <w:r>
        <w:rPr>
          <w:rFonts w:hint="default" w:ascii="Times New Roman" w:hAnsi="Times New Roman" w:cs="Times New Roman"/>
          <w:b/>
          <w:bCs/>
          <w:color w:val="auto"/>
          <w:sz w:val="24"/>
          <w:szCs w:val="24"/>
        </w:rPr>
        <w:t>-</w:t>
      </w:r>
      <w:r>
        <w:rPr>
          <w:rFonts w:hint="eastAsia" w:ascii="Times New Roman" w:hAnsi="Times New Roman" w:cs="Times New Roman"/>
          <w:b/>
          <w:bCs/>
          <w:color w:val="auto"/>
          <w:sz w:val="24"/>
          <w:szCs w:val="24"/>
          <w:lang w:val="en-US" w:eastAsia="zh-CN"/>
        </w:rPr>
        <w:t>1</w:t>
      </w:r>
      <w:r>
        <w:rPr>
          <w:rFonts w:ascii="Times New Roman" w:hAnsi="Times New Roman" w:cs="Times New Roman"/>
          <w:b/>
          <w:bCs/>
          <w:color w:val="auto"/>
          <w:sz w:val="24"/>
          <w:szCs w:val="24"/>
        </w:rPr>
        <w:t xml:space="preserve">  </w:t>
      </w:r>
      <w:r>
        <w:rPr>
          <w:rFonts w:hint="eastAsia" w:ascii="Times New Roman" w:hAnsi="Times New Roman" w:cs="Times New Roman"/>
          <w:b/>
          <w:bCs/>
          <w:color w:val="auto"/>
          <w:sz w:val="24"/>
          <w:szCs w:val="24"/>
          <w:lang w:val="en-US" w:eastAsia="zh-CN"/>
        </w:rPr>
        <w:t>地下水环境敏感程度分级表</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lang w:val="en-US" w:eastAsia="zh-CN"/>
        </w:rPr>
        <w:drawing>
          <wp:inline distT="0" distB="0" distL="114300" distR="114300">
            <wp:extent cx="5311140" cy="2124075"/>
            <wp:effectExtent l="0" t="0" r="3810" b="9525"/>
            <wp:docPr id="134" name="图片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3" descr="1"/>
                    <pic:cNvPicPr>
                      <a:picLocks noChangeAspect="1"/>
                    </pic:cNvPicPr>
                  </pic:nvPicPr>
                  <pic:blipFill>
                    <a:blip r:embed="rId116"/>
                    <a:stretch>
                      <a:fillRect/>
                    </a:stretch>
                  </pic:blipFill>
                  <pic:spPr>
                    <a:xfrm>
                      <a:off x="0" y="0"/>
                      <a:ext cx="5311140" cy="21240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项目所在地不属于集中式饮用水水源地准保护区及补给径流区；不属于除集中式饮用水水源地以外的国家或地方政府设定的与地下水环境相关的其它保护区，不位于上述敏感分级的环境敏感区，因此，</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项目场地的地下水环境敏感程度为“不敏感”。</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default"/>
          <w:lang w:val="en-US"/>
        </w:rPr>
      </w:pPr>
      <w:r>
        <w:rPr>
          <w:rFonts w:hint="eastAsia" w:ascii="Times New Roman" w:hAnsi="Times New Roman" w:cs="Times New Roman"/>
          <w:b/>
          <w:bCs/>
          <w:sz w:val="24"/>
          <w:szCs w:val="24"/>
          <w:highlight w:val="none"/>
          <w:lang w:val="en-US" w:eastAsia="zh-CN"/>
        </w:rPr>
        <w:t>6.3.1</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2</w:t>
      </w:r>
      <w:r>
        <w:rPr>
          <w:rFonts w:hint="eastAsia" w:ascii="Times New Roman" w:hAnsi="Times New Roman"/>
          <w:b/>
          <w:bCs/>
          <w:sz w:val="24"/>
          <w:szCs w:val="24"/>
          <w:highlight w:val="none"/>
          <w:lang w:val="en-US" w:eastAsia="zh-CN"/>
        </w:rPr>
        <w:t xml:space="preserve"> 工作等级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建设项目地下水环境影响评价工作等级的划分见表</w:t>
      </w:r>
      <w:r>
        <w:rPr>
          <w:rFonts w:hint="eastAsia" w:ascii="Times New Roman" w:hAnsi="Times New Roman"/>
          <w:sz w:val="24"/>
          <w:szCs w:val="24"/>
          <w:lang w:val="en-US" w:eastAsia="zh-CN"/>
        </w:rPr>
        <w:t>6.3</w:t>
      </w:r>
      <w:r>
        <w:rPr>
          <w:rFonts w:hint="default" w:ascii="Times New Roman" w:hAnsi="Times New Roman"/>
          <w:sz w:val="24"/>
          <w:szCs w:val="24"/>
          <w:lang w:val="en-US" w:eastAsia="zh-CN"/>
        </w:rPr>
        <w:t>-2。</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hint="default"/>
          <w:lang w:val="en-US" w:eastAsia="zh-CN"/>
        </w:rPr>
      </w:pPr>
      <w:r>
        <w:rPr>
          <w:rFonts w:cs="Times New Roman"/>
          <w:b/>
          <w:bCs/>
          <w:color w:val="auto"/>
          <w:sz w:val="24"/>
          <w:szCs w:val="24"/>
        </w:rPr>
        <w:t>表</w:t>
      </w:r>
      <w:r>
        <w:rPr>
          <w:rFonts w:hint="eastAsia" w:ascii="Times New Roman" w:hAnsi="Times New Roman" w:cs="Times New Roman"/>
          <w:b/>
          <w:bCs/>
          <w:color w:val="auto"/>
          <w:sz w:val="24"/>
          <w:szCs w:val="24"/>
          <w:lang w:val="en-US" w:eastAsia="zh-CN"/>
        </w:rPr>
        <w:t>6.3</w:t>
      </w:r>
      <w:r>
        <w:rPr>
          <w:rFonts w:hint="default" w:ascii="Times New Roman" w:hAnsi="Times New Roman" w:cs="Times New Roman"/>
          <w:b/>
          <w:bCs/>
          <w:color w:val="auto"/>
          <w:sz w:val="24"/>
          <w:szCs w:val="24"/>
        </w:rPr>
        <w:t>-</w:t>
      </w:r>
      <w:r>
        <w:rPr>
          <w:rFonts w:hint="eastAsia" w:ascii="Times New Roman" w:hAnsi="Times New Roman" w:cs="Times New Roman"/>
          <w:b/>
          <w:bCs/>
          <w:color w:val="auto"/>
          <w:sz w:val="24"/>
          <w:szCs w:val="24"/>
          <w:lang w:val="en-US" w:eastAsia="zh-CN"/>
        </w:rPr>
        <w:t>2</w:t>
      </w:r>
      <w:r>
        <w:rPr>
          <w:rFonts w:cs="Times New Roman"/>
          <w:b/>
          <w:bCs/>
          <w:color w:val="auto"/>
          <w:sz w:val="24"/>
          <w:szCs w:val="24"/>
        </w:rPr>
        <w:t xml:space="preserve">  </w:t>
      </w:r>
      <w:r>
        <w:rPr>
          <w:rFonts w:hint="eastAsia" w:cs="Times New Roman"/>
          <w:b/>
          <w:bCs/>
          <w:color w:val="auto"/>
          <w:sz w:val="24"/>
          <w:szCs w:val="24"/>
          <w:lang w:val="en-US" w:eastAsia="zh-CN"/>
        </w:rPr>
        <w:t>评价工作等级分级表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5"/>
        <w:gridCol w:w="2185"/>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2075"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eastAsia="zh-CN"/>
              </w:rPr>
            </w:pPr>
          </w:p>
        </w:tc>
        <w:tc>
          <w:tcPr>
            <w:tcW w:w="2185"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eastAsia="zh-CN"/>
              </w:rPr>
              <w:t>Ⅰ</w:t>
            </w:r>
            <w:r>
              <w:rPr>
                <w:rFonts w:hint="eastAsia" w:ascii="Times New Roman" w:hAnsi="Times New Roman" w:eastAsia="宋体" w:cs="Times New Roman"/>
                <w:sz w:val="21"/>
                <w:szCs w:val="21"/>
                <w:vertAlign w:val="baseline"/>
                <w:lang w:val="en-US" w:eastAsia="zh-CN"/>
              </w:rPr>
              <w:t xml:space="preserve"> 类项目</w:t>
            </w:r>
          </w:p>
        </w:tc>
        <w:tc>
          <w:tcPr>
            <w:tcW w:w="2131"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b/>
                <w:bCs/>
                <w:sz w:val="21"/>
                <w:szCs w:val="21"/>
                <w:vertAlign w:val="baseline"/>
                <w:lang w:eastAsia="zh-CN"/>
              </w:rPr>
              <w:t>Ⅱ</w:t>
            </w:r>
            <w:r>
              <w:rPr>
                <w:rFonts w:hint="eastAsia" w:ascii="Times New Roman" w:hAnsi="Times New Roman" w:eastAsia="宋体" w:cs="Times New Roman"/>
                <w:b/>
                <w:bCs/>
                <w:sz w:val="21"/>
                <w:szCs w:val="21"/>
                <w:vertAlign w:val="baseline"/>
                <w:lang w:val="en-US" w:eastAsia="zh-CN"/>
              </w:rPr>
              <w:t xml:space="preserve"> 类项目</w:t>
            </w:r>
          </w:p>
        </w:tc>
        <w:tc>
          <w:tcPr>
            <w:tcW w:w="2131"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Ⅲ</w:t>
            </w:r>
            <w:r>
              <w:rPr>
                <w:rFonts w:hint="eastAsia" w:ascii="Times New Roman" w:hAnsi="Times New Roman" w:eastAsia="宋体" w:cs="Times New Roman"/>
                <w:sz w:val="21"/>
                <w:szCs w:val="21"/>
                <w:vertAlign w:val="baseline"/>
                <w:lang w:val="en-US" w:eastAsia="zh-CN"/>
              </w:rPr>
              <w:t xml:space="preserve"> 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2075"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敏感</w:t>
            </w:r>
          </w:p>
        </w:tc>
        <w:tc>
          <w:tcPr>
            <w:tcW w:w="2185"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一</w:t>
            </w:r>
          </w:p>
        </w:tc>
        <w:tc>
          <w:tcPr>
            <w:tcW w:w="2131"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val="en-US" w:eastAsia="zh-CN"/>
              </w:rPr>
              <w:t>一</w:t>
            </w:r>
          </w:p>
        </w:tc>
        <w:tc>
          <w:tcPr>
            <w:tcW w:w="2131"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val="en-US" w:eastAsia="zh-CN"/>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2075"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较敏感</w:t>
            </w:r>
          </w:p>
        </w:tc>
        <w:tc>
          <w:tcPr>
            <w:tcW w:w="2185"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val="en-US" w:eastAsia="zh-CN"/>
              </w:rPr>
              <w:t>一</w:t>
            </w:r>
          </w:p>
        </w:tc>
        <w:tc>
          <w:tcPr>
            <w:tcW w:w="2131"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二</w:t>
            </w:r>
          </w:p>
        </w:tc>
        <w:tc>
          <w:tcPr>
            <w:tcW w:w="21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val="en-US" w:eastAsia="zh-CN"/>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2075"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b/>
                <w:bCs/>
                <w:sz w:val="21"/>
                <w:szCs w:val="21"/>
                <w:vertAlign w:val="baseline"/>
                <w:lang w:val="en-US" w:eastAsia="zh-CN"/>
              </w:rPr>
              <w:t>不敏感</w:t>
            </w:r>
          </w:p>
        </w:tc>
        <w:tc>
          <w:tcPr>
            <w:tcW w:w="2185"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cs="Times New Roman"/>
                <w:sz w:val="21"/>
                <w:szCs w:val="21"/>
                <w:vertAlign w:val="baseline"/>
                <w:lang w:val="en-US" w:eastAsia="zh-CN"/>
              </w:rPr>
              <w:t>二</w:t>
            </w:r>
          </w:p>
        </w:tc>
        <w:tc>
          <w:tcPr>
            <w:tcW w:w="2131" w:type="dxa"/>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三</w:t>
            </w:r>
          </w:p>
        </w:tc>
        <w:tc>
          <w:tcPr>
            <w:tcW w:w="2131"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val="en-US" w:eastAsia="zh-CN"/>
              </w:rPr>
              <w:t>三</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sz w:val="24"/>
          <w:szCs w:val="24"/>
        </w:rPr>
      </w:pPr>
      <w:r>
        <w:rPr>
          <w:rFonts w:hint="eastAsia"/>
          <w:sz w:val="24"/>
          <w:szCs w:val="24"/>
        </w:rPr>
        <w:t>综上，</w:t>
      </w:r>
      <w:r>
        <w:rPr>
          <w:rFonts w:hint="eastAsia"/>
          <w:sz w:val="24"/>
          <w:szCs w:val="24"/>
          <w:lang w:val="en-US" w:eastAsia="zh-CN"/>
        </w:rPr>
        <w:t>本</w:t>
      </w:r>
      <w:r>
        <w:rPr>
          <w:rFonts w:hint="eastAsia"/>
          <w:sz w:val="24"/>
          <w:szCs w:val="24"/>
        </w:rPr>
        <w:t>项目地下水环境影响评价类别为</w:t>
      </w:r>
      <w:r>
        <w:rPr>
          <w:rFonts w:hint="eastAsia"/>
          <w:sz w:val="24"/>
          <w:szCs w:val="24"/>
          <w:lang w:val="en-US" w:eastAsia="zh-CN"/>
        </w:rPr>
        <w:t xml:space="preserve"> </w:t>
      </w:r>
      <w:r>
        <w:rPr>
          <w:rFonts w:hint="default" w:ascii="Times New Roman" w:hAnsi="Times New Roman" w:eastAsia="宋体" w:cs="Times New Roman"/>
          <w:sz w:val="24"/>
          <w:szCs w:val="24"/>
          <w:lang w:val="en-US" w:eastAsia="zh-CN"/>
        </w:rPr>
        <w:t>Ⅱ</w:t>
      </w:r>
      <w:r>
        <w:rPr>
          <w:rFonts w:hint="eastAsia" w:ascii="Times New Roman" w:hAnsi="Times New Roman" w:eastAsia="宋体" w:cs="Times New Roman"/>
          <w:sz w:val="24"/>
          <w:szCs w:val="24"/>
          <w:lang w:val="en-US" w:eastAsia="zh-CN"/>
        </w:rPr>
        <w:t xml:space="preserve"> </w:t>
      </w:r>
      <w:r>
        <w:rPr>
          <w:rFonts w:hint="eastAsia"/>
          <w:sz w:val="24"/>
          <w:szCs w:val="24"/>
        </w:rPr>
        <w:t>类，地下水环境敏感程度为不敏感。因此，</w:t>
      </w:r>
      <w:r>
        <w:rPr>
          <w:rFonts w:hint="eastAsia"/>
          <w:sz w:val="24"/>
          <w:szCs w:val="24"/>
          <w:lang w:val="en-US" w:eastAsia="zh-CN"/>
        </w:rPr>
        <w:t>本</w:t>
      </w:r>
      <w:r>
        <w:rPr>
          <w:rFonts w:hint="eastAsia"/>
          <w:sz w:val="24"/>
          <w:szCs w:val="24"/>
        </w:rPr>
        <w:t>项目地下水评价等级确定为</w:t>
      </w:r>
      <w:r>
        <w:rPr>
          <w:rFonts w:hint="eastAsia"/>
          <w:sz w:val="24"/>
          <w:szCs w:val="24"/>
          <w:lang w:val="en-US" w:eastAsia="zh-CN"/>
        </w:rPr>
        <w:t>三</w:t>
      </w:r>
      <w:r>
        <w:rPr>
          <w:rFonts w:hint="eastAsia"/>
          <w:sz w:val="24"/>
          <w:szCs w:val="24"/>
        </w:rPr>
        <w:t>级。调查评价范围确定项目区评价范围为</w:t>
      </w:r>
      <w:r>
        <w:rPr>
          <w:rFonts w:hint="eastAsia" w:ascii="Times New Roman" w:hAnsi="Times New Roman" w:cs="Times New Roman"/>
          <w:sz w:val="24"/>
          <w:szCs w:val="24"/>
          <w:lang w:val="en-US" w:eastAsia="zh-CN"/>
        </w:rPr>
        <w:t>6</w:t>
      </w:r>
      <w:r>
        <w:rPr>
          <w:rFonts w:hint="default" w:ascii="Times New Roman" w:hAnsi="Times New Roman" w:cs="Times New Roman"/>
          <w:sz w:val="24"/>
          <w:szCs w:val="24"/>
        </w:rPr>
        <w:t>km</w:t>
      </w:r>
      <w:r>
        <w:rPr>
          <w:rFonts w:hint="default" w:ascii="Times New Roman" w:hAnsi="Times New Roman" w:cs="Times New Roman"/>
          <w:sz w:val="24"/>
          <w:szCs w:val="24"/>
          <w:vertAlign w:val="superscript"/>
        </w:rPr>
        <w:t>2</w:t>
      </w:r>
      <w:r>
        <w:rPr>
          <w:rFonts w:hint="eastAsia"/>
          <w:sz w:val="24"/>
          <w:szCs w:val="24"/>
        </w:rPr>
        <w: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b/>
          <w:bCs/>
          <w:color w:val="auto"/>
          <w:sz w:val="28"/>
          <w:szCs w:val="28"/>
        </w:rPr>
        <w:t xml:space="preserve"> </w:t>
      </w:r>
      <w:r>
        <w:rPr>
          <w:rFonts w:hint="eastAsia"/>
          <w:b/>
          <w:bCs/>
          <w:color w:val="auto"/>
          <w:sz w:val="28"/>
          <w:szCs w:val="28"/>
        </w:rPr>
        <w:t>评价范围及保护目标</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rPr>
      </w:pPr>
      <w:r>
        <w:rPr>
          <w:rFonts w:hint="eastAsia" w:ascii="Times New Roman" w:hAnsi="Times New Roman" w:cs="Times New Roman"/>
          <w:b/>
          <w:bCs/>
          <w:sz w:val="24"/>
          <w:szCs w:val="24"/>
          <w:highlight w:val="none"/>
          <w:lang w:val="en-US" w:eastAsia="zh-CN"/>
        </w:rPr>
        <w:t>6.3.2</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1</w:t>
      </w:r>
      <w:r>
        <w:rPr>
          <w:rFonts w:hint="eastAsia" w:ascii="Times New Roman" w:hAnsi="Times New Roman"/>
          <w:b/>
          <w:bCs/>
          <w:sz w:val="24"/>
          <w:szCs w:val="24"/>
          <w:highlight w:val="none"/>
          <w:lang w:val="en-US" w:eastAsia="zh-CN"/>
        </w:rPr>
        <w:t xml:space="preserve"> 评价范围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依据导则要求的地下水环境现状调查评价范围应包括与建设项目相关的地下水环境保护目标，以能说明地下水环境的现状，反映调查评价区地下水基本流场特征，满足地下水环境影响预测和评价为基本原则。当建设项目所在地水文地质条件相对简单，且不满足公式计算法的要求时，可采用查表法确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 HJ610-2016表3，评价等级为</w:t>
      </w:r>
      <w:r>
        <w:rPr>
          <w:rFonts w:hint="eastAsia" w:ascii="Times New Roman" w:hAnsi="Times New Roman"/>
          <w:sz w:val="24"/>
          <w:szCs w:val="24"/>
          <w:lang w:val="en-US" w:eastAsia="zh-CN"/>
        </w:rPr>
        <w:t>三</w:t>
      </w:r>
      <w:r>
        <w:rPr>
          <w:rFonts w:hint="default" w:ascii="Times New Roman" w:hAnsi="Times New Roman"/>
          <w:sz w:val="24"/>
          <w:szCs w:val="24"/>
          <w:lang w:val="en-US" w:eastAsia="zh-CN"/>
        </w:rPr>
        <w:t>级的地下水环境现状调查评价范围为</w:t>
      </w:r>
      <w:r>
        <w:rPr>
          <w:rFonts w:hint="default" w:ascii="Times New Roman" w:hAnsi="Times New Roman" w:cs="Times New Roman"/>
          <w:sz w:val="24"/>
          <w:szCs w:val="24"/>
          <w:lang w:val="en-US" w:eastAsia="zh-CN"/>
        </w:rPr>
        <w:t>≤</w:t>
      </w:r>
      <w:r>
        <w:rPr>
          <w:rFonts w:hint="default" w:ascii="Times New Roman" w:hAnsi="Times New Roman"/>
          <w:sz w:val="24"/>
          <w:szCs w:val="24"/>
          <w:lang w:val="en-US" w:eastAsia="zh-CN"/>
        </w:rPr>
        <w:t>6km</w:t>
      </w:r>
      <w:r>
        <w:rPr>
          <w:rFonts w:hint="default" w:ascii="Times New Roman" w:hAnsi="Times New Roman"/>
          <w:sz w:val="24"/>
          <w:szCs w:val="24"/>
          <w:vertAlign w:val="superscript"/>
          <w:lang w:val="en-US" w:eastAsia="zh-CN"/>
        </w:rPr>
        <w:t>2</w:t>
      </w:r>
      <w:r>
        <w:rPr>
          <w:rFonts w:hint="default" w:ascii="Times New Roman" w:hAnsi="Times New Roman"/>
          <w:sz w:val="24"/>
          <w:szCs w:val="24"/>
          <w:lang w:val="en-US" w:eastAsia="zh-CN"/>
        </w:rPr>
        <w:t>。参照地下水的流向和影响范围，结合当地的水文地质条件，在满足</w:t>
      </w:r>
      <w:r>
        <w:rPr>
          <w:rFonts w:hint="eastAsia" w:ascii="Times New Roman" w:hAnsi="Times New Roman"/>
          <w:sz w:val="24"/>
          <w:szCs w:val="24"/>
          <w:lang w:val="en-US" w:eastAsia="zh-CN"/>
        </w:rPr>
        <w:t>三</w:t>
      </w:r>
      <w:r>
        <w:rPr>
          <w:rFonts w:hint="default" w:ascii="Times New Roman" w:hAnsi="Times New Roman"/>
          <w:sz w:val="24"/>
          <w:szCs w:val="24"/>
          <w:lang w:val="en-US" w:eastAsia="zh-CN"/>
        </w:rPr>
        <w:t>级评价查表法要求的基础上对本项目地下水环境现状调查与评价的工作范围进行了确定：以项目区为中心，大致沿浅层地下水由</w:t>
      </w:r>
      <w:r>
        <w:rPr>
          <w:rFonts w:hint="eastAsia" w:ascii="Times New Roman" w:hAnsi="Times New Roman"/>
          <w:sz w:val="24"/>
          <w:szCs w:val="24"/>
          <w:lang w:val="en-US" w:eastAsia="zh-CN"/>
        </w:rPr>
        <w:t>西</w:t>
      </w:r>
      <w:r>
        <w:rPr>
          <w:rFonts w:hint="default" w:ascii="Times New Roman" w:hAnsi="Times New Roman"/>
          <w:sz w:val="24"/>
          <w:szCs w:val="24"/>
          <w:lang w:val="en-US" w:eastAsia="zh-CN"/>
        </w:rPr>
        <w:t>南向</w:t>
      </w:r>
      <w:r>
        <w:rPr>
          <w:rFonts w:hint="eastAsia" w:ascii="Times New Roman" w:hAnsi="Times New Roman"/>
          <w:sz w:val="24"/>
          <w:szCs w:val="24"/>
          <w:lang w:val="en-US" w:eastAsia="zh-CN"/>
        </w:rPr>
        <w:t>东</w:t>
      </w:r>
      <w:r>
        <w:rPr>
          <w:rFonts w:hint="default" w:ascii="Times New Roman" w:hAnsi="Times New Roman"/>
          <w:sz w:val="24"/>
          <w:szCs w:val="24"/>
          <w:lang w:val="en-US" w:eastAsia="zh-CN"/>
        </w:rPr>
        <w:t>北径流的方向，评价区范围为</w:t>
      </w:r>
      <w:r>
        <w:rPr>
          <w:rFonts w:hint="eastAsia" w:ascii="Times New Roman" w:hAnsi="Times New Roman"/>
          <w:sz w:val="24"/>
          <w:szCs w:val="24"/>
          <w:lang w:val="en-US" w:eastAsia="zh-CN"/>
        </w:rPr>
        <w:t>6</w:t>
      </w:r>
      <w:r>
        <w:rPr>
          <w:rFonts w:hint="default" w:ascii="Times New Roman" w:hAnsi="Times New Roman"/>
          <w:sz w:val="24"/>
          <w:szCs w:val="24"/>
          <w:lang w:val="en-US" w:eastAsia="zh-CN"/>
        </w:rPr>
        <w:t>km</w:t>
      </w:r>
      <w:r>
        <w:rPr>
          <w:rFonts w:hint="default" w:ascii="Times New Roman" w:hAnsi="Times New Roman"/>
          <w:sz w:val="24"/>
          <w:szCs w:val="24"/>
          <w:vertAlign w:val="superscript"/>
          <w:lang w:val="en-US" w:eastAsia="zh-CN"/>
        </w:rPr>
        <w:t>2</w:t>
      </w:r>
      <w:r>
        <w:rPr>
          <w:rFonts w:hint="default" w:ascii="Times New Roman" w:hAnsi="Times New Roman"/>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default"/>
          <w:lang w:val="en-US"/>
        </w:rPr>
      </w:pPr>
      <w:r>
        <w:rPr>
          <w:rFonts w:hint="eastAsia" w:ascii="Times New Roman" w:hAnsi="Times New Roman" w:cs="Times New Roman"/>
          <w:b/>
          <w:bCs/>
          <w:sz w:val="24"/>
          <w:szCs w:val="24"/>
          <w:highlight w:val="none"/>
          <w:lang w:val="en-US" w:eastAsia="zh-CN"/>
        </w:rPr>
        <w:t>6.3</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2</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2</w:t>
      </w:r>
      <w:r>
        <w:rPr>
          <w:rFonts w:hint="eastAsia" w:ascii="Times New Roman" w:hAnsi="Times New Roman"/>
          <w:b/>
          <w:bCs/>
          <w:sz w:val="24"/>
          <w:szCs w:val="24"/>
          <w:highlight w:val="none"/>
          <w:lang w:val="en-US" w:eastAsia="zh-CN"/>
        </w:rPr>
        <w:t xml:space="preserve"> 保护目标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rPr>
      </w:pPr>
      <w:r>
        <w:rPr>
          <w:rFonts w:hint="eastAsia"/>
          <w:sz w:val="24"/>
          <w:szCs w:val="24"/>
        </w:rPr>
        <w:t>根据</w:t>
      </w:r>
      <w:r>
        <w:rPr>
          <w:rFonts w:hint="eastAsia"/>
          <w:sz w:val="24"/>
          <w:szCs w:val="24"/>
          <w:lang w:val="en-US" w:eastAsia="zh-CN"/>
        </w:rPr>
        <w:t>本</w:t>
      </w:r>
      <w:r>
        <w:rPr>
          <w:rFonts w:hint="eastAsia"/>
          <w:sz w:val="24"/>
          <w:szCs w:val="24"/>
        </w:rPr>
        <w:t>项目周围水井使用情况、地形地貌及水文地质条件综合分析，确定本项目环境保护目标为评价区域内的民用井及周围村庄居民的饮用水水井，项目区内无集中饮用水水源地。</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b/>
          <w:bCs/>
          <w:color w:val="auto"/>
          <w:sz w:val="28"/>
          <w:szCs w:val="28"/>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b/>
          <w:bCs/>
          <w:color w:val="auto"/>
          <w:sz w:val="28"/>
          <w:szCs w:val="28"/>
        </w:rPr>
        <w:t xml:space="preserve"> </w:t>
      </w:r>
      <w:r>
        <w:rPr>
          <w:rFonts w:hint="eastAsia"/>
          <w:b/>
          <w:bCs/>
          <w:color w:val="auto"/>
          <w:sz w:val="28"/>
          <w:szCs w:val="28"/>
        </w:rPr>
        <w:t>地下水环境现状调查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为了掌握评价区环境状况，本次工作对园区及周边进行了综合环境状况调查。主要调查周边村庄分布情况、饮用水水源、居民从事的经济活动、项目区用地现状、地表水资源、污染源情况等。</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（1）综合环境状况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目前评价区内有</w:t>
      </w:r>
      <w:r>
        <w:rPr>
          <w:rFonts w:hint="eastAsia" w:ascii="Times New Roman" w:hAnsi="Times New Roman"/>
          <w:sz w:val="24"/>
          <w:szCs w:val="24"/>
          <w:lang w:val="en-US" w:eastAsia="zh-CN"/>
        </w:rPr>
        <w:t>无</w:t>
      </w:r>
      <w:r>
        <w:rPr>
          <w:rFonts w:hint="default" w:ascii="Times New Roman" w:hAnsi="Times New Roman"/>
          <w:sz w:val="24"/>
          <w:szCs w:val="24"/>
          <w:lang w:val="en-US" w:eastAsia="zh-CN"/>
        </w:rPr>
        <w:t>村庄</w:t>
      </w:r>
      <w:r>
        <w:rPr>
          <w:rFonts w:hint="eastAsia" w:ascii="Times New Roman" w:hAnsi="Times New Roman"/>
          <w:sz w:val="24"/>
          <w:szCs w:val="24"/>
          <w:lang w:val="en-US" w:eastAsia="zh-CN"/>
        </w:rPr>
        <w:t>，仅有</w:t>
      </w:r>
      <w:r>
        <w:rPr>
          <w:rFonts w:hint="default" w:ascii="Times New Roman" w:hAnsi="Times New Roman"/>
          <w:sz w:val="24"/>
          <w:szCs w:val="24"/>
          <w:lang w:val="en-US" w:eastAsia="zh-CN"/>
        </w:rPr>
        <w:t>园区内企业。项目区地势较平坦，</w:t>
      </w:r>
      <w:r>
        <w:rPr>
          <w:rFonts w:hint="eastAsia" w:ascii="Times New Roman" w:hAnsi="Times New Roman"/>
          <w:sz w:val="24"/>
          <w:szCs w:val="24"/>
          <w:lang w:val="en-US" w:eastAsia="zh-CN"/>
        </w:rPr>
        <w:t>锡</w:t>
      </w:r>
      <w:r>
        <w:rPr>
          <w:rFonts w:hint="default" w:ascii="Times New Roman" w:hAnsi="Times New Roman"/>
          <w:sz w:val="24"/>
          <w:szCs w:val="24"/>
          <w:lang w:val="en-US" w:eastAsia="zh-CN"/>
        </w:rPr>
        <w:t>南高</w:t>
      </w:r>
      <w:r>
        <w:rPr>
          <w:rFonts w:hint="eastAsia" w:ascii="Times New Roman" w:hAnsi="Times New Roman"/>
          <w:sz w:val="24"/>
          <w:szCs w:val="24"/>
          <w:lang w:val="en-US" w:eastAsia="zh-CN"/>
        </w:rPr>
        <w:t>东</w:t>
      </w:r>
      <w:r>
        <w:rPr>
          <w:rFonts w:hint="default" w:ascii="Times New Roman" w:hAnsi="Times New Roman"/>
          <w:sz w:val="24"/>
          <w:szCs w:val="24"/>
          <w:lang w:val="en-US" w:eastAsia="zh-CN"/>
        </w:rPr>
        <w:t>北低，海拔高度在17～22m。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调查区内</w:t>
      </w:r>
      <w:r>
        <w:rPr>
          <w:rFonts w:hint="eastAsia" w:ascii="Times New Roman" w:hAnsi="Times New Roman"/>
          <w:sz w:val="24"/>
          <w:szCs w:val="24"/>
          <w:lang w:val="en-US" w:eastAsia="zh-CN"/>
        </w:rPr>
        <w:t>企业员工</w:t>
      </w:r>
      <w:r>
        <w:rPr>
          <w:rFonts w:hint="default" w:ascii="Times New Roman" w:hAnsi="Times New Roman"/>
          <w:sz w:val="24"/>
          <w:szCs w:val="24"/>
          <w:lang w:val="en-US" w:eastAsia="zh-CN"/>
        </w:rPr>
        <w:t>饮用水及生活用水为自来水，</w:t>
      </w:r>
      <w:r>
        <w:rPr>
          <w:rFonts w:hint="eastAsia" w:ascii="Times New Roman" w:hAnsi="Times New Roman"/>
          <w:sz w:val="24"/>
          <w:szCs w:val="24"/>
          <w:lang w:val="en-US" w:eastAsia="zh-CN"/>
        </w:rPr>
        <w:t>为市政管网供水</w:t>
      </w:r>
      <w:r>
        <w:rPr>
          <w:rFonts w:hint="default" w:ascii="Times New Roman" w:hAnsi="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（2）污染源情况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工业污染源：项目区位于</w:t>
      </w:r>
      <w:r>
        <w:rPr>
          <w:rFonts w:hint="eastAsia" w:ascii="Times New Roman" w:hAnsi="Times New Roman"/>
          <w:sz w:val="24"/>
          <w:szCs w:val="24"/>
          <w:lang w:val="en-US" w:eastAsia="zh-CN"/>
        </w:rPr>
        <w:t>山东博汇纸业股份</w:t>
      </w:r>
      <w:r>
        <w:rPr>
          <w:rFonts w:hint="default" w:ascii="Times New Roman" w:hAnsi="Times New Roman"/>
          <w:sz w:val="24"/>
          <w:szCs w:val="24"/>
          <w:lang w:val="en-US" w:eastAsia="zh-CN"/>
        </w:rPr>
        <w:t>有限公司厂区，周围为</w:t>
      </w:r>
      <w:r>
        <w:rPr>
          <w:rFonts w:hint="eastAsia" w:ascii="Times New Roman" w:hAnsi="Times New Roman"/>
          <w:sz w:val="24"/>
          <w:szCs w:val="24"/>
          <w:lang w:val="en-US" w:eastAsia="zh-CN"/>
        </w:rPr>
        <w:t>山东海利化工股份有限公司厂区</w:t>
      </w:r>
      <w:r>
        <w:rPr>
          <w:rFonts w:hint="default" w:ascii="Times New Roman" w:hAnsi="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农业污染源：区域内农业污染源主要来自农药和化肥。农田施用的农药，大多为含有有机磷、有机氯两种成分的剧毒农药，施用的化肥主要是氮肥、磷肥、钾肥及复合肥等，这些物质在土壤中残留时间长，不易分解，尤其对粘性土和富有机质土壤残留期更长，受到大气降水的冲刷，这些污染组分可能会进入地表水和地下水，对其构成威胁。</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生活污染源：随着城镇的发展，人口数量不断增加，生活污水排放量不断增加，同时人类生活产生的生活垃圾也在与日俱增，这些都对周围环境造成不利影响。据了解，</w:t>
      </w:r>
      <w:r>
        <w:rPr>
          <w:rFonts w:hint="eastAsia" w:ascii="Times New Roman" w:hAnsi="Times New Roman"/>
          <w:sz w:val="24"/>
          <w:szCs w:val="24"/>
          <w:lang w:val="en-US" w:eastAsia="zh-CN"/>
        </w:rPr>
        <w:t>马桥</w:t>
      </w:r>
      <w:r>
        <w:rPr>
          <w:rFonts w:hint="default" w:ascii="Times New Roman" w:hAnsi="Times New Roman"/>
          <w:sz w:val="24"/>
          <w:szCs w:val="24"/>
          <w:lang w:val="en-US" w:eastAsia="zh-CN"/>
        </w:rPr>
        <w:t>镇在各村已经设置垃圾桶，有政府派出垃圾车定期清理村民生活垃圾。</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4</w:t>
      </w:r>
      <w:r>
        <w:rPr>
          <w:b/>
          <w:bCs/>
          <w:color w:val="auto"/>
          <w:sz w:val="28"/>
          <w:szCs w:val="28"/>
        </w:rPr>
        <w:t xml:space="preserve"> </w:t>
      </w:r>
      <w:r>
        <w:rPr>
          <w:rFonts w:hint="eastAsia"/>
          <w:b/>
          <w:bCs/>
          <w:color w:val="auto"/>
          <w:sz w:val="28"/>
          <w:szCs w:val="28"/>
        </w:rPr>
        <w:t>评价区水文地质条件</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rPr>
      </w:pPr>
      <w:r>
        <w:rPr>
          <w:rFonts w:hint="eastAsia" w:ascii="Times New Roman" w:hAnsi="Times New Roman" w:cs="Times New Roman"/>
          <w:b/>
          <w:bCs/>
          <w:sz w:val="24"/>
          <w:szCs w:val="24"/>
          <w:highlight w:val="none"/>
          <w:lang w:val="en-US" w:eastAsia="zh-CN"/>
        </w:rPr>
        <w:t>6.3.4</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1</w:t>
      </w:r>
      <w:r>
        <w:rPr>
          <w:rFonts w:hint="eastAsia" w:ascii="Times New Roman" w:hAnsi="Times New Roman"/>
          <w:b/>
          <w:bCs/>
          <w:sz w:val="24"/>
          <w:szCs w:val="24"/>
          <w:highlight w:val="none"/>
          <w:lang w:val="en-US" w:eastAsia="zh-CN"/>
        </w:rPr>
        <w:t xml:space="preserve"> 地质、水文地质条件</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1、地层岩性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淄博市勘察测绘研究院所</w:t>
      </w:r>
      <w:r>
        <w:rPr>
          <w:rFonts w:hint="eastAsia" w:ascii="Times New Roman" w:hAnsi="Times New Roman"/>
          <w:sz w:val="24"/>
          <w:szCs w:val="24"/>
          <w:lang w:val="en-US" w:eastAsia="zh-CN"/>
        </w:rPr>
        <w:t>于</w:t>
      </w:r>
      <w:r>
        <w:rPr>
          <w:rFonts w:hint="default" w:ascii="Times New Roman" w:hAnsi="Times New Roman"/>
          <w:sz w:val="24"/>
          <w:szCs w:val="24"/>
          <w:lang w:val="en-US" w:eastAsia="zh-CN"/>
        </w:rPr>
        <w:t>2008年12月做的《山东天源热电公司2×30万千瓦级“上大压小”扩建项目灰渣场岩土工程勘察报告》，灰渣场位于工业集中</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区内，由于项目区属于黄河下游冲洪积平原区，地形起伏变化较小，该勘察报告</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可以表明工业集中区场址地层情况。具体见图6.2-3。</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项目位于灰渣场东</w:t>
      </w:r>
      <w:r>
        <w:rPr>
          <w:rFonts w:hint="eastAsia" w:ascii="Times New Roman" w:hAnsi="Times New Roman"/>
          <w:sz w:val="24"/>
          <w:szCs w:val="24"/>
          <w:lang w:val="en-US" w:eastAsia="zh-CN"/>
        </w:rPr>
        <w:t>南</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侧</w:t>
      </w:r>
      <w:r>
        <w:rPr>
          <w:rFonts w:hint="eastAsia" w:ascii="Times New Roman" w:hAnsi="Times New Roman"/>
          <w:sz w:val="24"/>
          <w:szCs w:val="24"/>
          <w:lang w:val="en-US" w:eastAsia="zh-CN"/>
        </w:rPr>
        <w:t>1000</w:t>
      </w:r>
      <w:r>
        <w:rPr>
          <w:rFonts w:hint="default" w:ascii="Times New Roman" w:hAnsi="Times New Roman"/>
          <w:sz w:val="24"/>
          <w:szCs w:val="24"/>
          <w:lang w:val="en-US" w:eastAsia="zh-CN"/>
        </w:rPr>
        <w:t>米处，两个厂区属于同一个水文地质单元，因此类比灰渣场相关勘察资料具有合理性。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根据《山东天源热电公司2×30万千瓦级“上大压小”扩建项目灰渣场岩土</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工程勘察报告》，勘探深度内地基土由上而下可分为8层，分述如下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第</w:t>
      </w:r>
      <w:r>
        <w:rPr>
          <w:rFonts w:hint="eastAsia" w:ascii="Times New Roman" w:hAnsi="Times New Roman"/>
          <w:sz w:val="24"/>
          <w:szCs w:val="24"/>
          <w:lang w:val="en-US" w:eastAsia="zh-CN"/>
        </w:rPr>
        <w:t>1</w:t>
      </w:r>
      <w:r>
        <w:rPr>
          <w:rFonts w:hint="default" w:ascii="Times New Roman" w:hAnsi="Times New Roman"/>
          <w:sz w:val="24"/>
          <w:szCs w:val="24"/>
          <w:lang w:val="en-US" w:eastAsia="zh-CN"/>
        </w:rPr>
        <w:t>层种植土（Q</w:t>
      </w:r>
      <w:r>
        <w:rPr>
          <w:rFonts w:hint="default" w:ascii="Times New Roman" w:hAnsi="Times New Roman"/>
          <w:sz w:val="24"/>
          <w:szCs w:val="24"/>
          <w:vertAlign w:val="subscript"/>
          <w:lang w:val="en-US" w:eastAsia="zh-CN"/>
        </w:rPr>
        <w:t>4</w:t>
      </w:r>
      <w:r>
        <w:rPr>
          <w:rFonts w:hint="default" w:ascii="Times New Roman" w:hAnsi="Times New Roman"/>
          <w:sz w:val="24"/>
          <w:szCs w:val="24"/>
          <w:vertAlign w:val="superscript"/>
          <w:lang w:val="en-US" w:eastAsia="zh-CN"/>
        </w:rPr>
        <w:t>ml</w:t>
      </w:r>
      <w:r>
        <w:rPr>
          <w:rFonts w:hint="default" w:ascii="Times New Roman" w:hAnsi="Times New Roman"/>
          <w:sz w:val="24"/>
          <w:szCs w:val="24"/>
          <w:lang w:val="en-US" w:eastAsia="zh-CN"/>
        </w:rPr>
        <w:t>）：黄褐色，松散，为植物种植层。厚度约0.50～0.80m，层底标高为10.27～11.27m。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default" w:ascii="Times New Roman" w:hAnsi="Times New Roman"/>
          <w:sz w:val="24"/>
          <w:szCs w:val="24"/>
          <w:lang w:val="en-US" w:eastAsia="zh-CN"/>
        </w:rPr>
        <w:t>第</w:t>
      </w:r>
      <w:r>
        <w:rPr>
          <w:rFonts w:hint="eastAsia" w:ascii="Times New Roman" w:hAnsi="Times New Roman"/>
          <w:sz w:val="24"/>
          <w:szCs w:val="24"/>
          <w:lang w:val="en-US" w:eastAsia="zh-CN"/>
        </w:rPr>
        <w:t>2</w:t>
      </w:r>
      <w:r>
        <w:rPr>
          <w:rFonts w:hint="default" w:ascii="Times New Roman" w:hAnsi="Times New Roman"/>
          <w:sz w:val="24"/>
          <w:szCs w:val="24"/>
          <w:lang w:val="en-US" w:eastAsia="zh-CN"/>
        </w:rPr>
        <w:t>层粉质粘土（Q</w:t>
      </w:r>
      <w:r>
        <w:rPr>
          <w:rFonts w:hint="default" w:ascii="Times New Roman" w:hAnsi="Times New Roman"/>
          <w:sz w:val="24"/>
          <w:szCs w:val="24"/>
          <w:vertAlign w:val="subscript"/>
          <w:lang w:val="en-US" w:eastAsia="zh-CN"/>
        </w:rPr>
        <w:t>3</w:t>
      </w:r>
      <w:r>
        <w:rPr>
          <w:rFonts w:hint="default" w:ascii="Times New Roman" w:hAnsi="Times New Roman"/>
          <w:sz w:val="24"/>
          <w:szCs w:val="24"/>
          <w:vertAlign w:val="superscript"/>
          <w:lang w:val="en-US" w:eastAsia="zh-CN"/>
        </w:rPr>
        <w:t>al</w:t>
      </w:r>
      <w:r>
        <w:rPr>
          <w:rFonts w:hint="default" w:ascii="Times New Roman" w:hAnsi="Times New Roman"/>
          <w:sz w:val="24"/>
          <w:szCs w:val="24"/>
          <w:lang w:val="en-US" w:eastAsia="zh-CN"/>
        </w:rPr>
        <w:t xml:space="preserve">）：黄褐色，可塑～硬塑状态，饱和，无摇震反应，稍有光滑，韧性中，干强度中等。含铁锰氧化物锈斑，少量细小姜石及淡水螺壳碎片。层厚1.50～2.10 m，层底埋深2.20～2.80 m，层底标高为8.42～9.46m。 </w:t>
      </w:r>
      <w:r>
        <w:rPr>
          <w:rFonts w:hint="eastAsia" w:ascii="Times New Roman" w:hAnsi="Times New Roman"/>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第</w:t>
      </w:r>
      <w:r>
        <w:rPr>
          <w:rFonts w:hint="eastAsia" w:ascii="Times New Roman" w:hAnsi="Times New Roman"/>
          <w:sz w:val="24"/>
          <w:szCs w:val="24"/>
          <w:lang w:val="en-US" w:eastAsia="zh-CN"/>
        </w:rPr>
        <w:t>3</w:t>
      </w:r>
      <w:r>
        <w:rPr>
          <w:rFonts w:hint="default" w:ascii="Times New Roman" w:hAnsi="Times New Roman"/>
          <w:sz w:val="24"/>
          <w:szCs w:val="24"/>
          <w:lang w:val="en-US" w:eastAsia="zh-CN"/>
        </w:rPr>
        <w:t>层粉土（Q</w:t>
      </w:r>
      <w:r>
        <w:rPr>
          <w:rFonts w:hint="default" w:ascii="Times New Roman" w:hAnsi="Times New Roman"/>
          <w:sz w:val="24"/>
          <w:szCs w:val="24"/>
          <w:vertAlign w:val="subscript"/>
          <w:lang w:val="en-US" w:eastAsia="zh-CN"/>
        </w:rPr>
        <w:t>3</w:t>
      </w:r>
      <w:r>
        <w:rPr>
          <w:rFonts w:hint="default" w:ascii="Times New Roman" w:hAnsi="Times New Roman"/>
          <w:sz w:val="24"/>
          <w:szCs w:val="24"/>
          <w:vertAlign w:val="superscript"/>
          <w:lang w:val="en-US" w:eastAsia="zh-CN"/>
        </w:rPr>
        <w:t>al</w:t>
      </w:r>
      <w:r>
        <w:rPr>
          <w:rFonts w:hint="default" w:ascii="Times New Roman" w:hAnsi="Times New Roman"/>
          <w:sz w:val="24"/>
          <w:szCs w:val="24"/>
          <w:lang w:val="en-US" w:eastAsia="zh-CN"/>
        </w:rPr>
        <w:t>）：黄色，密实，湿，摇震反应不明显，韧性低，干强度低，无光泽反应。含少量铁锰氧化物，土质均匀。层厚1.00～1.50 m，层底埋深为3.40～4.00m，相应标高为7.12～8.20 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第</w:t>
      </w:r>
      <w:r>
        <w:rPr>
          <w:rFonts w:hint="eastAsia" w:ascii="Times New Roman" w:hAnsi="Times New Roman"/>
          <w:sz w:val="24"/>
          <w:szCs w:val="24"/>
          <w:lang w:val="en-US" w:eastAsia="zh-CN"/>
        </w:rPr>
        <w:t>4</w:t>
      </w:r>
      <w:r>
        <w:rPr>
          <w:rFonts w:hint="default" w:ascii="Times New Roman" w:hAnsi="Times New Roman"/>
          <w:sz w:val="24"/>
          <w:szCs w:val="24"/>
          <w:lang w:val="en-US" w:eastAsia="zh-CN"/>
        </w:rPr>
        <w:t>层粉质粘土（Q</w:t>
      </w:r>
      <w:r>
        <w:rPr>
          <w:rFonts w:hint="default" w:ascii="Times New Roman" w:hAnsi="Times New Roman"/>
          <w:sz w:val="24"/>
          <w:szCs w:val="24"/>
          <w:vertAlign w:val="subscript"/>
          <w:lang w:val="en-US" w:eastAsia="zh-CN"/>
        </w:rPr>
        <w:t>3</w:t>
      </w:r>
      <w:r>
        <w:rPr>
          <w:rFonts w:hint="default" w:ascii="Times New Roman" w:hAnsi="Times New Roman"/>
          <w:sz w:val="24"/>
          <w:szCs w:val="24"/>
          <w:vertAlign w:val="superscript"/>
          <w:lang w:val="en-US" w:eastAsia="zh-CN"/>
        </w:rPr>
        <w:t>al</w:t>
      </w:r>
      <w:r>
        <w:rPr>
          <w:rFonts w:hint="default" w:ascii="Times New Roman" w:hAnsi="Times New Roman"/>
          <w:sz w:val="24"/>
          <w:szCs w:val="24"/>
          <w:lang w:val="en-US" w:eastAsia="zh-CN"/>
        </w:rPr>
        <w:t>）：灰褐色～黄色，可塑～硬塑状态，饱和，无摇震反应，稍有光滑，韧性及干强度中等。含铁锰氧化物斑点、上部见少量有机质及淡水螺壳碎片，少量细小姜石。层厚4.80～6.20 m，层底埋深为8.60～10.20 m，相应标高为1.60～3.10 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第</w:t>
      </w:r>
      <w:r>
        <w:rPr>
          <w:rFonts w:hint="eastAsia" w:ascii="Times New Roman" w:hAnsi="Times New Roman"/>
          <w:sz w:val="24"/>
          <w:szCs w:val="24"/>
          <w:lang w:val="en-US" w:eastAsia="zh-CN"/>
        </w:rPr>
        <w:t>5</w:t>
      </w:r>
      <w:r>
        <w:rPr>
          <w:rFonts w:hint="default" w:ascii="Times New Roman" w:hAnsi="Times New Roman"/>
          <w:sz w:val="24"/>
          <w:szCs w:val="24"/>
          <w:lang w:val="en-US" w:eastAsia="zh-CN"/>
        </w:rPr>
        <w:t>层粉土（Q</w:t>
      </w:r>
      <w:r>
        <w:rPr>
          <w:rFonts w:hint="default" w:ascii="Times New Roman" w:hAnsi="Times New Roman"/>
          <w:sz w:val="24"/>
          <w:szCs w:val="24"/>
          <w:vertAlign w:val="subscript"/>
          <w:lang w:val="en-US" w:eastAsia="zh-CN"/>
        </w:rPr>
        <w:t>3</w:t>
      </w:r>
      <w:r>
        <w:rPr>
          <w:rFonts w:hint="default" w:ascii="Times New Roman" w:hAnsi="Times New Roman"/>
          <w:sz w:val="24"/>
          <w:szCs w:val="24"/>
          <w:vertAlign w:val="superscript"/>
          <w:lang w:val="en-US" w:eastAsia="zh-CN"/>
        </w:rPr>
        <w:t>al</w:t>
      </w:r>
      <w:r>
        <w:rPr>
          <w:rFonts w:hint="default" w:ascii="Times New Roman" w:hAnsi="Times New Roman"/>
          <w:sz w:val="24"/>
          <w:szCs w:val="24"/>
          <w:lang w:val="en-US" w:eastAsia="zh-CN"/>
        </w:rPr>
        <w:t>）：黄色,密实，湿，摇震反应中等～迅速，无光泽反应，</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韧性低，干强度低。含铁锈条纹及云母碎片，少量细粒姜石，夹粘性土薄层。层</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厚2.60～4.00m，层底埋深为12.90～13.20 m，相应标高-1.85～</w:t>
      </w:r>
      <w:r>
        <w:rPr>
          <w:rFonts w:hint="eastAsia" w:ascii="Times New Roman" w:hAnsi="Times New Roman"/>
          <w:sz w:val="24"/>
          <w:szCs w:val="24"/>
          <w:lang w:val="en-US" w:eastAsia="zh-CN"/>
        </w:rPr>
        <w:t>-</w:t>
      </w:r>
      <w:r>
        <w:rPr>
          <w:rFonts w:hint="default" w:ascii="Times New Roman" w:hAnsi="Times New Roman"/>
          <w:sz w:val="24"/>
          <w:szCs w:val="24"/>
          <w:lang w:val="en-US" w:eastAsia="zh-CN"/>
        </w:rPr>
        <w:t>0.24 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第</w:t>
      </w:r>
      <w:r>
        <w:rPr>
          <w:rFonts w:hint="eastAsia" w:ascii="Times New Roman" w:hAnsi="Times New Roman"/>
          <w:sz w:val="24"/>
          <w:szCs w:val="24"/>
          <w:lang w:val="en-US" w:eastAsia="zh-CN"/>
        </w:rPr>
        <w:t>6</w:t>
      </w:r>
      <w:r>
        <w:rPr>
          <w:rFonts w:hint="default" w:ascii="Times New Roman" w:hAnsi="Times New Roman"/>
          <w:sz w:val="24"/>
          <w:szCs w:val="24"/>
          <w:lang w:val="en-US" w:eastAsia="zh-CN"/>
        </w:rPr>
        <w:t>层粉质粘土（Q</w:t>
      </w:r>
      <w:r>
        <w:rPr>
          <w:rFonts w:hint="default" w:ascii="Times New Roman" w:hAnsi="Times New Roman"/>
          <w:sz w:val="24"/>
          <w:szCs w:val="24"/>
          <w:vertAlign w:val="subscript"/>
          <w:lang w:val="en-US" w:eastAsia="zh-CN"/>
        </w:rPr>
        <w:t>3</w:t>
      </w:r>
      <w:r>
        <w:rPr>
          <w:rFonts w:hint="default" w:ascii="Times New Roman" w:hAnsi="Times New Roman"/>
          <w:sz w:val="24"/>
          <w:szCs w:val="24"/>
          <w:vertAlign w:val="superscript"/>
          <w:lang w:val="en-US" w:eastAsia="zh-CN"/>
        </w:rPr>
        <w:t>al</w:t>
      </w:r>
      <w:r>
        <w:rPr>
          <w:rFonts w:hint="default" w:ascii="Times New Roman" w:hAnsi="Times New Roman"/>
          <w:sz w:val="24"/>
          <w:szCs w:val="24"/>
          <w:lang w:val="en-US" w:eastAsia="zh-CN"/>
        </w:rPr>
        <w:t>）：浅棕黄色，可塑～硬塑状态，饱和，无摇震反应</w:t>
      </w:r>
      <w:r>
        <w:rPr>
          <w:rFonts w:hint="eastAsia" w:ascii="Times New Roman" w:hAnsi="Times New Roman"/>
          <w:sz w:val="24"/>
          <w:szCs w:val="24"/>
          <w:lang w:val="en-US" w:eastAsia="zh-CN"/>
        </w:rPr>
        <w:t>，</w:t>
      </w:r>
      <w:r>
        <w:rPr>
          <w:rFonts w:hint="default" w:ascii="Times New Roman" w:hAnsi="Times New Roman"/>
          <w:sz w:val="24"/>
          <w:szCs w:val="24"/>
          <w:lang w:val="en-US" w:eastAsia="zh-CN"/>
        </w:rPr>
        <w:t>稍有光滑，韧性及干强度中等。含铁锈斑点，少量大块状姜石。层厚1.10～2.00m，层底埋深为13.20～14.50m，相应标高为-3.05～-1.80 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第</w:t>
      </w:r>
      <w:r>
        <w:rPr>
          <w:rFonts w:hint="eastAsia" w:ascii="Times New Roman" w:hAnsi="Times New Roman"/>
          <w:sz w:val="24"/>
          <w:szCs w:val="24"/>
          <w:lang w:val="en-US" w:eastAsia="zh-CN"/>
        </w:rPr>
        <w:t>7</w:t>
      </w:r>
      <w:r>
        <w:rPr>
          <w:rFonts w:hint="default" w:ascii="Times New Roman" w:hAnsi="Times New Roman"/>
          <w:sz w:val="24"/>
          <w:szCs w:val="24"/>
          <w:lang w:val="en-US" w:eastAsia="zh-CN"/>
        </w:rPr>
        <w:t>层粉土（Q</w:t>
      </w:r>
      <w:r>
        <w:rPr>
          <w:rFonts w:hint="default" w:ascii="Times New Roman" w:hAnsi="Times New Roman"/>
          <w:sz w:val="24"/>
          <w:szCs w:val="24"/>
          <w:vertAlign w:val="subscript"/>
          <w:lang w:val="en-US" w:eastAsia="zh-CN"/>
        </w:rPr>
        <w:t>3</w:t>
      </w:r>
      <w:r>
        <w:rPr>
          <w:rFonts w:hint="default" w:ascii="Times New Roman" w:hAnsi="Times New Roman"/>
          <w:sz w:val="24"/>
          <w:szCs w:val="24"/>
          <w:vertAlign w:val="superscript"/>
          <w:lang w:val="en-US" w:eastAsia="zh-CN"/>
        </w:rPr>
        <w:t>al</w:t>
      </w:r>
      <w:r>
        <w:rPr>
          <w:rFonts w:hint="default" w:ascii="Times New Roman" w:hAnsi="Times New Roman"/>
          <w:sz w:val="24"/>
          <w:szCs w:val="24"/>
          <w:lang w:val="en-US" w:eastAsia="zh-CN"/>
        </w:rPr>
        <w:t>）：黄色，湿，密实，摇震反应迅速，无光泽反应，韧性低，干强度低。含铁锈条纹，云母碎片，土质均匀。层厚1.60～3.20 m，层底埋深为15.50～16.80 m，相应标高为-5.80～-3.94 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第</w:t>
      </w:r>
      <w:r>
        <w:rPr>
          <w:rFonts w:hint="eastAsia" w:ascii="Times New Roman" w:hAnsi="Times New Roman"/>
          <w:sz w:val="24"/>
          <w:szCs w:val="24"/>
          <w:lang w:val="en-US" w:eastAsia="zh-CN"/>
        </w:rPr>
        <w:t>8</w:t>
      </w:r>
      <w:r>
        <w:rPr>
          <w:rFonts w:hint="default" w:ascii="Times New Roman" w:hAnsi="Times New Roman"/>
          <w:sz w:val="24"/>
          <w:szCs w:val="24"/>
          <w:lang w:val="en-US" w:eastAsia="zh-CN"/>
        </w:rPr>
        <w:t>层粉质粘土（Q</w:t>
      </w:r>
      <w:r>
        <w:rPr>
          <w:rFonts w:hint="default" w:ascii="Times New Roman" w:hAnsi="Times New Roman"/>
          <w:sz w:val="24"/>
          <w:szCs w:val="24"/>
          <w:vertAlign w:val="subscript"/>
          <w:lang w:val="en-US" w:eastAsia="zh-CN"/>
        </w:rPr>
        <w:t>3</w:t>
      </w:r>
      <w:r>
        <w:rPr>
          <w:rFonts w:hint="default" w:ascii="Times New Roman" w:hAnsi="Times New Roman"/>
          <w:sz w:val="24"/>
          <w:szCs w:val="24"/>
          <w:vertAlign w:val="superscript"/>
          <w:lang w:val="en-US" w:eastAsia="zh-CN"/>
        </w:rPr>
        <w:t>al</w:t>
      </w:r>
      <w:r>
        <w:rPr>
          <w:rFonts w:hint="default" w:ascii="Times New Roman" w:hAnsi="Times New Roman"/>
          <w:sz w:val="24"/>
          <w:szCs w:val="24"/>
          <w:lang w:val="en-US" w:eastAsia="zh-CN"/>
        </w:rPr>
        <w:t>）：黄色,可塑～硬塑状态，饱和，无摇震反应，稍有光滑，韧性及干强度中等。含铁锈斑点，少量姜石，见淡水螺壳碎片少许。钻孔均未揭穿该层，最大揭露深度20.00m，最大揭露厚度4.50m。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调查区揭露深度内没有发现岩浆岩。</w:t>
      </w:r>
    </w:p>
    <w:p>
      <w:pPr>
        <w:keepNext w:val="0"/>
        <w:keepLines w:val="0"/>
        <w:pageBreakBefore w:val="0"/>
        <w:widowControl w:val="0"/>
        <w:kinsoku/>
        <w:wordWrap/>
        <w:overflowPunct/>
        <w:topLinePunct w:val="0"/>
        <w:autoSpaceDE/>
        <w:autoSpaceDN/>
        <w:bidi w:val="0"/>
        <w:adjustRightInd/>
        <w:snapToGrid w:val="0"/>
        <w:spacing w:line="360" w:lineRule="auto"/>
        <w:textAlignment w:val="auto"/>
      </w:pPr>
      <w:r>
        <w:drawing>
          <wp:inline distT="0" distB="0" distL="114300" distR="114300">
            <wp:extent cx="5229225" cy="7474585"/>
            <wp:effectExtent l="0" t="0" r="9525" b="12065"/>
            <wp:docPr id="1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5"/>
                    <pic:cNvPicPr>
                      <a:picLocks noChangeAspect="1"/>
                    </pic:cNvPicPr>
                  </pic:nvPicPr>
                  <pic:blipFill>
                    <a:blip r:embed="rId117"/>
                    <a:stretch>
                      <a:fillRect/>
                    </a:stretch>
                  </pic:blipFill>
                  <pic:spPr>
                    <a:xfrm>
                      <a:off x="0" y="0"/>
                      <a:ext cx="5229225" cy="7474585"/>
                    </a:xfrm>
                    <a:prstGeom prst="rect">
                      <a:avLst/>
                    </a:prstGeom>
                    <a:noFill/>
                    <a:ln>
                      <a:noFill/>
                    </a:ln>
                  </pic:spPr>
                </pic:pic>
              </a:graphicData>
            </a:graphic>
          </wp:inline>
        </w:drawing>
      </w:r>
    </w:p>
    <w:p>
      <w:pPr>
        <w:pStyle w:val="2"/>
        <w:ind w:left="0" w:leftChars="0" w:firstLine="0" w:firstLineChars="0"/>
        <w:jc w:val="center"/>
        <w:rPr>
          <w:rFonts w:hint="default"/>
          <w:b/>
          <w:bCs/>
          <w:sz w:val="24"/>
          <w:szCs w:val="24"/>
          <w:lang w:val="en-US" w:eastAsia="zh-CN"/>
        </w:rPr>
      </w:pPr>
      <w:r>
        <w:rPr>
          <w:rFonts w:hint="default"/>
          <w:b/>
          <w:bCs/>
          <w:sz w:val="24"/>
          <w:szCs w:val="24"/>
          <w:lang w:val="en-US" w:eastAsia="zh-CN"/>
        </w:rPr>
        <w:t>图</w:t>
      </w:r>
      <w:r>
        <w:rPr>
          <w:rFonts w:hint="default" w:ascii="Times New Roman" w:hAnsi="Times New Roman" w:cs="Times New Roman"/>
          <w:b/>
          <w:bCs/>
          <w:sz w:val="24"/>
          <w:szCs w:val="24"/>
          <w:lang w:val="en-US" w:eastAsia="zh-CN"/>
        </w:rPr>
        <w:t>6.3-1</w:t>
      </w:r>
      <w:r>
        <w:rPr>
          <w:rFonts w:hint="default"/>
          <w:b/>
          <w:bCs/>
          <w:sz w:val="24"/>
          <w:szCs w:val="24"/>
          <w:lang w:val="en-US" w:eastAsia="zh-CN"/>
        </w:rPr>
        <w:t xml:space="preserve"> 钻孔柱状图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2、地质构造</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区域断裂构造较发育，调查区处于华北板块（Ⅰ）华北拗陷（Ⅱ）济阳拗陷区（Ⅲ）东营拗陷（Ⅳ）博兴拗陷（Ⅴ）之内，调查区位于区域的中部，周边断裂构造主要有齐广断裂、王母山断裂等，具体详见区域地质构造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（1）齐广断裂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齐河—广饶断裂是鲁西隆起与济阳凹陷之间的构造断裂，西起齐河经济阳横穿桓台北部地区，延伸至广饶南，走向近 EW，长约 300km。断裂带的格架和构造形态表明，它是一条张性断裂斜坡带，断面十分不平整，以正断层为主，对</w:t>
      </w:r>
      <w:r>
        <w:rPr>
          <w:rFonts w:hint="eastAsia" w:ascii="Times New Roman" w:hAnsi="Times New Roman"/>
          <w:sz w:val="24"/>
          <w:szCs w:val="24"/>
          <w:lang w:val="en-US" w:eastAsia="zh-CN"/>
        </w:rPr>
        <w:t>本项目</w:t>
      </w:r>
      <w:r>
        <w:rPr>
          <w:rFonts w:hint="default" w:ascii="Times New Roman" w:hAnsi="Times New Roman"/>
          <w:sz w:val="24"/>
          <w:szCs w:val="24"/>
          <w:lang w:val="en-US" w:eastAsia="zh-CN"/>
        </w:rPr>
        <w:t>场地稳定性无大的影响。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（2）王母山断裂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走向近SN，倾向W，倾角约75°，南起西周庄，经杨寨、付家至马尚，断</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距60～600m，且南小北大，全长约15km。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根据《中国地震动参数区划图》（GB18306—2001），评估区内地震动峰值加速度为0.10g，对应地震基本烈度为Ⅶ度区，区域地壳属较稳定区。</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drawing>
          <wp:inline distT="0" distB="0" distL="114300" distR="114300">
            <wp:extent cx="5271770" cy="2999105"/>
            <wp:effectExtent l="0" t="0" r="5080" b="10795"/>
            <wp:docPr id="13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6"/>
                    <pic:cNvPicPr>
                      <a:picLocks noChangeAspect="1"/>
                    </pic:cNvPicPr>
                  </pic:nvPicPr>
                  <pic:blipFill>
                    <a:blip r:embed="rId118"/>
                    <a:stretch>
                      <a:fillRect/>
                    </a:stretch>
                  </pic:blipFill>
                  <pic:spPr>
                    <a:xfrm>
                      <a:off x="0" y="0"/>
                      <a:ext cx="5271770" cy="29991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hint="default"/>
          <w:b/>
          <w:bCs/>
          <w:sz w:val="24"/>
          <w:szCs w:val="24"/>
          <w:lang w:val="en-US" w:eastAsia="zh-CN"/>
        </w:rPr>
        <w:t>图</w:t>
      </w:r>
      <w:r>
        <w:rPr>
          <w:rFonts w:hint="default" w:ascii="Times New Roman" w:hAnsi="Times New Roman" w:cs="Times New Roman"/>
          <w:b/>
          <w:bCs/>
          <w:sz w:val="24"/>
          <w:szCs w:val="24"/>
          <w:lang w:val="en-US" w:eastAsia="zh-CN"/>
        </w:rPr>
        <w:t>6.3-</w:t>
      </w:r>
      <w:r>
        <w:rPr>
          <w:rFonts w:hint="eastAsia" w:ascii="Times New Roman" w:hAnsi="Times New Roman" w:cs="Times New Roman"/>
          <w:b/>
          <w:bCs/>
          <w:sz w:val="24"/>
          <w:szCs w:val="24"/>
          <w:lang w:val="en-US" w:eastAsia="zh-CN"/>
        </w:rPr>
        <w:t>2</w:t>
      </w:r>
      <w:r>
        <w:rPr>
          <w:rFonts w:hint="default"/>
          <w:b/>
          <w:bCs/>
          <w:sz w:val="24"/>
          <w:szCs w:val="24"/>
          <w:lang w:val="en-US" w:eastAsia="zh-CN"/>
        </w:rPr>
        <w:t xml:space="preserve"> 项目所在区域地质构造图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3、地貌特征及矿产资源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场区所处区域地貌单元属张（店）--周（村）山前冲洪积倾斜平原，地势平</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坦，地表完整，地貌形态单一，地面标高最大值8.85米，最小值8.61米，地表相对高差0.24米。厂区无影响工程稳定的断裂、构造不良等地质现象，该场区属地质构造简单且相对稳定的地质单元。</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该项目所在地无具有开采价值的矿产资源。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4、含水层及其特征</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本工作区内为全淡水区，含水层为二层结构即浅层（潜水或微承压水）淡水含水层与深层（承压水）淡水层。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（1）浅层（潜水或微承压水）淡水含水层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该含水层主要为粉、细纱及中细砂层。多集中在百米深度以内，冲洪积扇上游及轴部为中粗砂、砂砾石及砂卵石，向下游及边缘带逐渐变细，层数增多，总厚度由5m增至大于10m。水位埋深由8～17m变浅为2～3m，年变幅大于2m。单井涌水量一般1000～3000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/d，局部大于3000 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/d。矿化度小于1g/L，以重碳酸钙或钙镁型水为主，东部为硫酸重碳酸钙或钙钠型水。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（2）深层（承压水）淡水层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大部分埋藏于100～300m以下，含水层主要为中，下更新统及上第三系顶部之粉砂、中细砂或中砂层。单井涌水量一般大于500m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/d。</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5、地下水补给、径流及排泄条件</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（1）浅层地下水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浅层地下水主要补给源是降水和地表水入渗，其次是灌溉回归和地下水侧向径流。本区地形平缓，包气带岩性主要为粉质粘土、粘土，透水性相对较差，降水入渗较慢，在丰水季节形成地表径流以河流、沟渠的形式进入小清河。由于区内沟渠纵横交错，闸坝截流等回灌体系较完备，地表水和地下水联系存在一定的水力联系，在旱季浇灌和蒸散作用下，地下水位下降较快。由于地下水和地表水位差的加大，地表水对地下水的入渗量有所增加。</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地表水入渗补给地下水方式有河道沿途渗漏、引水灌溉回归和引入沟渠直接渗漏地下等。小清河在金家闸上游常年渗漏补给地下水，金家闸下游则随着河水的升降与地下水产生相应的补排关系。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本区为一农业县，农灌条件较好，伴随着季节性农灌活动，地下水得到面状回归补给；地下水侧向径流补给则取决于地下水流场及水动力条件，本区主要接受南部的径流补给；区内城乡生活用水和工业生产排放污水也大部就地渗入地下，补充浅层水。农田灌溉开采是浅层地下水主要排泄途径，其次是蒸发和地下迳流排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（2）深层地下水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深层地下水埋藏深度大，补给径流途径长，主要补给源有浅层地下水垂向补给和侧向径流补给。主要排泄项有工业和城乡生活开采。在目前的开采情况下，已造成补排失调，水位持续下降，在马桥的刘家、起风的华沟、田庄、索镇的五里和南辛等处形成了深度不一的开采漏斗，地下水的天然流向改变。虽然深、浅层地下水有相对隔水层存在，但因多具弱的透水性，加之局部不连续，在深层地下水头大幅度下降的情况下，接受浅层水的越流补给量逐年增大，更有一定数量的深井对浅层水封闭不好或干脆混合开采，导致深、浅层水联系更加密切，这对优质的深层水来说，被浅层水串层污染将是最大的危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6、地下水动态分析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（1）地下水动态的年内变化</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桓台县年内地下水动态随降水量和开采量的季节性呈周期性变化。一般1～2月份，降水量与开采量均较小，水位动态平稳。3～5月为春灌期，降水量少，而开采量大增，使水位大幅度下降，多在5～6月降至年内最低。之后进入汛期，降水量大、补给量多，水位大幅度回升，多在10月达到年内最高，此后降水减少，水位缓慢下降并逐趋平稳，地下水位动态与降水和开采关系密切，在年内多呈现平稳～下降～上升～缓慢下降的周期性变化，最大变幅在6m～9m之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根据收集的水位监测资料及实地调查，工作区内第四系浅层孔隙水枯水期和丰水期地下水水位等值线图见图6.</w:t>
      </w:r>
      <w:r>
        <w:rPr>
          <w:rFonts w:hint="eastAsia" w:ascii="Times New Roman" w:hAnsi="Times New Roman"/>
          <w:sz w:val="24"/>
          <w:szCs w:val="24"/>
          <w:lang w:val="en-US" w:eastAsia="zh-CN"/>
        </w:rPr>
        <w:t>3</w:t>
      </w:r>
      <w:r>
        <w:rPr>
          <w:rFonts w:hint="default" w:ascii="Times New Roman" w:hAnsi="Times New Roman"/>
          <w:sz w:val="24"/>
          <w:szCs w:val="24"/>
          <w:lang w:val="en-US" w:eastAsia="zh-CN"/>
        </w:rPr>
        <w:t>-</w:t>
      </w:r>
      <w:r>
        <w:rPr>
          <w:rFonts w:hint="eastAsia" w:ascii="Times New Roman" w:hAnsi="Times New Roman"/>
          <w:sz w:val="24"/>
          <w:szCs w:val="24"/>
          <w:lang w:val="en-US" w:eastAsia="zh-CN"/>
        </w:rPr>
        <w:t>3</w:t>
      </w:r>
      <w:r>
        <w:rPr>
          <w:rFonts w:hint="default" w:ascii="Times New Roman" w:hAnsi="Times New Roman"/>
          <w:sz w:val="24"/>
          <w:szCs w:val="24"/>
          <w:lang w:val="en-US" w:eastAsia="zh-CN"/>
        </w:rPr>
        <w:t>和图6.</w:t>
      </w:r>
      <w:r>
        <w:rPr>
          <w:rFonts w:hint="eastAsia" w:ascii="Times New Roman" w:hAnsi="Times New Roman"/>
          <w:sz w:val="24"/>
          <w:szCs w:val="24"/>
          <w:lang w:val="en-US" w:eastAsia="zh-CN"/>
        </w:rPr>
        <w:t>3</w:t>
      </w:r>
      <w:r>
        <w:rPr>
          <w:rFonts w:hint="default" w:ascii="Times New Roman" w:hAnsi="Times New Roman"/>
          <w:sz w:val="24"/>
          <w:szCs w:val="24"/>
          <w:lang w:val="en-US" w:eastAsia="zh-CN"/>
        </w:rPr>
        <w:t>-</w:t>
      </w:r>
      <w:r>
        <w:rPr>
          <w:rFonts w:hint="eastAsia" w:ascii="Times New Roman" w:hAnsi="Times New Roman"/>
          <w:sz w:val="24"/>
          <w:szCs w:val="24"/>
          <w:lang w:val="en-US" w:eastAsia="zh-CN"/>
        </w:rPr>
        <w:t>4</w:t>
      </w:r>
      <w:r>
        <w:rPr>
          <w:rFonts w:hint="default" w:ascii="Times New Roman" w:hAnsi="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drawing>
          <wp:inline distT="0" distB="0" distL="114300" distR="114300">
            <wp:extent cx="5272405" cy="3150870"/>
            <wp:effectExtent l="0" t="0" r="4445" b="11430"/>
            <wp:docPr id="13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7"/>
                    <pic:cNvPicPr>
                      <a:picLocks noChangeAspect="1"/>
                    </pic:cNvPicPr>
                  </pic:nvPicPr>
                  <pic:blipFill>
                    <a:blip r:embed="rId119"/>
                    <a:stretch>
                      <a:fillRect/>
                    </a:stretch>
                  </pic:blipFill>
                  <pic:spPr>
                    <a:xfrm>
                      <a:off x="0" y="0"/>
                      <a:ext cx="5272405" cy="31508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hint="default"/>
          <w:b/>
          <w:bCs/>
          <w:sz w:val="24"/>
          <w:szCs w:val="24"/>
          <w:lang w:val="en-US" w:eastAsia="zh-CN"/>
        </w:rPr>
        <w:t>图</w:t>
      </w:r>
      <w:r>
        <w:rPr>
          <w:rFonts w:hint="default" w:ascii="Times New Roman" w:hAnsi="Times New Roman" w:cs="Times New Roman"/>
          <w:b/>
          <w:bCs/>
          <w:sz w:val="24"/>
          <w:szCs w:val="24"/>
          <w:lang w:val="en-US" w:eastAsia="zh-CN"/>
        </w:rPr>
        <w:t>6.3-</w:t>
      </w:r>
      <w:r>
        <w:rPr>
          <w:rFonts w:hint="eastAsia" w:ascii="Times New Roman" w:hAnsi="Times New Roman" w:cs="Times New Roman"/>
          <w:b/>
          <w:bCs/>
          <w:sz w:val="24"/>
          <w:szCs w:val="24"/>
          <w:lang w:val="en-US" w:eastAsia="zh-CN"/>
        </w:rPr>
        <w:t>3</w:t>
      </w:r>
      <w:r>
        <w:rPr>
          <w:rFonts w:hint="default"/>
          <w:b/>
          <w:bCs/>
          <w:sz w:val="24"/>
          <w:szCs w:val="24"/>
          <w:lang w:val="en-US" w:eastAsia="zh-CN"/>
        </w:rPr>
        <w:t xml:space="preserve"> 第四系浅层孔隙水含水层枯水期地下水等水位线图</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pPr>
      <w:r>
        <w:drawing>
          <wp:inline distT="0" distB="0" distL="114300" distR="114300">
            <wp:extent cx="4878070" cy="2928620"/>
            <wp:effectExtent l="0" t="0" r="17780" b="5080"/>
            <wp:docPr id="1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8"/>
                    <pic:cNvPicPr>
                      <a:picLocks noChangeAspect="1"/>
                    </pic:cNvPicPr>
                  </pic:nvPicPr>
                  <pic:blipFill>
                    <a:blip r:embed="rId120"/>
                    <a:stretch>
                      <a:fillRect/>
                    </a:stretch>
                  </pic:blipFill>
                  <pic:spPr>
                    <a:xfrm>
                      <a:off x="0" y="0"/>
                      <a:ext cx="4878070" cy="292862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hint="default"/>
          <w:lang w:val="en-US" w:eastAsia="zh-CN"/>
        </w:rPr>
      </w:pPr>
      <w:r>
        <w:rPr>
          <w:rFonts w:hint="default"/>
          <w:b/>
          <w:bCs/>
          <w:sz w:val="24"/>
          <w:szCs w:val="24"/>
          <w:lang w:val="en-US" w:eastAsia="zh-CN"/>
        </w:rPr>
        <w:t>图</w:t>
      </w:r>
      <w:r>
        <w:rPr>
          <w:rFonts w:hint="default" w:ascii="Times New Roman" w:hAnsi="Times New Roman" w:cs="Times New Roman"/>
          <w:b/>
          <w:bCs/>
          <w:sz w:val="24"/>
          <w:szCs w:val="24"/>
          <w:lang w:val="en-US" w:eastAsia="zh-CN"/>
        </w:rPr>
        <w:t>6.3-</w:t>
      </w:r>
      <w:r>
        <w:rPr>
          <w:rFonts w:hint="eastAsia" w:ascii="Times New Roman" w:hAnsi="Times New Roman" w:cs="Times New Roman"/>
          <w:b/>
          <w:bCs/>
          <w:sz w:val="24"/>
          <w:szCs w:val="24"/>
          <w:lang w:val="en-US" w:eastAsia="zh-CN"/>
        </w:rPr>
        <w:t>4</w:t>
      </w:r>
      <w:r>
        <w:rPr>
          <w:rFonts w:hint="default"/>
          <w:b/>
          <w:bCs/>
          <w:sz w:val="24"/>
          <w:szCs w:val="24"/>
          <w:lang w:val="en-US" w:eastAsia="zh-CN"/>
        </w:rPr>
        <w:t xml:space="preserve"> 第四系浅层孔隙水含水层丰水期地下水等水位线图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从图中可以看出，项目区的南部因城区和当地居民及企业供水开采地下水已形成了降落漏斗，深层承压水降落漏斗中心地带水位标近-50m，项目区地带地下水位标高在-24m左右，浅层地下水在调查区南部形成局部降落漏斗区，其水位埋深在10m左右，项目区地带浅层地下水埋深2-4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（2）地下水动态的年际变化</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桓台县多年地下水动态变化主要受降水、开采以及引水回灌、潜水蒸发等影响，在年际间呈下降—上升状态。根据马桥镇北营村东北长测点经动态资料分析，2008年马桥镇该点的潜水位平均为6.61m，2009年该点潜水位平均为6.83m。另外，马桥附近深层承压水位已形成明显的降落漏斗。</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pPr>
      <w:r>
        <w:drawing>
          <wp:inline distT="0" distB="0" distL="114300" distR="114300">
            <wp:extent cx="4965700" cy="2435225"/>
            <wp:effectExtent l="0" t="0" r="6350" b="3175"/>
            <wp:docPr id="1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9"/>
                    <pic:cNvPicPr>
                      <a:picLocks noChangeAspect="1"/>
                    </pic:cNvPicPr>
                  </pic:nvPicPr>
                  <pic:blipFill>
                    <a:blip r:embed="rId121"/>
                    <a:stretch>
                      <a:fillRect/>
                    </a:stretch>
                  </pic:blipFill>
                  <pic:spPr>
                    <a:xfrm>
                      <a:off x="0" y="0"/>
                      <a:ext cx="4965700" cy="243522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hint="default"/>
          <w:lang w:val="en-US" w:eastAsia="zh-CN"/>
        </w:rPr>
      </w:pPr>
      <w:r>
        <w:rPr>
          <w:rFonts w:hint="default"/>
          <w:b/>
          <w:bCs/>
          <w:sz w:val="24"/>
          <w:szCs w:val="24"/>
          <w:lang w:val="en-US" w:eastAsia="zh-CN"/>
        </w:rPr>
        <w:t>图</w:t>
      </w:r>
      <w:r>
        <w:rPr>
          <w:rFonts w:hint="default" w:ascii="Times New Roman" w:hAnsi="Times New Roman" w:cs="Times New Roman"/>
          <w:b/>
          <w:bCs/>
          <w:sz w:val="24"/>
          <w:szCs w:val="24"/>
          <w:lang w:val="en-US" w:eastAsia="zh-CN"/>
        </w:rPr>
        <w:t>6.3-</w:t>
      </w:r>
      <w:r>
        <w:rPr>
          <w:rFonts w:hint="eastAsia" w:ascii="Times New Roman" w:hAnsi="Times New Roman" w:cs="Times New Roman"/>
          <w:b/>
          <w:bCs/>
          <w:sz w:val="24"/>
          <w:szCs w:val="24"/>
          <w:lang w:val="en-US" w:eastAsia="zh-CN"/>
        </w:rPr>
        <w:t>5</w:t>
      </w:r>
      <w:r>
        <w:rPr>
          <w:rFonts w:hint="default"/>
          <w:b/>
          <w:bCs/>
          <w:sz w:val="24"/>
          <w:szCs w:val="24"/>
          <w:lang w:val="en-US" w:eastAsia="zh-CN"/>
        </w:rPr>
        <w:t xml:space="preserve"> 桓台县马桥镇北营村观测点地下水位年际动态变化曲线</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rPr>
      </w:pPr>
      <w:r>
        <w:rPr>
          <w:rFonts w:hint="eastAsia" w:ascii="Times New Roman" w:hAnsi="Times New Roman" w:cs="Times New Roman"/>
          <w:b/>
          <w:bCs/>
          <w:sz w:val="24"/>
          <w:szCs w:val="24"/>
          <w:highlight w:val="none"/>
          <w:lang w:val="en-US" w:eastAsia="zh-CN"/>
        </w:rPr>
        <w:t>6.3.4</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2</w:t>
      </w:r>
      <w:r>
        <w:rPr>
          <w:rFonts w:hint="eastAsia" w:ascii="Times New Roman" w:hAnsi="Times New Roman"/>
          <w:b/>
          <w:bCs/>
          <w:sz w:val="24"/>
          <w:szCs w:val="24"/>
          <w:highlight w:val="none"/>
          <w:lang w:val="en-US" w:eastAsia="zh-CN"/>
        </w:rPr>
        <w:t xml:space="preserve"> 环境地质问题及区域污染源概况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1、环境地质问题</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评价区内可能产生的主要环境水文地质问题为地面沉降。由于自1998年以来，评价区及评价区南部地带恒台县城区供水及工农业生产生活用水造成的区域水位普遍下降。地面沉降主要原因为由于地下水位下降造成第四系粘性土释水压密形成的，由于第四系多为低压缩性土，项目区内大部分压缩变形量已经稳定。由于地面沉降一般发生得比较缓慢而难以明显感觉，现状调查项目区内未发现因地面沉降造成的危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2、区域污染源概况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（1）地表水的渗漏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区域内工业企业众多，且多为对环境污染较重的造纸、化工企业，污水产生量大，排入河流的工业废水对地表水水质影响较大，使得区域内的地表水体均为劣Ⅴ类水体。由于地表水与地下水之间存在一定的水力联系，地表水的渗漏补给使地下水造成一定程度的污染。区域地下水污染源主要为小清河和杏花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（2）生活污水和农药化肥的使用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sz w:val="24"/>
          <w:szCs w:val="24"/>
        </w:rPr>
      </w:pPr>
      <w:r>
        <w:rPr>
          <w:rFonts w:hint="eastAsia" w:ascii="Times New Roman" w:hAnsi="Times New Roman"/>
          <w:sz w:val="24"/>
          <w:szCs w:val="24"/>
        </w:rPr>
        <w:t>周边农村用水分散，一般就地排放，生活污水入渗地下水环境，从而对地下水造成一定程度的污染。农业活动农药化肥经地表径流和降水、灌溉的淋洗进入地下水系统，从而对地下水造成一定程度的污染。</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rPr>
      </w:pPr>
      <w:r>
        <w:rPr>
          <w:rFonts w:hint="eastAsia" w:ascii="Times New Roman" w:hAnsi="Times New Roman" w:cs="Times New Roman"/>
          <w:b/>
          <w:bCs/>
          <w:sz w:val="24"/>
          <w:szCs w:val="24"/>
          <w:highlight w:val="none"/>
          <w:lang w:val="en-US" w:eastAsia="zh-CN"/>
        </w:rPr>
        <w:t>6.3.4</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3</w:t>
      </w:r>
      <w:r>
        <w:rPr>
          <w:rFonts w:hint="eastAsia" w:ascii="Times New Roman" w:hAnsi="Times New Roman"/>
          <w:b/>
          <w:bCs/>
          <w:sz w:val="24"/>
          <w:szCs w:val="24"/>
          <w:highlight w:val="none"/>
          <w:lang w:val="en-US" w:eastAsia="zh-CN"/>
        </w:rPr>
        <w:t xml:space="preserve"> 环境地质问题及区域污染源概况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项目用水采用造纸白水作为生产用水水源，生产废水经处理能实现全部回用，且项目不取用地下水，因此</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项目对地下水水量影响较小。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生产废水按照分质处理、分质回用原则，生产废水按照分质处理、分质回用原则，分别对生产过程中产生的部分废水直接回用，部分经MVR预蒸发系统+多效蒸发处理后回用于生产，不向外环境排放生产废水。生活污水经博汇纸业博汇纸业绿色环保能源综合利用之废水处理项目处理后，达标排入小清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项目可能影响地下水的主要途径是：生产车间、事故水池、污水处理站、污水管道等涉及废水产生、输送及处理环节通过渗漏补给渗入土壤，进而对地下水造成污染，污染对象主要为浅部含水层，污染程度除受废水污染物化学成分、浓度及当地的降水、径流、蒸发蒸腾和入渗等条件影响外，还受地质结构、岩土成分、厚度、饱和以及非饱和渗透性能以及对污染物的吸附滞留能力的影响。由于</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废水主要为COD、SS、氨氮等，且项目区域采用水泥硬化等防渗措施，同时项目区包气带厚度在10m以上，包气带岩性以粉质粘土为主，可以有效防止污染物下渗，使污染物不会对浅层地下水产生影响，更不会影响深部承压水，可见，项目建成投产后污染物的入渗量很少，不会对地下水体产生污染。</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对厂区污水管网、排污沟渠、生产设备区地面、固废临时堆场、厂区地坪都进行防渗防漏处理，采用粘土夯实，防渗性能满足要求。</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rPr>
      </w:pPr>
      <w:r>
        <w:rPr>
          <w:rFonts w:hint="eastAsia" w:ascii="Times New Roman" w:hAnsi="Times New Roman" w:cs="Times New Roman"/>
          <w:b/>
          <w:bCs/>
          <w:sz w:val="24"/>
          <w:szCs w:val="24"/>
          <w:highlight w:val="none"/>
          <w:lang w:val="en-US" w:eastAsia="zh-CN"/>
        </w:rPr>
        <w:t>6.3.4</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4</w:t>
      </w:r>
      <w:r>
        <w:rPr>
          <w:rFonts w:hint="eastAsia" w:ascii="Times New Roman" w:hAnsi="Times New Roman"/>
          <w:b/>
          <w:bCs/>
          <w:sz w:val="24"/>
          <w:szCs w:val="24"/>
          <w:highlight w:val="none"/>
          <w:lang w:val="en-US" w:eastAsia="zh-CN"/>
        </w:rPr>
        <w:t xml:space="preserve"> 地下水环境保护措施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1、防渗防腐措施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项目首先从源头着手，进行清洁生产，减少新鲜水消耗量及废水产生量；正常生产过程中产生的污水及事故状态下污水全部经封闭管道收集后进行处理，进一步降低污染物浓度；厂区内车间地面、污水站池体、管线等均采取严格的防渗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针对可能对地下水造成影响的各环节，按照“考虑重点，辐射全面”的防渗原则，厂区防渗分为重点污染防治区和一般污染防治区。厂区防渗设计参照《环境影响评价技术导则 地下水环境》（HJ610-2016）进行。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现有的碱回收系统均已采取相应防渗措施，本工程新增构筑物拟采取主要防渗措施汇总见表6.</w:t>
      </w:r>
      <w:r>
        <w:rPr>
          <w:rFonts w:hint="eastAsia" w:ascii="Times New Roman" w:hAnsi="Times New Roman"/>
          <w:sz w:val="24"/>
          <w:szCs w:val="24"/>
          <w:lang w:val="en-US" w:eastAsia="zh-CN"/>
        </w:rPr>
        <w:t>3</w:t>
      </w:r>
      <w:r>
        <w:rPr>
          <w:rFonts w:hint="default" w:ascii="Times New Roman" w:hAnsi="Times New Roman"/>
          <w:sz w:val="24"/>
          <w:szCs w:val="24"/>
          <w:lang w:val="en-US" w:eastAsia="zh-CN"/>
        </w:rPr>
        <w:t>-</w:t>
      </w:r>
      <w:r>
        <w:rPr>
          <w:rFonts w:hint="eastAsia" w:ascii="Times New Roman" w:hAnsi="Times New Roman"/>
          <w:sz w:val="24"/>
          <w:szCs w:val="24"/>
          <w:lang w:val="en-US" w:eastAsia="zh-CN"/>
        </w:rPr>
        <w:t>3</w:t>
      </w:r>
      <w:r>
        <w:rPr>
          <w:rFonts w:hint="default" w:ascii="Times New Roman" w:hAnsi="Times New Roman"/>
          <w:sz w:val="24"/>
          <w:szCs w:val="24"/>
          <w:lang w:val="en-US" w:eastAsia="zh-CN"/>
        </w:rPr>
        <w:t>。分区防渗图见图6.</w:t>
      </w:r>
      <w:r>
        <w:rPr>
          <w:rFonts w:hint="eastAsia" w:ascii="Times New Roman" w:hAnsi="Times New Roman"/>
          <w:sz w:val="24"/>
          <w:szCs w:val="24"/>
          <w:lang w:val="en-US" w:eastAsia="zh-CN"/>
        </w:rPr>
        <w:t>3</w:t>
      </w:r>
      <w:r>
        <w:rPr>
          <w:rFonts w:hint="default" w:ascii="Times New Roman" w:hAnsi="Times New Roman"/>
          <w:sz w:val="24"/>
          <w:szCs w:val="24"/>
          <w:lang w:val="en-US" w:eastAsia="zh-CN"/>
        </w:rPr>
        <w:t>-</w:t>
      </w:r>
      <w:r>
        <w:rPr>
          <w:rFonts w:hint="eastAsia" w:ascii="Times New Roman" w:hAnsi="Times New Roman"/>
          <w:sz w:val="24"/>
          <w:szCs w:val="24"/>
          <w:lang w:val="en-US" w:eastAsia="zh-CN"/>
        </w:rPr>
        <w:t>5</w:t>
      </w:r>
      <w:r>
        <w:rPr>
          <w:rFonts w:hint="default" w:ascii="Times New Roman" w:hAnsi="Times New Roman"/>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hint="default"/>
          <w:lang w:val="en-US" w:eastAsia="zh-CN"/>
        </w:rPr>
      </w:pPr>
      <w:r>
        <w:rPr>
          <w:rFonts w:hint="eastAsia"/>
          <w:b/>
          <w:bCs/>
          <w:sz w:val="24"/>
          <w:szCs w:val="24"/>
          <w:lang w:val="en-US" w:eastAsia="zh-CN"/>
        </w:rPr>
        <w:t>表</w:t>
      </w:r>
      <w:r>
        <w:rPr>
          <w:rFonts w:hint="default" w:ascii="Times New Roman" w:hAnsi="Times New Roman" w:cs="Times New Roman"/>
          <w:b/>
          <w:bCs/>
          <w:sz w:val="24"/>
          <w:szCs w:val="24"/>
          <w:lang w:val="en-US" w:eastAsia="zh-CN"/>
        </w:rPr>
        <w:t>6.3-</w:t>
      </w:r>
      <w:r>
        <w:rPr>
          <w:rFonts w:hint="eastAsia" w:ascii="Times New Roman" w:hAnsi="Times New Roman" w:cs="Times New Roman"/>
          <w:b/>
          <w:bCs/>
          <w:sz w:val="24"/>
          <w:szCs w:val="24"/>
          <w:lang w:val="en-US" w:eastAsia="zh-CN"/>
        </w:rPr>
        <w:t>3</w:t>
      </w:r>
      <w:r>
        <w:rPr>
          <w:rFonts w:hint="default"/>
          <w:b/>
          <w:bCs/>
          <w:sz w:val="24"/>
          <w:szCs w:val="24"/>
          <w:lang w:val="en-US" w:eastAsia="zh-CN"/>
        </w:rPr>
        <w:t xml:space="preserve"> </w:t>
      </w:r>
      <w:r>
        <w:rPr>
          <w:rFonts w:hint="eastAsia"/>
          <w:b/>
          <w:bCs/>
          <w:sz w:val="24"/>
          <w:szCs w:val="24"/>
          <w:lang w:val="en-US" w:eastAsia="zh-CN"/>
        </w:rPr>
        <w:t>本</w:t>
      </w:r>
      <w:r>
        <w:rPr>
          <w:rFonts w:hint="default"/>
          <w:b/>
          <w:bCs/>
          <w:sz w:val="24"/>
          <w:szCs w:val="24"/>
          <w:lang w:val="en-US" w:eastAsia="zh-CN"/>
        </w:rPr>
        <w:t>项目防渗分区</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2"/>
        <w:gridCol w:w="2127"/>
        <w:gridCol w:w="4568"/>
        <w:gridCol w:w="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9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序号</w:t>
            </w:r>
          </w:p>
        </w:tc>
        <w:tc>
          <w:tcPr>
            <w:tcW w:w="21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名称</w:t>
            </w:r>
          </w:p>
        </w:tc>
        <w:tc>
          <w:tcPr>
            <w:tcW w:w="45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污染防治区域</w:t>
            </w:r>
          </w:p>
        </w:tc>
        <w:tc>
          <w:tcPr>
            <w:tcW w:w="77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9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c>
          <w:tcPr>
            <w:tcW w:w="21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重点污染防治区</w:t>
            </w:r>
          </w:p>
        </w:tc>
        <w:tc>
          <w:tcPr>
            <w:tcW w:w="45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化学品间、事故水池</w:t>
            </w:r>
          </w:p>
        </w:tc>
        <w:tc>
          <w:tcPr>
            <w:tcW w:w="77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9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c>
          <w:tcPr>
            <w:tcW w:w="21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一般污染防治区</w:t>
            </w:r>
          </w:p>
        </w:tc>
        <w:tc>
          <w:tcPr>
            <w:tcW w:w="45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木片堆场、木屑堆场、化机浆车间、MVR系统</w:t>
            </w:r>
          </w:p>
        </w:tc>
        <w:tc>
          <w:tcPr>
            <w:tcW w:w="77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90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w:t>
            </w:r>
          </w:p>
        </w:tc>
        <w:tc>
          <w:tcPr>
            <w:tcW w:w="21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非污染防治区</w:t>
            </w:r>
          </w:p>
        </w:tc>
        <w:tc>
          <w:tcPr>
            <w:tcW w:w="45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77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无</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（1）重点污染防治区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厂区重点污染防治区包括车间地下管道、化学品间、事故水池。重点污染防治区防渗层的防渗性能不应低于6.0m厚渗透系数为10</w:t>
      </w:r>
      <w:r>
        <w:rPr>
          <w:rFonts w:hint="default" w:ascii="Times New Roman" w:hAnsi="Times New Roman"/>
          <w:sz w:val="24"/>
          <w:szCs w:val="24"/>
          <w:vertAlign w:val="superscript"/>
          <w:lang w:val="en-US" w:eastAsia="zh-CN"/>
        </w:rPr>
        <w:t>-7</w:t>
      </w:r>
      <w:r>
        <w:rPr>
          <w:rFonts w:hint="default" w:ascii="Times New Roman" w:hAnsi="Times New Roman"/>
          <w:sz w:val="24"/>
          <w:szCs w:val="24"/>
          <w:lang w:val="en-US" w:eastAsia="zh-CN"/>
        </w:rPr>
        <w:t>cm/s的黏土层的防渗性能。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（2）一般污染防治区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厂区一般污染防治区包括木片堆场、木屑堆场、化机浆车间、MVR系统，一般污染防治区防渗层的防渗性能不应低于1.5m厚渗透系数为10</w:t>
      </w:r>
      <w:r>
        <w:rPr>
          <w:rFonts w:hint="default" w:ascii="Times New Roman" w:hAnsi="Times New Roman"/>
          <w:sz w:val="24"/>
          <w:szCs w:val="24"/>
          <w:vertAlign w:val="superscript"/>
          <w:lang w:val="en-US" w:eastAsia="zh-CN"/>
        </w:rPr>
        <w:t>-7</w:t>
      </w:r>
      <w:r>
        <w:rPr>
          <w:rFonts w:hint="default" w:ascii="Times New Roman" w:hAnsi="Times New Roman"/>
          <w:sz w:val="24"/>
          <w:szCs w:val="24"/>
          <w:lang w:val="en-US" w:eastAsia="zh-CN"/>
        </w:rPr>
        <w:t>cm/s 的黏土层的防渗性能。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（3）其它区域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一般固废储存场所按照《一般工业固体废物贮存和填埋污染控制标准》（GB18599-20</w:t>
      </w:r>
      <w:r>
        <w:rPr>
          <w:rFonts w:hint="eastAsia" w:ascii="Times New Roman" w:hAnsi="Times New Roman"/>
          <w:sz w:val="24"/>
          <w:szCs w:val="24"/>
          <w:lang w:val="en-US" w:eastAsia="zh-CN"/>
        </w:rPr>
        <w:t>20</w:t>
      </w:r>
      <w:r>
        <w:rPr>
          <w:rFonts w:hint="default" w:ascii="Times New Roman" w:hAnsi="Times New Roman"/>
          <w:sz w:val="24"/>
          <w:szCs w:val="24"/>
          <w:lang w:val="en-US" w:eastAsia="zh-CN"/>
        </w:rPr>
        <w:t>）要求进行建设（防渗层渗透系数小于1.0×10</w:t>
      </w:r>
      <w:r>
        <w:rPr>
          <w:rFonts w:hint="default" w:ascii="Times New Roman" w:hAnsi="Times New Roman"/>
          <w:sz w:val="24"/>
          <w:szCs w:val="24"/>
          <w:vertAlign w:val="superscript"/>
          <w:lang w:val="en-US" w:eastAsia="zh-CN"/>
        </w:rPr>
        <w:t>-7</w:t>
      </w:r>
      <w:r>
        <w:rPr>
          <w:rFonts w:hint="default" w:ascii="Times New Roman" w:hAnsi="Times New Roman"/>
          <w:sz w:val="24"/>
          <w:szCs w:val="24"/>
          <w:lang w:val="en-US" w:eastAsia="zh-CN"/>
        </w:rPr>
        <w:t>cm/s）。</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2、地下水环境监测与管理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根据资料收集及现场调查，企业未设置地下水环境监测补点及管理制度。因</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此本次环评对项目进行一下要求：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（1）监测井布设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为了掌握厂区及周围地下水环境质量状况和地下水体中污染物的动态变化，及时发现污染物并有效控制污染物扩散，应对项目所在地及周围的地下水水质进行监控，重点监控厂区地下水下游。同时建立地下水环境监测管理体系，制定地下水环境影响跟踪监测计划、建立地下水环境影响跟踪监测制度、配备先进的监测仪器和设备，以便及时发现问题，采取措施，为防治地下水污染采取相应的措施提供重要依据。根据《地下水环境监测技术规范》（HJ/T164-2004）的要求，按照地下水的流向及主要污染物排放区域，共布设3眼地下水监控井，分别布设在厂区的上中下游，布设原则为尽量利用已有开采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根据《马桥化工产业园总体发展规划环境影响报告书》，园区共布设6处地下水监测井（具体布设点见图 6.2-10），本次环评监测井利用其中2号、3号、6号点作为本项目的地下水监控井。地下水监控井布置功能如下：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上游监测井1眼，位于北营村，用于监测上游地下水背景值；</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污染监视井2眼：1眼位于厂区内，该井井深50m，可用于监测厂区地下水的污染情况，并在地下水受到污染时，作为应急排水井，大量抽取地下水控制地下水场、排出污水、截流污染物以减轻对地下水水质的影响。另一眼位于厂区北 侧，该井位于地下水下游，用于监控地下水水质变化情况，属于污染扩散监控点。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（2）监测频率及监测因子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以地下水为主要监测对象，监测频率为：地下水流向上游和下游每季度1次（在遇突发地下水污染事件时应加密监测频率）。地下水监测计划见表6.3-4及图6.3-5。</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hint="eastAsia"/>
          <w:b/>
          <w:bCs/>
          <w:sz w:val="24"/>
          <w:szCs w:val="24"/>
          <w:lang w:val="en-US" w:eastAsia="zh-CN"/>
        </w:rPr>
        <w:t>表</w:t>
      </w:r>
      <w:r>
        <w:rPr>
          <w:rFonts w:hint="default" w:ascii="Times New Roman" w:hAnsi="Times New Roman" w:cs="Times New Roman"/>
          <w:b/>
          <w:bCs/>
          <w:sz w:val="24"/>
          <w:szCs w:val="24"/>
          <w:lang w:val="en-US" w:eastAsia="zh-CN"/>
        </w:rPr>
        <w:t>6.3-</w:t>
      </w:r>
      <w:r>
        <w:rPr>
          <w:rFonts w:hint="eastAsia" w:ascii="Times New Roman" w:hAnsi="Times New Roman" w:cs="Times New Roman"/>
          <w:b/>
          <w:bCs/>
          <w:sz w:val="24"/>
          <w:szCs w:val="24"/>
          <w:lang w:val="en-US" w:eastAsia="zh-CN"/>
        </w:rPr>
        <w:t>4</w:t>
      </w:r>
      <w:r>
        <w:rPr>
          <w:rFonts w:hint="default"/>
          <w:b/>
          <w:bCs/>
          <w:sz w:val="24"/>
          <w:szCs w:val="24"/>
          <w:lang w:val="en-US" w:eastAsia="zh-CN"/>
        </w:rPr>
        <w:t xml:space="preserve"> </w:t>
      </w:r>
      <w:r>
        <w:rPr>
          <w:rFonts w:hint="eastAsia"/>
          <w:b/>
          <w:bCs/>
          <w:sz w:val="24"/>
          <w:szCs w:val="24"/>
          <w:lang w:val="en-US" w:eastAsia="zh-CN"/>
        </w:rPr>
        <w:t>厂区地下水监控点布置一览表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6"/>
        <w:gridCol w:w="1337"/>
        <w:gridCol w:w="2631"/>
        <w:gridCol w:w="750"/>
        <w:gridCol w:w="805"/>
        <w:gridCol w:w="2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孔号</w:t>
            </w:r>
          </w:p>
        </w:tc>
        <w:tc>
          <w:tcPr>
            <w:tcW w:w="133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孔位置</w:t>
            </w:r>
          </w:p>
        </w:tc>
        <w:tc>
          <w:tcPr>
            <w:tcW w:w="26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监测项目</w:t>
            </w:r>
          </w:p>
        </w:tc>
        <w:tc>
          <w:tcPr>
            <w:tcW w:w="7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监测层位</w:t>
            </w:r>
          </w:p>
        </w:tc>
        <w:tc>
          <w:tcPr>
            <w:tcW w:w="80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监测频率</w:t>
            </w:r>
          </w:p>
        </w:tc>
        <w:tc>
          <w:tcPr>
            <w:tcW w:w="20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主要功能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9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c>
          <w:tcPr>
            <w:tcW w:w="133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北营一村</w:t>
            </w:r>
          </w:p>
        </w:tc>
        <w:tc>
          <w:tcPr>
            <w:tcW w:w="2631"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val="0"/>
                <w:bCs w:val="0"/>
                <w:sz w:val="21"/>
                <w:szCs w:val="21"/>
                <w:vertAlign w:val="baseline"/>
                <w:lang w:val="en-US" w:eastAsia="zh-CN"/>
              </w:rPr>
            </w:pPr>
            <w:r>
              <w:rPr>
                <w:rFonts w:hint="default" w:ascii="Times New Roman" w:hAnsi="Times New Roman"/>
                <w:b w:val="0"/>
                <w:bCs w:val="0"/>
                <w:sz w:val="21"/>
                <w:szCs w:val="21"/>
                <w:vertAlign w:val="baseline"/>
                <w:lang w:val="en-US" w:eastAsia="zh-CN"/>
              </w:rPr>
              <w:t>pH、氨氮、硝酸盐、亚硝酸盐、挥发酚、氰化物、砷、汞、六价铬、总硬度、</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val="0"/>
                <w:bCs w:val="0"/>
                <w:sz w:val="21"/>
                <w:szCs w:val="21"/>
                <w:vertAlign w:val="baseline"/>
                <w:lang w:val="en-US" w:eastAsia="zh-CN"/>
              </w:rPr>
            </w:pPr>
            <w:r>
              <w:rPr>
                <w:rFonts w:hint="default" w:ascii="Times New Roman" w:hAnsi="Times New Roman"/>
                <w:b w:val="0"/>
                <w:bCs w:val="0"/>
                <w:sz w:val="21"/>
                <w:szCs w:val="21"/>
                <w:vertAlign w:val="baseline"/>
                <w:lang w:val="en-US" w:eastAsia="zh-CN"/>
              </w:rPr>
              <w:t>铅、氟化物、镉、铁、锰、镍、铜、锌、钴、溶解性总固体、高锰酸盐指数、硫酸盐、硫化物、氯化等</w:t>
            </w:r>
          </w:p>
        </w:tc>
        <w:tc>
          <w:tcPr>
            <w:tcW w:w="750"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val="0"/>
                <w:bCs w:val="0"/>
                <w:sz w:val="21"/>
                <w:szCs w:val="21"/>
                <w:vertAlign w:val="baseline"/>
                <w:lang w:val="en-US" w:eastAsia="zh-CN"/>
              </w:rPr>
            </w:pPr>
            <w:r>
              <w:rPr>
                <w:rFonts w:hint="eastAsia" w:ascii="Times New Roman" w:hAnsi="Times New Roman"/>
                <w:b w:val="0"/>
                <w:bCs w:val="0"/>
                <w:sz w:val="21"/>
                <w:szCs w:val="21"/>
                <w:vertAlign w:val="baseline"/>
                <w:lang w:val="en-US" w:eastAsia="zh-CN"/>
              </w:rPr>
              <w:t>孔隙水</w:t>
            </w:r>
          </w:p>
        </w:tc>
        <w:tc>
          <w:tcPr>
            <w:tcW w:w="805"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val="0"/>
                <w:bCs w:val="0"/>
                <w:sz w:val="21"/>
                <w:szCs w:val="21"/>
                <w:vertAlign w:val="baseline"/>
                <w:lang w:val="en-US" w:eastAsia="zh-CN"/>
              </w:rPr>
            </w:pPr>
            <w:r>
              <w:rPr>
                <w:rFonts w:hint="eastAsia" w:ascii="Times New Roman" w:hAnsi="Times New Roman"/>
                <w:b w:val="0"/>
                <w:bCs w:val="0"/>
                <w:sz w:val="21"/>
                <w:szCs w:val="21"/>
                <w:vertAlign w:val="baseline"/>
                <w:lang w:val="en-US" w:eastAsia="zh-CN"/>
              </w:rPr>
              <w:t>三月一次</w:t>
            </w:r>
          </w:p>
        </w:tc>
        <w:tc>
          <w:tcPr>
            <w:tcW w:w="20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本底井：监测厂区上游地下水水质状况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3" w:hRule="atLeast"/>
        </w:trPr>
        <w:tc>
          <w:tcPr>
            <w:tcW w:w="9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c>
          <w:tcPr>
            <w:tcW w:w="133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厂址</w:t>
            </w:r>
          </w:p>
        </w:tc>
        <w:tc>
          <w:tcPr>
            <w:tcW w:w="263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75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80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20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监测井：监测厂区污染状况，在地下水受到污染时，排出污水、截流污染物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95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w:t>
            </w:r>
          </w:p>
        </w:tc>
        <w:tc>
          <w:tcPr>
            <w:tcW w:w="133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地下水下游</w:t>
            </w:r>
          </w:p>
        </w:tc>
        <w:tc>
          <w:tcPr>
            <w:tcW w:w="263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75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80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20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监测井：监测下游地下水污染状况</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（3）管理措施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①</w:t>
      </w:r>
      <w:r>
        <w:rPr>
          <w:rFonts w:hint="eastAsia" w:ascii="Times New Roman" w:hAnsi="Times New Roman"/>
          <w:sz w:val="24"/>
          <w:szCs w:val="24"/>
          <w:lang w:val="en-US" w:eastAsia="zh-CN"/>
        </w:rPr>
        <w:t xml:space="preserve"> </w:t>
      </w:r>
      <w:r>
        <w:rPr>
          <w:rFonts w:hint="default" w:ascii="Times New Roman" w:hAnsi="Times New Roman"/>
          <w:sz w:val="24"/>
          <w:szCs w:val="24"/>
          <w:lang w:val="en-US" w:eastAsia="zh-CN"/>
        </w:rPr>
        <w:t>防止地下水受到污染是环境保护管理部门的主要职责之一。企业应设立专门的环境保护管理部门，由专人负责防止地下水污染管理工作。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②</w:t>
      </w:r>
      <w:r>
        <w:rPr>
          <w:rFonts w:hint="eastAsia" w:ascii="Times New Roman" w:hAnsi="Times New Roman"/>
          <w:sz w:val="24"/>
          <w:szCs w:val="24"/>
          <w:lang w:val="en-US" w:eastAsia="zh-CN"/>
        </w:rPr>
        <w:t xml:space="preserve"> </w:t>
      </w:r>
      <w:r>
        <w:rPr>
          <w:rFonts w:hint="default" w:ascii="Times New Roman" w:hAnsi="Times New Roman"/>
          <w:sz w:val="24"/>
          <w:szCs w:val="24"/>
          <w:lang w:val="en-US" w:eastAsia="zh-CN"/>
        </w:rPr>
        <w:t>环境保护管理部门应委托具有地下水监测资质的单位负责地下水监测工作</w:t>
      </w:r>
      <w:r>
        <w:rPr>
          <w:rFonts w:hint="eastAsia" w:ascii="Times New Roman" w:hAnsi="Times New Roman"/>
          <w:sz w:val="24"/>
          <w:szCs w:val="24"/>
          <w:lang w:val="en-US" w:eastAsia="zh-CN"/>
        </w:rPr>
        <w:t>，</w:t>
      </w:r>
      <w:r>
        <w:rPr>
          <w:rFonts w:hint="default" w:ascii="Times New Roman" w:hAnsi="Times New Roman"/>
          <w:sz w:val="24"/>
          <w:szCs w:val="24"/>
          <w:lang w:val="en-US" w:eastAsia="zh-CN"/>
        </w:rPr>
        <w:t>并按要求及时分析整理原始资料、监测报告的编写工作。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③</w:t>
      </w:r>
      <w:r>
        <w:rPr>
          <w:rFonts w:hint="eastAsia" w:ascii="Times New Roman" w:hAnsi="Times New Roman"/>
          <w:sz w:val="24"/>
          <w:szCs w:val="24"/>
          <w:lang w:val="en-US" w:eastAsia="zh-CN"/>
        </w:rPr>
        <w:t xml:space="preserve"> </w:t>
      </w:r>
      <w:r>
        <w:rPr>
          <w:rFonts w:hint="default" w:ascii="Times New Roman" w:hAnsi="Times New Roman"/>
          <w:sz w:val="24"/>
          <w:szCs w:val="24"/>
          <w:lang w:val="en-US" w:eastAsia="zh-CN"/>
        </w:rPr>
        <w:t>建立地下水监测数据数据库，与公司环境管理系统相联系。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④</w:t>
      </w:r>
      <w:r>
        <w:rPr>
          <w:rFonts w:hint="eastAsia" w:ascii="Times New Roman" w:hAnsi="Times New Roman"/>
          <w:sz w:val="24"/>
          <w:szCs w:val="24"/>
          <w:lang w:val="en-US" w:eastAsia="zh-CN"/>
        </w:rPr>
        <w:t xml:space="preserve"> </w:t>
      </w:r>
      <w:r>
        <w:rPr>
          <w:rFonts w:hint="default" w:ascii="Times New Roman" w:hAnsi="Times New Roman"/>
          <w:sz w:val="24"/>
          <w:szCs w:val="24"/>
          <w:lang w:val="en-US" w:eastAsia="zh-CN"/>
        </w:rPr>
        <w:t>根据实际情况，按事故的性质、类型、影响范围、严重后果分等级地制订相应的预案。在制定预案时要根据项目环境污染事故潜在威胁的情况，认真细致地考虑各项影响因素，适当的时候组织有关部门、人员进行演练，不断补充完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（4）技术措施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①</w:t>
      </w:r>
      <w:r>
        <w:rPr>
          <w:rFonts w:hint="eastAsia" w:ascii="Times New Roman" w:hAnsi="Times New Roman"/>
          <w:sz w:val="24"/>
          <w:szCs w:val="24"/>
          <w:lang w:val="en-US" w:eastAsia="zh-CN"/>
        </w:rPr>
        <w:t xml:space="preserve"> </w:t>
      </w:r>
      <w:r>
        <w:rPr>
          <w:rFonts w:hint="default" w:ascii="Times New Roman" w:hAnsi="Times New Roman"/>
          <w:sz w:val="24"/>
          <w:szCs w:val="24"/>
          <w:lang w:val="en-US" w:eastAsia="zh-CN"/>
        </w:rPr>
        <w:t>按照《地下水环境监测技术规范》（HJ/T164-2004）要求，及时上报监测数据和有关表格。</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②</w:t>
      </w:r>
      <w:r>
        <w:rPr>
          <w:rFonts w:hint="eastAsia" w:ascii="Times New Roman" w:hAnsi="Times New Roman"/>
          <w:sz w:val="24"/>
          <w:szCs w:val="24"/>
          <w:lang w:val="en-US" w:eastAsia="zh-CN"/>
        </w:rPr>
        <w:t xml:space="preserve"> </w:t>
      </w:r>
      <w:r>
        <w:rPr>
          <w:rFonts w:hint="default" w:ascii="Times New Roman" w:hAnsi="Times New Roman"/>
          <w:sz w:val="24"/>
          <w:szCs w:val="24"/>
          <w:lang w:val="en-US" w:eastAsia="zh-CN"/>
        </w:rPr>
        <w:t>在日常例行监测中，一旦发现地下水水质监测数据异常，应尽快核查数据，确保数据的正确性。并将核查过的监测数据通告环保部门，由专人负责对数据进行分析、核实，并密切关注生产设施的运行情况，为防止地下水污染采取措施提供正确的依据。应采取的措施如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了解项目生产是否出现异常情况，出现异常情况的装置、原因。加大监测密度，如监测频率由每月（季）一次临时加密为每天一次或更多，连续多天，分析变化动向。</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③</w:t>
      </w:r>
      <w:r>
        <w:rPr>
          <w:rFonts w:hint="eastAsia" w:ascii="Times New Roman" w:hAnsi="Times New Roman"/>
          <w:sz w:val="24"/>
          <w:szCs w:val="24"/>
          <w:lang w:val="en-US" w:eastAsia="zh-CN"/>
        </w:rPr>
        <w:t xml:space="preserve"> </w:t>
      </w:r>
      <w:r>
        <w:rPr>
          <w:rFonts w:hint="default" w:ascii="Times New Roman" w:hAnsi="Times New Roman"/>
          <w:sz w:val="24"/>
          <w:szCs w:val="24"/>
          <w:lang w:val="en-US" w:eastAsia="zh-CN"/>
        </w:rPr>
        <w:t>定期编写地下水动态监测报告。</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sz w:val="24"/>
          <w:szCs w:val="24"/>
          <w:lang w:val="en-US" w:eastAsia="zh-CN"/>
        </w:rPr>
        <w:t>④定期对污染区的生产装置、污水池、法兰、阀门、管道等进行检查。</w:t>
      </w:r>
    </w:p>
    <w:p>
      <w:pPr>
        <w:pStyle w:val="2"/>
        <w:rPr>
          <w:rFonts w:hint="default"/>
          <w:lang w:val="en-US" w:eastAsia="zh-CN"/>
        </w:rPr>
      </w:pPr>
      <w:r>
        <w:drawing>
          <wp:anchor distT="0" distB="0" distL="114300" distR="114300" simplePos="0" relativeHeight="251763712" behindDoc="0" locked="0" layoutInCell="1" allowOverlap="1">
            <wp:simplePos x="0" y="0"/>
            <wp:positionH relativeFrom="column">
              <wp:posOffset>626110</wp:posOffset>
            </wp:positionH>
            <wp:positionV relativeFrom="paragraph">
              <wp:posOffset>-326390</wp:posOffset>
            </wp:positionV>
            <wp:extent cx="7620000" cy="5207000"/>
            <wp:effectExtent l="0" t="0" r="0" b="12700"/>
            <wp:wrapNone/>
            <wp:docPr id="14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1"/>
                    <pic:cNvPicPr>
                      <a:picLocks noChangeAspect="1"/>
                    </pic:cNvPicPr>
                  </pic:nvPicPr>
                  <pic:blipFill>
                    <a:blip r:embed="rId122"/>
                    <a:stretch>
                      <a:fillRect/>
                    </a:stretch>
                  </pic:blipFill>
                  <pic:spPr>
                    <a:xfrm>
                      <a:off x="0" y="0"/>
                      <a:ext cx="7620000" cy="5207000"/>
                    </a:xfrm>
                    <a:prstGeom prst="rect">
                      <a:avLst/>
                    </a:prstGeom>
                    <a:noFill/>
                    <a:ln>
                      <a:noFill/>
                    </a:ln>
                  </pic:spPr>
                </pic:pic>
              </a:graphicData>
            </a:graphic>
          </wp:anchor>
        </w:drawing>
      </w:r>
    </w:p>
    <w:p>
      <w:pPr>
        <w:pStyle w:val="2"/>
        <w:rPr>
          <w:rFonts w:hint="default"/>
          <w:lang w:val="en-US" w:eastAsia="zh-CN"/>
        </w:rPr>
      </w:pPr>
    </w:p>
    <w:p>
      <w:pPr>
        <w:pStyle w:val="2"/>
        <w:rPr>
          <w:rFonts w:hint="default"/>
          <w:lang w:val="en-US" w:eastAsia="zh-CN"/>
        </w:rPr>
      </w:pPr>
      <w:r>
        <w:rPr>
          <w:sz w:val="21"/>
        </w:rPr>
        <mc:AlternateContent>
          <mc:Choice Requires="wps">
            <w:drawing>
              <wp:anchor distT="0" distB="0" distL="114300" distR="114300" simplePos="0" relativeHeight="251776000" behindDoc="0" locked="0" layoutInCell="1" allowOverlap="1">
                <wp:simplePos x="0" y="0"/>
                <wp:positionH relativeFrom="column">
                  <wp:posOffset>5650230</wp:posOffset>
                </wp:positionH>
                <wp:positionV relativeFrom="paragraph">
                  <wp:posOffset>127000</wp:posOffset>
                </wp:positionV>
                <wp:extent cx="266700" cy="29210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2667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color w:val="FFFF00"/>
                                <w:sz w:val="18"/>
                                <w:szCs w:val="18"/>
                                <w:lang w:val="en-US" w:eastAsia="zh-CN"/>
                              </w:rPr>
                            </w:pPr>
                            <w:r>
                              <w:rPr>
                                <w:rFonts w:hint="eastAsia" w:ascii="Times New Roman" w:hAnsi="Times New Roman" w:cs="Times New Roman"/>
                                <w:color w:val="FFFF00"/>
                                <w:sz w:val="18"/>
                                <w:szCs w:val="18"/>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4.9pt;margin-top:10pt;height:23pt;width:21pt;z-index:251776000;mso-width-relative:page;mso-height-relative:page;" filled="f" stroked="f" coordsize="21600,21600" o:gfxdata="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ESh/ajZ&#10;AAAACQEAAA8AAAAAAAAAAQAgAAAAIgAAAGRycy9kb3ducmV2LnhtbFBLAQIUABQAAAAIAIdO4kBm&#10;FqCBHwIAABsEAAAOAAAAAAAAAAEAIAAAACgBAABkcnMvZTJvRG9jLnhtbFBLBQYAAAAABgAGAFkB&#10;AAC5BQAAAAA=&#10;">
                <v:fill on="f" focussize="0,0"/>
                <v:stroke on="f" weight="0.5pt"/>
                <v:imagedata o:title=""/>
                <o:lock v:ext="edit" aspectratio="f"/>
                <v:textbox>
                  <w:txbxContent>
                    <w:p>
                      <w:pPr>
                        <w:rPr>
                          <w:rFonts w:hint="default" w:ascii="Times New Roman" w:hAnsi="Times New Roman" w:eastAsia="宋体" w:cs="Times New Roman"/>
                          <w:color w:val="FFFF00"/>
                          <w:sz w:val="18"/>
                          <w:szCs w:val="18"/>
                          <w:lang w:val="en-US" w:eastAsia="zh-CN"/>
                        </w:rPr>
                      </w:pPr>
                      <w:r>
                        <w:rPr>
                          <w:rFonts w:hint="eastAsia" w:ascii="Times New Roman" w:hAnsi="Times New Roman" w:cs="Times New Roman"/>
                          <w:color w:val="FFFF00"/>
                          <w:sz w:val="18"/>
                          <w:szCs w:val="18"/>
                          <w:lang w:val="en-US" w:eastAsia="zh-CN"/>
                        </w:rPr>
                        <w:t>3</w:t>
                      </w:r>
                    </w:p>
                  </w:txbxContent>
                </v:textbox>
              </v:shape>
            </w:pict>
          </mc:Fallback>
        </mc:AlternateContent>
      </w:r>
      <w:r>
        <w:rPr>
          <w:sz w:val="21"/>
        </w:rPr>
        <mc:AlternateContent>
          <mc:Choice Requires="wps">
            <w:drawing>
              <wp:anchor distT="0" distB="0" distL="114300" distR="114300" simplePos="0" relativeHeight="251771904" behindDoc="0" locked="0" layoutInCell="1" allowOverlap="1">
                <wp:simplePos x="0" y="0"/>
                <wp:positionH relativeFrom="column">
                  <wp:posOffset>5685790</wp:posOffset>
                </wp:positionH>
                <wp:positionV relativeFrom="paragraph">
                  <wp:posOffset>190500</wp:posOffset>
                </wp:positionV>
                <wp:extent cx="177800" cy="127000"/>
                <wp:effectExtent l="12065" t="10795" r="19685" b="14605"/>
                <wp:wrapNone/>
                <wp:docPr id="152" name="等腰三角形 152"/>
                <wp:cNvGraphicFramePr/>
                <a:graphic xmlns:a="http://schemas.openxmlformats.org/drawingml/2006/main">
                  <a:graphicData uri="http://schemas.microsoft.com/office/word/2010/wordprocessingShape">
                    <wps:wsp>
                      <wps:cNvSpPr/>
                      <wps:spPr>
                        <a:xfrm>
                          <a:off x="0" y="0"/>
                          <a:ext cx="177800" cy="127000"/>
                        </a:xfrm>
                        <a:prstGeom prst="triangl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47.7pt;margin-top:15pt;height:10pt;width:14pt;z-index:251771904;v-text-anchor:middle;mso-width-relative:page;mso-height-relative:page;" fillcolor="#7030A0" filled="t" stroked="t" coordsize="21600,21600" o:gfxdata="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Ml1MLtUAAAAJAQAADwAAAAAAAAABACAAAAAiAAAAZHJzL2Rvd25yZXYueG1sUEsBAhQAFAAAAAgA&#10;h07iQNT/cxFhAgAAtgQAAA4AAAAAAAAAAQAgAAAAJAEAAGRycy9lMm9Eb2MueG1sUEsFBgAAAAAG&#10;AAYAWQEAAPcFAAAAAA==&#10;" adj="10800">
                <v:fill on="t" focussize="0,0"/>
                <v:stroke weight="1pt" color="#7030A0 [3204]" miterlimit="8" joinstyle="miter"/>
                <v:imagedata o:title=""/>
                <o:lock v:ext="edit" aspectratio="f"/>
              </v:shape>
            </w:pict>
          </mc:Fallback>
        </mc:AlternateContent>
      </w:r>
    </w:p>
    <w:p>
      <w:pPr>
        <w:pStyle w:val="2"/>
        <w:rPr>
          <w:rFonts w:hint="default"/>
          <w:lang w:val="en-US" w:eastAsia="zh-CN"/>
        </w:rPr>
      </w:pPr>
      <w:r>
        <w:rPr>
          <w:sz w:val="21"/>
        </w:rPr>
        <mc:AlternateContent>
          <mc:Choice Requires="wps">
            <w:drawing>
              <wp:anchor distT="0" distB="0" distL="114300" distR="114300" simplePos="0" relativeHeight="251767808" behindDoc="0" locked="0" layoutInCell="1" allowOverlap="1">
                <wp:simplePos x="0" y="0"/>
                <wp:positionH relativeFrom="column">
                  <wp:posOffset>5492750</wp:posOffset>
                </wp:positionH>
                <wp:positionV relativeFrom="paragraph">
                  <wp:posOffset>196850</wp:posOffset>
                </wp:positionV>
                <wp:extent cx="79375" cy="118745"/>
                <wp:effectExtent l="6350" t="6350" r="9525" b="8255"/>
                <wp:wrapNone/>
                <wp:docPr id="149" name="矩形 149"/>
                <wp:cNvGraphicFramePr/>
                <a:graphic xmlns:a="http://schemas.openxmlformats.org/drawingml/2006/main">
                  <a:graphicData uri="http://schemas.microsoft.com/office/word/2010/wordprocessingShape">
                    <wps:wsp>
                      <wps:cNvSpPr/>
                      <wps:spPr>
                        <a:xfrm>
                          <a:off x="0" y="0"/>
                          <a:ext cx="79375" cy="118745"/>
                        </a:xfrm>
                        <a:prstGeom prst="rect">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2.5pt;margin-top:15.5pt;height:9.35pt;width:6.25pt;z-index:251767808;v-text-anchor:middle;mso-width-relative:page;mso-height-relative:page;" fillcolor="#00B050" filled="t" stroked="t" coordsize="21600,21600" o:gfxdata="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MmW&#10;5ZzaAAAACQEAAA8AAAAAAAAAAQAgAAAAIgAAAGRycy9kb3ducmV2LnhtbFBLAQIUABQAAAAIAIdO&#10;4kD4yuRDWgIAAKgEAAAOAAAAAAAAAAEAIAAAACkBAABkcnMvZTJvRG9jLnhtbFBLBQYAAAAABgAG&#10;AFkBAAD1BQAAAAA=&#10;">
                <v:fill on="t" focussize="0,0"/>
                <v:stroke weight="1pt" color="#FF0000 [3204]" miterlimit="8" joinstyle="miter"/>
                <v:imagedata o:title=""/>
                <o:lock v:ext="edit" aspectratio="f"/>
              </v:rect>
            </w:pict>
          </mc:Fallback>
        </mc:AlternateContent>
      </w:r>
      <w:r>
        <w:rPr>
          <w:sz w:val="21"/>
        </w:rPr>
        <mc:AlternateContent>
          <mc:Choice Requires="wps">
            <w:drawing>
              <wp:anchor distT="0" distB="0" distL="114300" distR="114300" simplePos="0" relativeHeight="251764736" behindDoc="0" locked="0" layoutInCell="1" allowOverlap="1">
                <wp:simplePos x="0" y="0"/>
                <wp:positionH relativeFrom="column">
                  <wp:posOffset>4721860</wp:posOffset>
                </wp:positionH>
                <wp:positionV relativeFrom="paragraph">
                  <wp:posOffset>27305</wp:posOffset>
                </wp:positionV>
                <wp:extent cx="135255" cy="118745"/>
                <wp:effectExtent l="12065" t="12700" r="24130" b="20955"/>
                <wp:wrapNone/>
                <wp:docPr id="148" name="矩形 148"/>
                <wp:cNvGraphicFramePr/>
                <a:graphic xmlns:a="http://schemas.openxmlformats.org/drawingml/2006/main">
                  <a:graphicData uri="http://schemas.microsoft.com/office/word/2010/wordprocessingShape">
                    <wps:wsp>
                      <wps:cNvSpPr/>
                      <wps:spPr>
                        <a:xfrm rot="21300000">
                          <a:off x="5628640" y="2200910"/>
                          <a:ext cx="135255" cy="118745"/>
                        </a:xfrm>
                        <a:prstGeom prst="rect">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1.8pt;margin-top:2.15pt;height:9.35pt;width:10.65pt;rotation:-327680f;z-index:251764736;v-text-anchor:middle;mso-width-relative:page;mso-height-relative:page;" fillcolor="#FFFF00" filled="t" stroked="t" coordsize="21600,21600" o:gfxdata="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WHwsR1QAAAAgBAAAPAAAAAAAAAAEAIAAAACIAAABkcnMvZG93bnJldi54bWxQSwEC&#10;FAAUAAAACACHTuJAXA04ZWkCAADEBAAADgAAAAAAAAABACAAAAAkAQAAZHJzL2Uyb0RvYy54bWxQ&#10;SwUGAAAAAAYABgBZAQAA/wUAAAAA&#10;">
                <v:fill on="t" focussize="0,0"/>
                <v:stroke weight="1pt" color="#FF0000 [3204]" miterlimit="8" joinstyle="miter"/>
                <v:imagedata o:title=""/>
                <o:lock v:ext="edit" aspectratio="f"/>
              </v:rect>
            </w:pict>
          </mc:Fallback>
        </mc:AlternateContent>
      </w:r>
    </w:p>
    <w:p>
      <w:pPr>
        <w:pStyle w:val="2"/>
        <w:rPr>
          <w:rFonts w:hint="default"/>
          <w:lang w:val="en-US" w:eastAsia="zh-CN"/>
        </w:rPr>
      </w:pPr>
    </w:p>
    <w:p>
      <w:pPr>
        <w:pStyle w:val="2"/>
        <w:rPr>
          <w:rFonts w:hint="default"/>
          <w:lang w:val="en-US" w:eastAsia="zh-CN"/>
        </w:rPr>
      </w:pPr>
      <w:r>
        <w:rPr>
          <w:sz w:val="21"/>
        </w:rPr>
        <mc:AlternateContent>
          <mc:Choice Requires="wps">
            <w:drawing>
              <wp:anchor distT="0" distB="0" distL="114300" distR="114300" simplePos="0" relativeHeight="251774976" behindDoc="0" locked="0" layoutInCell="1" allowOverlap="1">
                <wp:simplePos x="0" y="0"/>
                <wp:positionH relativeFrom="column">
                  <wp:posOffset>5199380</wp:posOffset>
                </wp:positionH>
                <wp:positionV relativeFrom="paragraph">
                  <wp:posOffset>63500</wp:posOffset>
                </wp:positionV>
                <wp:extent cx="266700" cy="29210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2667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color w:val="FFFF00"/>
                                <w:sz w:val="18"/>
                                <w:szCs w:val="18"/>
                                <w:lang w:val="en-US" w:eastAsia="zh-CN"/>
                              </w:rPr>
                            </w:pPr>
                            <w:r>
                              <w:rPr>
                                <w:rFonts w:hint="eastAsia" w:ascii="Times New Roman" w:hAnsi="Times New Roman" w:cs="Times New Roman"/>
                                <w:color w:val="FFFF00"/>
                                <w:sz w:val="18"/>
                                <w:szCs w:val="18"/>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9.4pt;margin-top:5pt;height:23pt;width:21pt;z-index:251774976;mso-width-relative:page;mso-height-relative:page;" filled="f" stroked="f" coordsize="21600,21600" o:gfxdata="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5eVGA9gA&#10;AAAJAQAADwAAAAAAAAABACAAAAAiAAAAZHJzL2Rvd25yZXYueG1sUEsBAhQAFAAAAAgAh07iQPEG&#10;iNsfAgAAGwQAAA4AAAAAAAAAAQAgAAAAJwEAAGRycy9lMm9Eb2MueG1sUEsFBgAAAAAGAAYAWQEA&#10;ALgFAAAAAA==&#10;">
                <v:fill on="f" focussize="0,0"/>
                <v:stroke on="f" weight="0.5pt"/>
                <v:imagedata o:title=""/>
                <o:lock v:ext="edit" aspectratio="f"/>
                <v:textbox>
                  <w:txbxContent>
                    <w:p>
                      <w:pPr>
                        <w:rPr>
                          <w:rFonts w:hint="default" w:ascii="Times New Roman" w:hAnsi="Times New Roman" w:eastAsia="宋体" w:cs="Times New Roman"/>
                          <w:color w:val="FFFF00"/>
                          <w:sz w:val="18"/>
                          <w:szCs w:val="18"/>
                          <w:lang w:val="en-US" w:eastAsia="zh-CN"/>
                        </w:rPr>
                      </w:pPr>
                      <w:r>
                        <w:rPr>
                          <w:rFonts w:hint="eastAsia" w:ascii="Times New Roman" w:hAnsi="Times New Roman" w:cs="Times New Roman"/>
                          <w:color w:val="FFFF00"/>
                          <w:sz w:val="18"/>
                          <w:szCs w:val="18"/>
                          <w:lang w:val="en-US" w:eastAsia="zh-CN"/>
                        </w:rPr>
                        <w:t>2</w:t>
                      </w:r>
                    </w:p>
                  </w:txbxContent>
                </v:textbox>
              </v:shape>
            </w:pict>
          </mc:Fallback>
        </mc:AlternateContent>
      </w:r>
      <w:r>
        <w:rPr>
          <w:sz w:val="21"/>
        </w:rPr>
        <mc:AlternateContent>
          <mc:Choice Requires="wps">
            <w:drawing>
              <wp:anchor distT="0" distB="0" distL="114300" distR="114300" simplePos="0" relativeHeight="251772928" behindDoc="0" locked="0" layoutInCell="1" allowOverlap="1">
                <wp:simplePos x="0" y="0"/>
                <wp:positionH relativeFrom="column">
                  <wp:posOffset>5234940</wp:posOffset>
                </wp:positionH>
                <wp:positionV relativeFrom="paragraph">
                  <wp:posOffset>133350</wp:posOffset>
                </wp:positionV>
                <wp:extent cx="177800" cy="127000"/>
                <wp:effectExtent l="12065" t="10795" r="19685" b="14605"/>
                <wp:wrapNone/>
                <wp:docPr id="153" name="等腰三角形 153"/>
                <wp:cNvGraphicFramePr/>
                <a:graphic xmlns:a="http://schemas.openxmlformats.org/drawingml/2006/main">
                  <a:graphicData uri="http://schemas.microsoft.com/office/word/2010/wordprocessingShape">
                    <wps:wsp>
                      <wps:cNvSpPr/>
                      <wps:spPr>
                        <a:xfrm>
                          <a:off x="0" y="0"/>
                          <a:ext cx="177800" cy="127000"/>
                        </a:xfrm>
                        <a:prstGeom prst="triangl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12.2pt;margin-top:10.5pt;height:10pt;width:14pt;z-index:251772928;v-text-anchor:middle;mso-width-relative:page;mso-height-relative:page;" fillcolor="#7030A0" filled="t" stroked="t" coordsize="21600,21600" o:gfxdata="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XExYfdQAAAAJAQAADwAAAAAAAAABACAAAAAiAAAAZHJzL2Rvd25yZXYueG1sUEsBAhQAFAAAAAgA&#10;h07iQM00TBJiAgAAtgQAAA4AAAAAAAAAAQAgAAAAIwEAAGRycy9lMm9Eb2MueG1sUEsFBgAAAAAG&#10;AAYAWQEAAPcFAAAAAA==&#10;" adj="10800">
                <v:fill on="t" focussize="0,0"/>
                <v:stroke weight="1pt" color="#7030A0 [3204]" miterlimit="8" joinstyle="miter"/>
                <v:imagedata o:title=""/>
                <o:lock v:ext="edit" aspectratio="f"/>
              </v:shape>
            </w:pict>
          </mc:Fallback>
        </mc:AlternateContent>
      </w:r>
    </w:p>
    <w:p>
      <w:pPr>
        <w:pStyle w:val="2"/>
        <w:rPr>
          <w:rFonts w:hint="default"/>
          <w:lang w:val="en-US" w:eastAsia="zh-CN"/>
        </w:rPr>
      </w:pPr>
    </w:p>
    <w:p>
      <w:pPr>
        <w:pStyle w:val="2"/>
        <w:rPr>
          <w:rFonts w:hint="default"/>
          <w:lang w:val="en-US" w:eastAsia="zh-CN"/>
        </w:rPr>
      </w:pPr>
      <w:r>
        <w:rPr>
          <w:sz w:val="21"/>
        </w:rPr>
        <mc:AlternateContent>
          <mc:Choice Requires="wps">
            <w:drawing>
              <wp:anchor distT="0" distB="0" distL="114300" distR="114300" simplePos="0" relativeHeight="251773952" behindDoc="0" locked="0" layoutInCell="1" allowOverlap="1">
                <wp:simplePos x="0" y="0"/>
                <wp:positionH relativeFrom="column">
                  <wp:posOffset>4754880</wp:posOffset>
                </wp:positionH>
                <wp:positionV relativeFrom="paragraph">
                  <wp:posOffset>327660</wp:posOffset>
                </wp:positionV>
                <wp:extent cx="266700" cy="292100"/>
                <wp:effectExtent l="0" t="0" r="0" b="0"/>
                <wp:wrapNone/>
                <wp:docPr id="154" name="文本框 154"/>
                <wp:cNvGraphicFramePr/>
                <a:graphic xmlns:a="http://schemas.openxmlformats.org/drawingml/2006/main">
                  <a:graphicData uri="http://schemas.microsoft.com/office/word/2010/wordprocessingShape">
                    <wps:wsp>
                      <wps:cNvSpPr txBox="1"/>
                      <wps:spPr>
                        <a:xfrm>
                          <a:off x="5777230" y="4070350"/>
                          <a:ext cx="2667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color w:val="FFFF00"/>
                                <w:sz w:val="18"/>
                                <w:szCs w:val="18"/>
                                <w:lang w:val="en-US" w:eastAsia="zh-CN"/>
                              </w:rPr>
                            </w:pPr>
                            <w:r>
                              <w:rPr>
                                <w:rFonts w:hint="default" w:ascii="Times New Roman" w:hAnsi="Times New Roman" w:cs="Times New Roman"/>
                                <w:color w:val="FFFF00"/>
                                <w:sz w:val="18"/>
                                <w:szCs w:val="18"/>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4pt;margin-top:25.8pt;height:23pt;width:21pt;z-index:251773952;mso-width-relative:page;mso-height-relative:page;" filled="f" stroked="f" coordsize="21600,21600" o:gfxdata="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0sMmzbAAAACQEAAA8AAAAAAAAAAQAgAAAAIgAAAGRycy9kb3ducmV2LnhtbFBLAQIU&#10;ABQAAAAIAIdO4kDK26ZDKQIAACcEAAAOAAAAAAAAAAEAIAAAACoBAABkcnMvZTJvRG9jLnhtbFBL&#10;BQYAAAAABgAGAFkBAADFBQAAAAA=&#10;">
                <v:fill on="f" focussize="0,0"/>
                <v:stroke on="f" weight="0.5pt"/>
                <v:imagedata o:title=""/>
                <o:lock v:ext="edit" aspectratio="f"/>
                <v:textbox>
                  <w:txbxContent>
                    <w:p>
                      <w:pPr>
                        <w:rPr>
                          <w:rFonts w:hint="default" w:ascii="Times New Roman" w:hAnsi="Times New Roman" w:eastAsia="宋体" w:cs="Times New Roman"/>
                          <w:color w:val="FFFF00"/>
                          <w:sz w:val="18"/>
                          <w:szCs w:val="18"/>
                          <w:lang w:val="en-US" w:eastAsia="zh-CN"/>
                        </w:rPr>
                      </w:pPr>
                      <w:r>
                        <w:rPr>
                          <w:rFonts w:hint="default" w:ascii="Times New Roman" w:hAnsi="Times New Roman" w:cs="Times New Roman"/>
                          <w:color w:val="FFFF00"/>
                          <w:sz w:val="18"/>
                          <w:szCs w:val="18"/>
                          <w:lang w:val="en-US" w:eastAsia="zh-CN"/>
                        </w:rPr>
                        <w:t>1</w:t>
                      </w:r>
                    </w:p>
                  </w:txbxContent>
                </v:textbox>
              </v:shape>
            </w:pict>
          </mc:Fallback>
        </mc:AlternateContent>
      </w:r>
    </w:p>
    <w:p>
      <w:pPr>
        <w:pStyle w:val="2"/>
        <w:rPr>
          <w:rFonts w:hint="default"/>
          <w:lang w:val="en-US" w:eastAsia="zh-CN"/>
        </w:rPr>
      </w:pPr>
      <w:r>
        <w:rPr>
          <w:sz w:val="21"/>
        </w:rPr>
        <mc:AlternateContent>
          <mc:Choice Requires="wps">
            <w:drawing>
              <wp:anchor distT="0" distB="0" distL="114300" distR="114300" simplePos="0" relativeHeight="251768832" behindDoc="0" locked="0" layoutInCell="1" allowOverlap="1">
                <wp:simplePos x="0" y="0"/>
                <wp:positionH relativeFrom="column">
                  <wp:posOffset>4790440</wp:posOffset>
                </wp:positionH>
                <wp:positionV relativeFrom="paragraph">
                  <wp:posOffset>69850</wp:posOffset>
                </wp:positionV>
                <wp:extent cx="177800" cy="127000"/>
                <wp:effectExtent l="12065" t="10795" r="19685" b="14605"/>
                <wp:wrapNone/>
                <wp:docPr id="151" name="等腰三角形 151"/>
                <wp:cNvGraphicFramePr/>
                <a:graphic xmlns:a="http://schemas.openxmlformats.org/drawingml/2006/main">
                  <a:graphicData uri="http://schemas.microsoft.com/office/word/2010/wordprocessingShape">
                    <wps:wsp>
                      <wps:cNvSpPr/>
                      <wps:spPr>
                        <a:xfrm>
                          <a:off x="5685790" y="3892550"/>
                          <a:ext cx="177800" cy="127000"/>
                        </a:xfrm>
                        <a:prstGeom prst="triangl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77.2pt;margin-top:5.5pt;height:10pt;width:14pt;z-index:251768832;v-text-anchor:middle;mso-width-relative:page;mso-height-relative:page;" fillcolor="#7030A0" filled="t" stroked="t" coordsize="21600,21600" o:gfxdata="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lpo/S1QAAAAkBAAAPAAAAAAAAAAEAIAAAACIAAABkcnMvZG93bnJldi54&#10;bWxQSwECFAAUAAAACACHTuJApsrDKW8CAADCBAAADgAAAAAAAAABACAAAAAkAQAAZHJzL2Uyb0Rv&#10;Yy54bWxQSwUGAAAAAAYABgBZAQAABQYAAAAA&#10;" adj="10800">
                <v:fill on="t" focussize="0,0"/>
                <v:stroke weight="1pt" color="#7030A0 [3204]" miterlimit="8" joinstyle="miter"/>
                <v:imagedata o:title=""/>
                <o:lock v:ext="edit" aspectratio="f"/>
              </v:shape>
            </w:pict>
          </mc:Fallback>
        </mc:AlternateContent>
      </w:r>
    </w:p>
    <w:p>
      <w:pPr>
        <w:pStyle w:val="2"/>
        <w:rPr>
          <w:rFonts w:hint="default"/>
          <w:lang w:val="en-US" w:eastAsia="zh-CN"/>
        </w:rPr>
      </w:pPr>
    </w:p>
    <w:p>
      <w:pPr>
        <w:pStyle w:val="2"/>
        <w:rPr>
          <w:rFonts w:hint="default"/>
          <w:lang w:val="en-US" w:eastAsia="zh-CN"/>
        </w:rPr>
      </w:pPr>
    </w:p>
    <w:p>
      <w:pPr>
        <w:pStyle w:val="2"/>
        <w:rPr>
          <w:rFonts w:hint="default"/>
          <w:lang w:val="en-US" w:eastAsia="zh-CN"/>
        </w:rPr>
      </w:pPr>
      <w:r>
        <w:rPr>
          <w:sz w:val="21"/>
        </w:rPr>
        <mc:AlternateContent>
          <mc:Choice Requires="wps">
            <w:drawing>
              <wp:anchor distT="0" distB="0" distL="114300" distR="114300" simplePos="0" relativeHeight="251777024" behindDoc="0" locked="0" layoutInCell="1" allowOverlap="1">
                <wp:simplePos x="0" y="0"/>
                <wp:positionH relativeFrom="column">
                  <wp:posOffset>6435725</wp:posOffset>
                </wp:positionH>
                <wp:positionV relativeFrom="paragraph">
                  <wp:posOffset>185420</wp:posOffset>
                </wp:positionV>
                <wp:extent cx="1763395" cy="1031240"/>
                <wp:effectExtent l="5080" t="4445" r="22225" b="12065"/>
                <wp:wrapNone/>
                <wp:docPr id="157" name="文本框 157"/>
                <wp:cNvGraphicFramePr/>
                <a:graphic xmlns:a="http://schemas.openxmlformats.org/drawingml/2006/main">
                  <a:graphicData uri="http://schemas.microsoft.com/office/word/2010/wordprocessingShape">
                    <wps:wsp>
                      <wps:cNvSpPr txBox="1"/>
                      <wps:spPr>
                        <a:xfrm>
                          <a:off x="6654800" y="4568825"/>
                          <a:ext cx="1763395" cy="10312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lang w:val="en-US" w:eastAsia="zh-CN"/>
                              </w:rPr>
                            </w:pPr>
                            <w:r>
                              <w:rPr>
                                <w:rFonts w:hint="eastAsia"/>
                                <w:b/>
                                <w:bCs/>
                                <w:lang w:val="en-US" w:eastAsia="zh-CN"/>
                              </w:rPr>
                              <w:t>图例：</w:t>
                            </w:r>
                          </w:p>
                          <w:p>
                            <w:pPr>
                              <w:ind w:firstLine="1205" w:firstLineChars="800"/>
                              <w:rPr>
                                <w:rFonts w:hint="eastAsia"/>
                                <w:b/>
                                <w:bCs/>
                                <w:sz w:val="15"/>
                                <w:szCs w:val="13"/>
                                <w:lang w:val="en-US" w:eastAsia="zh-CN"/>
                              </w:rPr>
                            </w:pPr>
                            <w:r>
                              <w:rPr>
                                <w:rFonts w:hint="eastAsia"/>
                                <w:b/>
                                <w:bCs/>
                                <w:sz w:val="15"/>
                                <w:szCs w:val="13"/>
                                <w:lang w:val="en-US" w:eastAsia="zh-CN"/>
                              </w:rPr>
                              <w:t>项目位置</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firstLine="1205" w:firstLineChars="800"/>
                              <w:textAlignment w:val="auto"/>
                              <w:rPr>
                                <w:rFonts w:hint="eastAsia"/>
                                <w:b/>
                                <w:bCs/>
                                <w:sz w:val="15"/>
                                <w:szCs w:val="13"/>
                                <w:lang w:val="en-US" w:eastAsia="zh-CN"/>
                              </w:rPr>
                            </w:pPr>
                            <w:r>
                              <w:rPr>
                                <w:rFonts w:hint="eastAsia"/>
                                <w:b/>
                                <w:bCs/>
                                <w:sz w:val="15"/>
                                <w:szCs w:val="13"/>
                                <w:lang w:val="en-US" w:eastAsia="zh-CN"/>
                              </w:rPr>
                              <w:t>依托设施位置</w:t>
                            </w:r>
                          </w:p>
                          <w:p>
                            <w:pPr>
                              <w:keepNext w:val="0"/>
                              <w:keepLines w:val="0"/>
                              <w:pageBreakBefore w:val="0"/>
                              <w:widowControl w:val="0"/>
                              <w:kinsoku/>
                              <w:wordWrap/>
                              <w:overflowPunct/>
                              <w:topLinePunct w:val="0"/>
                              <w:autoSpaceDE/>
                              <w:autoSpaceDN/>
                              <w:bidi w:val="0"/>
                              <w:adjustRightInd/>
                              <w:snapToGrid w:val="0"/>
                              <w:spacing w:line="360" w:lineRule="auto"/>
                              <w:ind w:firstLine="1205" w:firstLineChars="800"/>
                              <w:textAlignment w:val="auto"/>
                              <w:rPr>
                                <w:rFonts w:hint="default"/>
                                <w:sz w:val="22"/>
                                <w:szCs w:val="22"/>
                                <w:lang w:val="en-US" w:eastAsia="zh-CN"/>
                              </w:rPr>
                            </w:pPr>
                            <w:r>
                              <w:rPr>
                                <w:rFonts w:hint="eastAsia"/>
                                <w:b/>
                                <w:bCs/>
                                <w:sz w:val="15"/>
                                <w:szCs w:val="13"/>
                                <w:lang w:val="en-US" w:eastAsia="zh-CN"/>
                              </w:rPr>
                              <w:t>园区地下水监测井</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1205" w:firstLineChars="800"/>
                              <w:textAlignment w:val="auto"/>
                              <w:rPr>
                                <w:rFonts w:hint="default"/>
                                <w:b/>
                                <w:bCs/>
                                <w:sz w:val="13"/>
                                <w:szCs w:val="11"/>
                                <w:lang w:val="en-US" w:eastAsia="zh-CN"/>
                              </w:rPr>
                            </w:pPr>
                            <w:r>
                              <w:rPr>
                                <w:rFonts w:hint="eastAsia"/>
                                <w:b/>
                                <w:bCs/>
                                <w:sz w:val="15"/>
                                <w:szCs w:val="13"/>
                                <w:lang w:val="en-US" w:eastAsia="zh-CN"/>
                              </w:rPr>
                              <w:t>本项目利用监测点</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b/>
                                <w:bCs/>
                                <w:sz w:val="13"/>
                                <w:szCs w:val="11"/>
                                <w:lang w:val="en-US" w:eastAsia="zh-CN"/>
                              </w:rPr>
                            </w:pPr>
                          </w:p>
                          <w:p>
                            <w:pPr>
                              <w:pStyle w:val="2"/>
                              <w:rPr>
                                <w:rFonts w:hint="eastAsia"/>
                                <w:lang w:val="en-US" w:eastAsia="zh-CN"/>
                              </w:rPr>
                            </w:pPr>
                          </w:p>
                          <w:p>
                            <w:pPr>
                              <w:pStyle w:val="17"/>
                              <w:keepNext w:val="0"/>
                              <w:keepLines w:val="0"/>
                              <w:pageBreakBefore w:val="0"/>
                              <w:widowControl w:val="0"/>
                              <w:kinsoku/>
                              <w:wordWrap/>
                              <w:overflowPunct/>
                              <w:topLinePunct w:val="0"/>
                              <w:autoSpaceDE/>
                              <w:autoSpaceDN/>
                              <w:bidi w:val="0"/>
                              <w:adjustRightInd/>
                              <w:snapToGrid w:val="0"/>
                              <w:spacing w:after="0"/>
                              <w:jc w:val="left"/>
                              <w:textAlignment w:val="auto"/>
                              <w:rPr>
                                <w:rFonts w:hint="eastAsia"/>
                                <w:b/>
                                <w:bCs/>
                                <w:sz w:val="13"/>
                                <w:szCs w:val="13"/>
                                <w:lang w:val="en-US" w:eastAsia="zh-CN"/>
                              </w:rPr>
                            </w:pPr>
                          </w:p>
                          <w:p>
                            <w:pPr>
                              <w:keepNext w:val="0"/>
                              <w:keepLines w:val="0"/>
                              <w:pageBreakBefore w:val="0"/>
                              <w:widowControl w:val="0"/>
                              <w:kinsoku/>
                              <w:wordWrap/>
                              <w:overflowPunct/>
                              <w:topLinePunct w:val="0"/>
                              <w:autoSpaceDE/>
                              <w:autoSpaceDN/>
                              <w:bidi w:val="0"/>
                              <w:adjustRightInd/>
                              <w:snapToGrid w:val="0"/>
                              <w:jc w:val="left"/>
                              <w:textAlignment w:val="auto"/>
                              <w:rPr>
                                <w:rFonts w:hint="eastAsia"/>
                                <w:sz w:val="13"/>
                                <w:szCs w:val="13"/>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6.75pt;margin-top:14.6pt;height:81.2pt;width:138.85pt;z-index:251777024;mso-width-relative:page;mso-height-relative:page;" fillcolor="#FFFFFF [3201]" filled="t" stroked="t" coordsize="21600,21600" o:gfxdata="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0xxndYAAAAMAQAADwAAAAAA&#10;AAABACAAAAAiAAAAZHJzL2Rvd25yZXYueG1sUEsBAhQAFAAAAAgAh07iQEueCZJOAgAAegQAAA4A&#10;AAAAAAAAAQAgAAAAJQEAAGRycy9lMm9Eb2MueG1sUEsFBgAAAAAGAAYAWQEAAOUFAAAAAA==&#10;">
                <v:fill on="t" focussize="0,0"/>
                <v:stroke weight="0.5pt" color="#000000 [3204]" joinstyle="round"/>
                <v:imagedata o:title=""/>
                <o:lock v:ext="edit" aspectratio="f"/>
                <v:textbox>
                  <w:txbxContent>
                    <w:p>
                      <w:pPr>
                        <w:rPr>
                          <w:rFonts w:hint="eastAsia"/>
                          <w:b/>
                          <w:bCs/>
                          <w:lang w:val="en-US" w:eastAsia="zh-CN"/>
                        </w:rPr>
                      </w:pPr>
                      <w:r>
                        <w:rPr>
                          <w:rFonts w:hint="eastAsia"/>
                          <w:b/>
                          <w:bCs/>
                          <w:lang w:val="en-US" w:eastAsia="zh-CN"/>
                        </w:rPr>
                        <w:t>图例：</w:t>
                      </w:r>
                    </w:p>
                    <w:p>
                      <w:pPr>
                        <w:ind w:firstLine="1205" w:firstLineChars="800"/>
                        <w:rPr>
                          <w:rFonts w:hint="eastAsia"/>
                          <w:b/>
                          <w:bCs/>
                          <w:sz w:val="15"/>
                          <w:szCs w:val="13"/>
                          <w:lang w:val="en-US" w:eastAsia="zh-CN"/>
                        </w:rPr>
                      </w:pPr>
                      <w:r>
                        <w:rPr>
                          <w:rFonts w:hint="eastAsia"/>
                          <w:b/>
                          <w:bCs/>
                          <w:sz w:val="15"/>
                          <w:szCs w:val="13"/>
                          <w:lang w:val="en-US" w:eastAsia="zh-CN"/>
                        </w:rPr>
                        <w:t>项目位置</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firstLine="1205" w:firstLineChars="800"/>
                        <w:textAlignment w:val="auto"/>
                        <w:rPr>
                          <w:rFonts w:hint="eastAsia"/>
                          <w:b/>
                          <w:bCs/>
                          <w:sz w:val="15"/>
                          <w:szCs w:val="13"/>
                          <w:lang w:val="en-US" w:eastAsia="zh-CN"/>
                        </w:rPr>
                      </w:pPr>
                      <w:r>
                        <w:rPr>
                          <w:rFonts w:hint="eastAsia"/>
                          <w:b/>
                          <w:bCs/>
                          <w:sz w:val="15"/>
                          <w:szCs w:val="13"/>
                          <w:lang w:val="en-US" w:eastAsia="zh-CN"/>
                        </w:rPr>
                        <w:t>依托设施位置</w:t>
                      </w:r>
                    </w:p>
                    <w:p>
                      <w:pPr>
                        <w:keepNext w:val="0"/>
                        <w:keepLines w:val="0"/>
                        <w:pageBreakBefore w:val="0"/>
                        <w:widowControl w:val="0"/>
                        <w:kinsoku/>
                        <w:wordWrap/>
                        <w:overflowPunct/>
                        <w:topLinePunct w:val="0"/>
                        <w:autoSpaceDE/>
                        <w:autoSpaceDN/>
                        <w:bidi w:val="0"/>
                        <w:adjustRightInd/>
                        <w:snapToGrid w:val="0"/>
                        <w:spacing w:line="360" w:lineRule="auto"/>
                        <w:ind w:firstLine="1205" w:firstLineChars="800"/>
                        <w:textAlignment w:val="auto"/>
                        <w:rPr>
                          <w:rFonts w:hint="default"/>
                          <w:sz w:val="22"/>
                          <w:szCs w:val="22"/>
                          <w:lang w:val="en-US" w:eastAsia="zh-CN"/>
                        </w:rPr>
                      </w:pPr>
                      <w:r>
                        <w:rPr>
                          <w:rFonts w:hint="eastAsia"/>
                          <w:b/>
                          <w:bCs/>
                          <w:sz w:val="15"/>
                          <w:szCs w:val="13"/>
                          <w:lang w:val="en-US" w:eastAsia="zh-CN"/>
                        </w:rPr>
                        <w:t>园区地下水监测井</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1205" w:firstLineChars="800"/>
                        <w:textAlignment w:val="auto"/>
                        <w:rPr>
                          <w:rFonts w:hint="default"/>
                          <w:b/>
                          <w:bCs/>
                          <w:sz w:val="13"/>
                          <w:szCs w:val="11"/>
                          <w:lang w:val="en-US" w:eastAsia="zh-CN"/>
                        </w:rPr>
                      </w:pPr>
                      <w:r>
                        <w:rPr>
                          <w:rFonts w:hint="eastAsia"/>
                          <w:b/>
                          <w:bCs/>
                          <w:sz w:val="15"/>
                          <w:szCs w:val="13"/>
                          <w:lang w:val="en-US" w:eastAsia="zh-CN"/>
                        </w:rPr>
                        <w:t>本项目利用监测点</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b/>
                          <w:bCs/>
                          <w:sz w:val="13"/>
                          <w:szCs w:val="11"/>
                          <w:lang w:val="en-US" w:eastAsia="zh-CN"/>
                        </w:rPr>
                      </w:pPr>
                    </w:p>
                    <w:p>
                      <w:pPr>
                        <w:pStyle w:val="2"/>
                        <w:rPr>
                          <w:rFonts w:hint="eastAsia"/>
                          <w:lang w:val="en-US" w:eastAsia="zh-CN"/>
                        </w:rPr>
                      </w:pPr>
                    </w:p>
                    <w:p>
                      <w:pPr>
                        <w:pStyle w:val="17"/>
                        <w:keepNext w:val="0"/>
                        <w:keepLines w:val="0"/>
                        <w:pageBreakBefore w:val="0"/>
                        <w:widowControl w:val="0"/>
                        <w:kinsoku/>
                        <w:wordWrap/>
                        <w:overflowPunct/>
                        <w:topLinePunct w:val="0"/>
                        <w:autoSpaceDE/>
                        <w:autoSpaceDN/>
                        <w:bidi w:val="0"/>
                        <w:adjustRightInd/>
                        <w:snapToGrid w:val="0"/>
                        <w:spacing w:after="0"/>
                        <w:jc w:val="left"/>
                        <w:textAlignment w:val="auto"/>
                        <w:rPr>
                          <w:rFonts w:hint="eastAsia"/>
                          <w:b/>
                          <w:bCs/>
                          <w:sz w:val="13"/>
                          <w:szCs w:val="13"/>
                          <w:lang w:val="en-US" w:eastAsia="zh-CN"/>
                        </w:rPr>
                      </w:pPr>
                    </w:p>
                    <w:p>
                      <w:pPr>
                        <w:keepNext w:val="0"/>
                        <w:keepLines w:val="0"/>
                        <w:pageBreakBefore w:val="0"/>
                        <w:widowControl w:val="0"/>
                        <w:kinsoku/>
                        <w:wordWrap/>
                        <w:overflowPunct/>
                        <w:topLinePunct w:val="0"/>
                        <w:autoSpaceDE/>
                        <w:autoSpaceDN/>
                        <w:bidi w:val="0"/>
                        <w:adjustRightInd/>
                        <w:snapToGrid w:val="0"/>
                        <w:jc w:val="left"/>
                        <w:textAlignment w:val="auto"/>
                        <w:rPr>
                          <w:rFonts w:hint="eastAsia"/>
                          <w:sz w:val="13"/>
                          <w:szCs w:val="13"/>
                          <w:lang w:val="en-US" w:eastAsia="zh-CN"/>
                        </w:rPr>
                      </w:pPr>
                    </w:p>
                  </w:txbxContent>
                </v:textbox>
              </v:shape>
            </w:pict>
          </mc:Fallback>
        </mc:AlternateContent>
      </w:r>
    </w:p>
    <w:p>
      <w:pPr>
        <w:pStyle w:val="2"/>
        <w:rPr>
          <w:rFonts w:hint="default"/>
          <w:lang w:val="en-US" w:eastAsia="zh-CN"/>
        </w:rPr>
      </w:pPr>
      <w:r>
        <w:rPr>
          <w:sz w:val="21"/>
        </w:rPr>
        <mc:AlternateContent>
          <mc:Choice Requires="wps">
            <w:drawing>
              <wp:anchor distT="0" distB="0" distL="114300" distR="114300" simplePos="0" relativeHeight="251779072" behindDoc="0" locked="0" layoutInCell="1" allowOverlap="1">
                <wp:simplePos x="0" y="0"/>
                <wp:positionH relativeFrom="column">
                  <wp:posOffset>6835140</wp:posOffset>
                </wp:positionH>
                <wp:positionV relativeFrom="paragraph">
                  <wp:posOffset>315595</wp:posOffset>
                </wp:positionV>
                <wp:extent cx="125730" cy="80645"/>
                <wp:effectExtent l="6350" t="6350" r="20320" b="8255"/>
                <wp:wrapNone/>
                <wp:docPr id="159" name="矩形 159"/>
                <wp:cNvGraphicFramePr/>
                <a:graphic xmlns:a="http://schemas.openxmlformats.org/drawingml/2006/main">
                  <a:graphicData uri="http://schemas.microsoft.com/office/word/2010/wordprocessingShape">
                    <wps:wsp>
                      <wps:cNvSpPr/>
                      <wps:spPr>
                        <a:xfrm>
                          <a:off x="0" y="0"/>
                          <a:ext cx="125730" cy="80645"/>
                        </a:xfrm>
                        <a:prstGeom prst="rect">
                          <a:avLst/>
                        </a:prstGeom>
                        <a:solidFill>
                          <a:srgbClr val="00B05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8.2pt;margin-top:24.85pt;height:6.35pt;width:9.9pt;z-index:251779072;v-text-anchor:middle;mso-width-relative:page;mso-height-relative:page;" fillcolor="#00B050" filled="t" stroked="t" coordsize="21600,21600" o:gfxdata="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OGjfZdkA&#10;AAALAQAADwAAAAAAAAABACAAAAAiAAAAZHJzL2Rvd25yZXYueG1sUEsBAhQAFAAAAAgAh07iQNTd&#10;iexXAgAAqAQAAA4AAAAAAAAAAQAgAAAAKAEAAGRycy9lMm9Eb2MueG1sUEsFBgAAAAAGAAYAWQEA&#10;APEFAAAAAA==&#10;">
                <v:fill on="t" focussize="0,0"/>
                <v:stroke weight="1pt" color="#FF0000 [320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6830695</wp:posOffset>
                </wp:positionH>
                <wp:positionV relativeFrom="paragraph">
                  <wp:posOffset>160020</wp:posOffset>
                </wp:positionV>
                <wp:extent cx="135255" cy="92710"/>
                <wp:effectExtent l="6350" t="6350" r="10795" b="15240"/>
                <wp:wrapNone/>
                <wp:docPr id="158" name="矩形 158"/>
                <wp:cNvGraphicFramePr/>
                <a:graphic xmlns:a="http://schemas.openxmlformats.org/drawingml/2006/main">
                  <a:graphicData uri="http://schemas.microsoft.com/office/word/2010/wordprocessingShape">
                    <wps:wsp>
                      <wps:cNvSpPr/>
                      <wps:spPr>
                        <a:xfrm>
                          <a:off x="0" y="0"/>
                          <a:ext cx="135255" cy="92710"/>
                        </a:xfrm>
                        <a:prstGeom prst="rect">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7.85pt;margin-top:12.6pt;height:7.3pt;width:10.65pt;z-index:251778048;v-text-anchor:middle;mso-width-relative:page;mso-height-relative:page;" fillcolor="#FFFF00" filled="t" stroked="t" coordsize="21600,21600" o:gfxdata="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Je4UtoA&#10;AAALAQAADwAAAAAAAAABACAAAAAiAAAAZHJzL2Rvd25yZXYueG1sUEsBAhQAFAAAAAgAh07iQMM9&#10;xbBWAgAAqAQAAA4AAAAAAAAAAQAgAAAAKQEAAGRycy9lMm9Eb2MueG1sUEsFBgAAAAAGAAYAWQEA&#10;APEFAAAAAA==&#10;">
                <v:fill on="t" focussize="0,0"/>
                <v:stroke weight="1pt" color="#FF0000 [3204]" miterlimit="8" joinstyle="miter"/>
                <v:imagedata o:title=""/>
                <o:lock v:ext="edit" aspectratio="f"/>
              </v:rect>
            </w:pict>
          </mc:Fallback>
        </mc:AlternateContent>
      </w:r>
    </w:p>
    <w:p>
      <w:pPr>
        <w:pStyle w:val="2"/>
        <w:rPr>
          <w:rFonts w:hint="default"/>
          <w:lang w:val="en-US" w:eastAsia="zh-CN"/>
        </w:rPr>
      </w:pPr>
      <w:r>
        <w:rPr>
          <w:sz w:val="21"/>
        </w:rPr>
        <mc:AlternateContent>
          <mc:Choice Requires="wps">
            <w:drawing>
              <wp:anchor distT="0" distB="0" distL="114300" distR="114300" simplePos="0" relativeHeight="251780096" behindDoc="0" locked="0" layoutInCell="1" allowOverlap="1">
                <wp:simplePos x="0" y="0"/>
                <wp:positionH relativeFrom="column">
                  <wp:posOffset>6870700</wp:posOffset>
                </wp:positionH>
                <wp:positionV relativeFrom="paragraph">
                  <wp:posOffset>178435</wp:posOffset>
                </wp:positionV>
                <wp:extent cx="76200" cy="75565"/>
                <wp:effectExtent l="6350" t="6350" r="12700" b="13335"/>
                <wp:wrapNone/>
                <wp:docPr id="160" name="椭圆 160"/>
                <wp:cNvGraphicFramePr/>
                <a:graphic xmlns:a="http://schemas.openxmlformats.org/drawingml/2006/main">
                  <a:graphicData uri="http://schemas.microsoft.com/office/word/2010/wordprocessingShape">
                    <wps:wsp>
                      <wps:cNvSpPr/>
                      <wps:spPr>
                        <a:xfrm>
                          <a:off x="7811770" y="5625465"/>
                          <a:ext cx="76200" cy="7556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41pt;margin-top:14.05pt;height:5.95pt;width:6pt;z-index:251780096;v-text-anchor:middle;mso-width-relative:page;mso-height-relative:page;" fillcolor="#FF0000" filled="t" stroked="t" coordsize="21600,21600" o:gfxdata="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N5Lo&#10;5dUAAAALAQAADwAAAAAAAAABACAAAAAiAAAAZHJzL2Rvd25yZXYueG1sUEsBAhQAFAAAAAgAh07i&#10;QNSrDl5eAgAAtgQAAA4AAAAAAAAAAQAgAAAAJAEAAGRycy9lMm9Eb2MueG1sUEsFBgAAAAAGAAYA&#10;WQEAAPQFAAAAAA==&#10;">
                <v:fill on="t" focussize="0,0"/>
                <v:stroke weight="1pt" color="#FF0000 [3204]" miterlimit="8" joinstyle="miter"/>
                <v:imagedata o:title=""/>
                <o:lock v:ext="edit" aspectratio="f"/>
              </v:shape>
            </w:pict>
          </mc:Fallback>
        </mc:AlternateContent>
      </w:r>
    </w:p>
    <w:p>
      <w:pPr>
        <w:pStyle w:val="17"/>
        <w:rPr>
          <w:rFonts w:hint="default"/>
          <w:lang w:val="en-US" w:eastAsia="zh-CN"/>
        </w:rPr>
      </w:pPr>
      <w:r>
        <w:rPr>
          <w:sz w:val="21"/>
        </w:rPr>
        <mc:AlternateContent>
          <mc:Choice Requires="wps">
            <w:drawing>
              <wp:anchor distT="0" distB="0" distL="114300" distR="114300" simplePos="0" relativeHeight="251781120" behindDoc="0" locked="0" layoutInCell="1" allowOverlap="1">
                <wp:simplePos x="0" y="0"/>
                <wp:positionH relativeFrom="column">
                  <wp:posOffset>6853555</wp:posOffset>
                </wp:positionH>
                <wp:positionV relativeFrom="paragraph">
                  <wp:posOffset>2540</wp:posOffset>
                </wp:positionV>
                <wp:extent cx="126365" cy="107950"/>
                <wp:effectExtent l="10795" t="12700" r="15240" b="12700"/>
                <wp:wrapNone/>
                <wp:docPr id="161" name="等腰三角形 161"/>
                <wp:cNvGraphicFramePr/>
                <a:graphic xmlns:a="http://schemas.openxmlformats.org/drawingml/2006/main">
                  <a:graphicData uri="http://schemas.microsoft.com/office/word/2010/wordprocessingShape">
                    <wps:wsp>
                      <wps:cNvSpPr/>
                      <wps:spPr>
                        <a:xfrm>
                          <a:off x="0" y="0"/>
                          <a:ext cx="126365" cy="107950"/>
                        </a:xfrm>
                        <a:prstGeom prst="triangl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39.65pt;margin-top:0.2pt;height:8.5pt;width:9.95pt;z-index:251781120;v-text-anchor:middle;mso-width-relative:page;mso-height-relative:page;" fillcolor="#7030A0" filled="t" stroked="t" coordsize="21600,21600" o:gfxdata="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SQ6uDVAAAACQEAAA8AAAAAAAAAAQAgAAAAIgAAAGRycy9kb3ducmV2LnhtbFBLAQIU&#10;ABQAAAAIAIdO4kCI7+svaAIAALYEAAAOAAAAAAAAAAEAIAAAACQBAABkcnMvZTJvRG9jLnhtbFBL&#10;BQYAAAAABgAGAFkBAAD+BQAAAAA=&#10;" adj="10800">
                <v:fill on="t" focussize="0,0"/>
                <v:stroke weight="1pt" color="#7030A0 [3204]" miterlimit="8" joinstyle="miter"/>
                <v:imagedata o:title=""/>
                <o:lock v:ext="edit" aspectratio="f"/>
              </v:shape>
            </w:pict>
          </mc:Fallback>
        </mc:AlternateContent>
      </w:r>
    </w:p>
    <w:p>
      <w:pPr>
        <w:pStyle w:val="2"/>
        <w:jc w:val="center"/>
        <w:rPr>
          <w:rFonts w:hint="default"/>
          <w:lang w:val="en-US" w:eastAsia="zh-CN"/>
        </w:rPr>
        <w:sectPr>
          <w:headerReference r:id="rId46" w:type="default"/>
          <w:footerReference r:id="rId47"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b/>
          <w:bCs/>
          <w:sz w:val="24"/>
          <w:szCs w:val="24"/>
          <w:lang w:val="en-US" w:eastAsia="zh-CN"/>
        </w:rPr>
        <w:t>图</w:t>
      </w:r>
      <w:r>
        <w:rPr>
          <w:rFonts w:hint="default" w:ascii="Times New Roman" w:hAnsi="Times New Roman" w:cs="Times New Roman"/>
          <w:b/>
          <w:bCs/>
          <w:sz w:val="24"/>
          <w:szCs w:val="24"/>
          <w:lang w:val="en-US" w:eastAsia="zh-CN"/>
        </w:rPr>
        <w:t>6.3-</w:t>
      </w:r>
      <w:r>
        <w:rPr>
          <w:rFonts w:hint="eastAsia" w:ascii="Times New Roman" w:hAnsi="Times New Roman" w:cs="Times New Roman"/>
          <w:b/>
          <w:bCs/>
          <w:sz w:val="24"/>
          <w:szCs w:val="24"/>
          <w:lang w:val="en-US" w:eastAsia="zh-CN"/>
        </w:rPr>
        <w:t>6</w:t>
      </w:r>
      <w:r>
        <w:rPr>
          <w:rFonts w:hint="default"/>
          <w:b/>
          <w:bCs/>
          <w:sz w:val="24"/>
          <w:szCs w:val="24"/>
          <w:lang w:val="en-US" w:eastAsia="zh-CN"/>
        </w:rPr>
        <w:t xml:space="preserve"> 地下水监控点布置图（比例尺</w:t>
      </w:r>
      <w:r>
        <w:rPr>
          <w:rFonts w:hint="default" w:ascii="Times New Roman" w:hAnsi="Times New Roman" w:cs="Times New Roman"/>
          <w:b/>
          <w:bCs/>
          <w:sz w:val="24"/>
          <w:szCs w:val="24"/>
          <w:lang w:val="en-US" w:eastAsia="zh-CN"/>
        </w:rPr>
        <w:t xml:space="preserve"> 1:50000</w:t>
      </w:r>
      <w:r>
        <w:rPr>
          <w:rFonts w:hint="default"/>
          <w:b/>
          <w:bCs/>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5</w:t>
      </w:r>
      <w:r>
        <w:rPr>
          <w:b/>
          <w:bCs/>
          <w:color w:val="auto"/>
          <w:sz w:val="28"/>
          <w:szCs w:val="28"/>
        </w:rPr>
        <w:t xml:space="preserve"> </w:t>
      </w:r>
      <w:r>
        <w:rPr>
          <w:rFonts w:hint="eastAsia"/>
          <w:b/>
          <w:bCs/>
          <w:color w:val="auto"/>
          <w:sz w:val="28"/>
          <w:szCs w:val="28"/>
        </w:rPr>
        <w:t>地下水环境影响预测</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1、污染源及污染途径分析</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根据地下水地质条件、地下水补给、径流条件等，分析本工程废水排放情况，可能造成的地下水污染途径有以下几种途径：</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（1）废水收集处理系统防渗措施不足，导致废水渗入地下造成对地下水的污染；</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（2）工程使用的各类废水池、污水管道防渗措施不足，而造成废水渗漏污染；</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（3）生产设施因基础防渗不足通过裂隙污染地下水；</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（4）废水汇集渠道防渗措施不足，而造成废水下渗污染地下水。</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2、非正常工况下</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情景设定：污水</w:t>
      </w:r>
      <w:r>
        <w:rPr>
          <w:rFonts w:hint="eastAsia" w:cs="Times New Roman"/>
          <w:color w:val="auto"/>
          <w:szCs w:val="24"/>
          <w:lang w:val="en-US" w:eastAsia="zh-CN"/>
        </w:rPr>
        <w:t>输送</w:t>
      </w:r>
      <w:r>
        <w:rPr>
          <w:rFonts w:hint="default" w:ascii="Times New Roman" w:hAnsi="Times New Roman" w:cs="Times New Roman"/>
          <w:color w:val="auto"/>
          <w:szCs w:val="24"/>
        </w:rPr>
        <w:t>管道等连接处开裂或腐蚀磨损等原因，会发生废水泄漏。若恰好发生泄漏处的地下水防渗层断裂或破坏，则将导致泄漏污染物污染地下水。</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泄漏源强类型：间断性源强。</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3、项目对地下水影响分析</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（1）地下水水质影响预测情景设定</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预测情景主要分为正常工况、事故工况两种情景。</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fldChar w:fldCharType="begin"/>
      </w:r>
      <w:r>
        <w:rPr>
          <w:rFonts w:hint="default" w:ascii="Times New Roman" w:hAnsi="Times New Roman" w:cs="Times New Roman"/>
          <w:color w:val="auto"/>
          <w:szCs w:val="24"/>
        </w:rPr>
        <w:instrText xml:space="preserve"> = 1 \* GB3 </w:instrText>
      </w:r>
      <w:r>
        <w:rPr>
          <w:rFonts w:hint="default" w:ascii="Times New Roman" w:hAnsi="Times New Roman" w:cs="Times New Roman"/>
          <w:color w:val="auto"/>
          <w:szCs w:val="24"/>
        </w:rPr>
        <w:fldChar w:fldCharType="separate"/>
      </w:r>
      <w:r>
        <w:rPr>
          <w:rFonts w:hint="default" w:ascii="Times New Roman" w:hAnsi="Times New Roman" w:cs="Times New Roman"/>
          <w:color w:val="auto"/>
          <w:szCs w:val="24"/>
        </w:rPr>
        <w:t>①</w:t>
      </w:r>
      <w:r>
        <w:rPr>
          <w:rFonts w:hint="default" w:ascii="Times New Roman" w:hAnsi="Times New Roman" w:cs="Times New Roman"/>
          <w:color w:val="auto"/>
          <w:szCs w:val="24"/>
        </w:rPr>
        <w:fldChar w:fldCharType="end"/>
      </w:r>
      <w:r>
        <w:rPr>
          <w:rFonts w:hint="default" w:ascii="Times New Roman" w:hAnsi="Times New Roman" w:cs="Times New Roman"/>
          <w:color w:val="auto"/>
          <w:szCs w:val="24"/>
        </w:rPr>
        <w:t>正常工况</w:t>
      </w:r>
    </w:p>
    <w:p>
      <w:pPr>
        <w:pStyle w:val="26"/>
        <w:snapToGrid w:val="0"/>
        <w:spacing w:after="0"/>
        <w:rPr>
          <w:rFonts w:hint="eastAsia" w:ascii="Times New Roman" w:hAnsi="Times New Roman" w:eastAsia="宋体" w:cs="Times New Roman"/>
          <w:color w:val="auto"/>
          <w:szCs w:val="24"/>
          <w:lang w:val="en-US" w:eastAsia="zh-CN"/>
        </w:rPr>
      </w:pPr>
      <w:r>
        <w:rPr>
          <w:rFonts w:hint="eastAsia" w:ascii="Times New Roman" w:hAnsi="Times New Roman" w:eastAsia="宋体" w:cs="Times New Roman"/>
          <w:color w:val="auto"/>
          <w:szCs w:val="24"/>
          <w:lang w:val="en-US" w:eastAsia="zh-CN"/>
        </w:rPr>
        <w:t>正常工况下污水暂存池和输水管道等设施采用了防渗漏等措施，污染物从源头得到控制，污染物污染地下水的可能性很小。</w:t>
      </w:r>
    </w:p>
    <w:p>
      <w:pPr>
        <w:pStyle w:val="26"/>
        <w:snapToGrid w:val="0"/>
        <w:spacing w:after="0"/>
        <w:rPr>
          <w:rFonts w:hint="eastAsia" w:ascii="Times New Roman" w:hAnsi="Times New Roman" w:eastAsia="宋体" w:cs="Times New Roman"/>
          <w:color w:val="auto"/>
          <w:szCs w:val="24"/>
          <w:lang w:val="en-US" w:eastAsia="zh-CN"/>
        </w:rPr>
      </w:pPr>
      <w:r>
        <w:rPr>
          <w:rFonts w:hint="eastAsia" w:ascii="Times New Roman" w:hAnsi="Times New Roman" w:eastAsia="宋体" w:cs="Times New Roman"/>
          <w:color w:val="auto"/>
          <w:szCs w:val="24"/>
          <w:lang w:val="en-US" w:eastAsia="zh-CN"/>
        </w:rPr>
        <w:fldChar w:fldCharType="begin"/>
      </w:r>
      <w:r>
        <w:rPr>
          <w:rFonts w:hint="eastAsia" w:ascii="Times New Roman" w:hAnsi="Times New Roman" w:eastAsia="宋体" w:cs="Times New Roman"/>
          <w:color w:val="auto"/>
          <w:szCs w:val="24"/>
          <w:lang w:val="en-US" w:eastAsia="zh-CN"/>
        </w:rPr>
        <w:instrText xml:space="preserve"> = 2 \* GB3 </w:instrText>
      </w:r>
      <w:r>
        <w:rPr>
          <w:rFonts w:hint="eastAsia" w:ascii="Times New Roman" w:hAnsi="Times New Roman" w:eastAsia="宋体" w:cs="Times New Roman"/>
          <w:color w:val="auto"/>
          <w:szCs w:val="24"/>
          <w:lang w:val="en-US" w:eastAsia="zh-CN"/>
        </w:rPr>
        <w:fldChar w:fldCharType="separate"/>
      </w:r>
      <w:r>
        <w:rPr>
          <w:rFonts w:hint="eastAsia" w:ascii="Times New Roman" w:hAnsi="Times New Roman" w:eastAsia="宋体" w:cs="Times New Roman"/>
          <w:color w:val="auto"/>
          <w:szCs w:val="24"/>
          <w:lang w:val="en-US" w:eastAsia="zh-CN"/>
        </w:rPr>
        <w:t>②</w:t>
      </w:r>
      <w:r>
        <w:rPr>
          <w:rFonts w:hint="eastAsia" w:ascii="Times New Roman" w:hAnsi="Times New Roman" w:eastAsia="宋体" w:cs="Times New Roman"/>
          <w:color w:val="auto"/>
          <w:szCs w:val="24"/>
          <w:lang w:val="en-US" w:eastAsia="zh-CN"/>
        </w:rPr>
        <w:fldChar w:fldCharType="end"/>
      </w:r>
      <w:r>
        <w:rPr>
          <w:rFonts w:hint="eastAsia" w:ascii="Times New Roman" w:hAnsi="Times New Roman" w:eastAsia="宋体" w:cs="Times New Roman"/>
          <w:color w:val="auto"/>
          <w:szCs w:val="24"/>
          <w:lang w:val="en-US" w:eastAsia="zh-CN"/>
        </w:rPr>
        <w:t>事故工况下</w:t>
      </w:r>
    </w:p>
    <w:p>
      <w:pPr>
        <w:pStyle w:val="26"/>
        <w:snapToGrid w:val="0"/>
        <w:spacing w:after="0"/>
        <w:rPr>
          <w:rFonts w:hint="eastAsia" w:ascii="Times New Roman" w:hAnsi="Times New Roman" w:eastAsia="宋体" w:cs="Times New Roman"/>
          <w:color w:val="auto"/>
          <w:szCs w:val="24"/>
          <w:lang w:val="en-US" w:eastAsia="zh-CN"/>
        </w:rPr>
      </w:pPr>
      <w:r>
        <w:rPr>
          <w:rFonts w:hint="eastAsia" w:ascii="Times New Roman" w:hAnsi="Times New Roman" w:eastAsia="宋体" w:cs="Times New Roman"/>
          <w:color w:val="auto"/>
          <w:szCs w:val="24"/>
          <w:lang w:val="en-US" w:eastAsia="zh-CN"/>
        </w:rPr>
        <w:t>当污水暂存池等设施四壁或底部出现破损，输水系统出现故障，项目场地内泄露的污水，流经未防渗地段，透过包气带渗入地下水，对地下水造成污染。</w:t>
      </w:r>
    </w:p>
    <w:p>
      <w:pPr>
        <w:pStyle w:val="26"/>
        <w:snapToGrid w:val="0"/>
        <w:spacing w:after="0"/>
        <w:rPr>
          <w:rFonts w:hint="eastAsia" w:ascii="Times New Roman" w:hAnsi="Times New Roman" w:eastAsia="宋体" w:cs="Times New Roman"/>
          <w:color w:val="auto"/>
          <w:szCs w:val="24"/>
          <w:lang w:val="en-US" w:eastAsia="zh-CN"/>
        </w:rPr>
      </w:pPr>
      <w:r>
        <w:rPr>
          <w:rFonts w:hint="eastAsia" w:ascii="Times New Roman" w:hAnsi="Times New Roman" w:eastAsia="宋体" w:cs="Times New Roman"/>
          <w:color w:val="auto"/>
          <w:szCs w:val="24"/>
          <w:lang w:val="en-US" w:eastAsia="zh-CN"/>
        </w:rPr>
        <w:t>故在事故工况情况下，会产生一定量污水，如果防渗措施不当，污染物很容易穿过包气带进入含水层，造成污染。因此从最不利的角度出发，本次评价将对事故工况无防渗情况下，运用解析法进行模拟预测。</w:t>
      </w:r>
    </w:p>
    <w:p>
      <w:pPr>
        <w:pStyle w:val="26"/>
        <w:snapToGrid w:val="0"/>
        <w:spacing w:after="0"/>
        <w:rPr>
          <w:rFonts w:hint="eastAsia" w:ascii="Times New Roman" w:hAnsi="Times New Roman" w:eastAsia="宋体" w:cs="Times New Roman"/>
          <w:color w:val="auto"/>
          <w:szCs w:val="24"/>
          <w:lang w:val="en-US" w:eastAsia="zh-CN"/>
        </w:rPr>
      </w:pPr>
      <w:r>
        <w:rPr>
          <w:rFonts w:hint="eastAsia" w:ascii="Times New Roman" w:hAnsi="Times New Roman" w:eastAsia="宋体" w:cs="Times New Roman"/>
          <w:color w:val="auto"/>
          <w:szCs w:val="24"/>
          <w:lang w:val="en-US" w:eastAsia="zh-CN"/>
        </w:rPr>
        <w:t>综上分析，本项目在事故工况下，项目主要污染物有COD、氨氮等物质，根据本项目特征，选取氨氮为特征因子作为事故工况下特征污染物进行预测。</w:t>
      </w:r>
    </w:p>
    <w:p>
      <w:pPr>
        <w:pStyle w:val="26"/>
        <w:snapToGrid w:val="0"/>
        <w:spacing w:after="0"/>
        <w:rPr>
          <w:rFonts w:hint="eastAsia" w:ascii="Times New Roman" w:hAnsi="Times New Roman" w:eastAsia="宋体" w:cs="Times New Roman"/>
          <w:color w:val="auto"/>
          <w:szCs w:val="24"/>
          <w:lang w:val="en-US" w:eastAsia="zh-CN"/>
        </w:rPr>
      </w:pP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（2）数学模型的建立与参数的确定</w:t>
      </w:r>
    </w:p>
    <w:p>
      <w:pPr>
        <w:pStyle w:val="26"/>
        <w:snapToGrid w:val="0"/>
        <w:spacing w:after="0"/>
        <w:rPr>
          <w:rFonts w:hint="default" w:ascii="Times New Roman" w:hAnsi="Times New Roman" w:cs="Times New Roman"/>
          <w:color w:val="auto"/>
          <w:szCs w:val="24"/>
        </w:rPr>
      </w:pPr>
      <w:r>
        <w:rPr>
          <w:rFonts w:hint="default" w:ascii="Times New Roman" w:hAnsi="Times New Roman" w:cs="Times New Roman"/>
          <w:color w:val="auto"/>
          <w:szCs w:val="24"/>
        </w:rPr>
        <w:t>预测模式采用《环境影响评价技术导则 地下水环境》（HJ 610-2016）附录F推荐的解析法中一维稳定流水动力弥散问题的模式，模式如下：</w:t>
      </w:r>
    </w:p>
    <w:p>
      <w:pPr>
        <w:snapToGrid w:val="0"/>
        <w:spacing w:line="360" w:lineRule="auto"/>
        <w:jc w:val="center"/>
        <w:rPr>
          <w:rFonts w:hint="default" w:ascii="Times New Roman" w:hAnsi="Times New Roman" w:cs="Times New Roman"/>
          <w:color w:val="auto"/>
          <w:szCs w:val="24"/>
        </w:rPr>
      </w:pPr>
      <w:r>
        <w:rPr>
          <w:rFonts w:hint="default" w:ascii="Times New Roman" w:hAnsi="Times New Roman" w:cs="Times New Roman"/>
          <w:color w:val="auto"/>
          <w:szCs w:val="24"/>
        </w:rPr>
        <w:object>
          <v:shape id="_x0000_i1033" o:spt="75" type="#_x0000_t75" style="height:41.85pt;width:181.65pt;" o:ole="t" filled="f" o:preferrelative="t" stroked="f" coordsize="21600,21600">
            <v:path/>
            <v:fill on="f" focussize="0,0"/>
            <v:stroke on="f" joinstyle="miter"/>
            <v:imagedata r:id="rId124" o:title=""/>
            <o:lock v:ext="edit" aspectratio="t"/>
            <w10:wrap type="none"/>
            <w10:anchorlock/>
          </v:shape>
          <o:OLEObject Type="Embed" ProgID="Equation.DSMT4" ShapeID="_x0000_i1033" DrawAspect="Content" ObjectID="_1468075733" r:id="rId123">
            <o:LockedField>false</o:LockedField>
          </o:OLEObject>
        </w:object>
      </w:r>
    </w:p>
    <w:p>
      <w:pPr>
        <w:pStyle w:val="26"/>
        <w:snapToGrid w:val="0"/>
        <w:spacing w:after="0"/>
        <w:rPr>
          <w:rFonts w:hint="eastAsia" w:ascii="Times New Roman" w:hAnsi="Times New Roman" w:eastAsia="宋体" w:cs="Times New Roman"/>
          <w:color w:val="auto"/>
          <w:szCs w:val="24"/>
          <w:lang w:val="en-US" w:eastAsia="zh-CN"/>
        </w:rPr>
      </w:pPr>
      <w:r>
        <w:rPr>
          <w:rFonts w:hint="default" w:ascii="Times New Roman" w:hAnsi="Times New Roman" w:cs="Times New Roman"/>
          <w:color w:val="auto"/>
          <w:szCs w:val="24"/>
        </w:rPr>
        <w:t>关于弥散系数的确定，弥散系数由分子弥散系数和机械弥散系数组成。在本项目条件下，地下水流速较大，以机械弥散为主。预测模式参数见表</w:t>
      </w:r>
      <w:r>
        <w:rPr>
          <w:rFonts w:hint="eastAsia" w:cs="Times New Roman"/>
          <w:color w:val="auto"/>
          <w:szCs w:val="24"/>
          <w:lang w:val="en-US" w:eastAsia="zh-CN"/>
        </w:rPr>
        <w:t>6.3.5</w:t>
      </w:r>
      <w:r>
        <w:rPr>
          <w:rFonts w:hint="default" w:ascii="Times New Roman" w:hAnsi="Times New Roman" w:cs="Times New Roman"/>
          <w:color w:val="auto"/>
          <w:szCs w:val="24"/>
        </w:rPr>
        <w:t>-1。</w:t>
      </w:r>
    </w:p>
    <w:p>
      <w:pPr>
        <w:snapToGrid w:val="0"/>
        <w:ind w:firstLine="198"/>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6.3.5</w:t>
      </w:r>
      <w:r>
        <w:rPr>
          <w:rFonts w:hint="default" w:ascii="Times New Roman" w:hAnsi="Times New Roman" w:cs="Times New Roman"/>
          <w:b/>
          <w:bCs/>
          <w:color w:val="auto"/>
          <w:sz w:val="24"/>
          <w:szCs w:val="24"/>
        </w:rPr>
        <w:t>-1 预测模式参数选取表</w:t>
      </w:r>
    </w:p>
    <w:tbl>
      <w:tblPr>
        <w:tblStyle w:val="18"/>
        <w:tblW w:w="8416"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95"/>
        <w:gridCol w:w="813"/>
        <w:gridCol w:w="660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9"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式中：x</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距注入点的距离（m）；</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3"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时间（d）；</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0"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C(x，t)</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t时刻x处的浓度（mg/L）；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6"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氨氮的质量，M=QC</w:t>
            </w:r>
            <w:r>
              <w:rPr>
                <w:rFonts w:hint="default" w:ascii="Times New Roman" w:hAnsi="Times New Roman" w:cs="Times New Roman"/>
                <w:color w:val="auto"/>
                <w:sz w:val="21"/>
                <w:szCs w:val="21"/>
                <w:vertAlign w:val="subscript"/>
              </w:rPr>
              <w:t>0</w:t>
            </w:r>
            <w:r>
              <w:rPr>
                <w:rFonts w:hint="default" w:ascii="Times New Roman" w:hAnsi="Times New Roman" w:cs="Times New Roman"/>
                <w:color w:val="auto"/>
                <w:sz w:val="21"/>
                <w:szCs w:val="21"/>
              </w:rPr>
              <w:t>/1000（g）；</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97"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Q</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污水渗漏量（m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正常工况污水下渗量=2L/(m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·d)*250m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=500L/d，非正常工况下，污水下渗量设定为正常工况下的10倍，即泄漏量为5000L/d。</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w:t>
            </w:r>
            <w:r>
              <w:rPr>
                <w:rFonts w:hint="default" w:ascii="Times New Roman" w:hAnsi="Times New Roman" w:cs="Times New Roman"/>
                <w:color w:val="auto"/>
                <w:sz w:val="21"/>
                <w:szCs w:val="21"/>
                <w:vertAlign w:val="subscript"/>
              </w:rPr>
              <w:t>0</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pStyle w:val="2"/>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本项目污水氨氮浓度18mg/L。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52"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横截面面积（m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），本区潜水含水层厚度约</w:t>
            </w:r>
            <w:r>
              <w:rPr>
                <w:rFonts w:hint="eastAsia" w:ascii="Times New Roman" w:hAnsi="Times New Roman" w:cs="Times New Roman"/>
                <w:color w:val="auto"/>
                <w:sz w:val="21"/>
                <w:szCs w:val="21"/>
                <w:lang w:val="en-US" w:eastAsia="zh-CN"/>
              </w:rPr>
              <w:t>4</w:t>
            </w:r>
            <w:r>
              <w:rPr>
                <w:rFonts w:hint="default" w:ascii="Times New Roman" w:hAnsi="Times New Roman" w:cs="Times New Roman"/>
                <w:color w:val="auto"/>
                <w:sz w:val="21"/>
                <w:szCs w:val="21"/>
              </w:rPr>
              <w:t>m，本次取</w:t>
            </w:r>
            <w:r>
              <w:rPr>
                <w:rFonts w:hint="eastAsia" w:ascii="Times New Roman" w:hAnsi="Times New Roman" w:cs="Times New Roman"/>
                <w:color w:val="auto"/>
                <w:sz w:val="21"/>
                <w:szCs w:val="21"/>
                <w:lang w:val="en-US" w:eastAsia="zh-CN"/>
              </w:rPr>
              <w:t>4</w:t>
            </w:r>
            <w:r>
              <w:rPr>
                <w:rFonts w:hint="default" w:ascii="Times New Roman" w:hAnsi="Times New Roman" w:cs="Times New Roman"/>
                <w:color w:val="auto"/>
                <w:sz w:val="21"/>
                <w:szCs w:val="21"/>
              </w:rPr>
              <w:t>m，宽度取</w:t>
            </w:r>
            <w:r>
              <w:rPr>
                <w:rFonts w:hint="eastAsia" w:ascii="Times New Roman" w:hAnsi="Times New Roman" w:cs="Times New Roman"/>
                <w:color w:val="auto"/>
                <w:sz w:val="21"/>
                <w:szCs w:val="21"/>
                <w:lang w:val="en-US" w:eastAsia="zh-CN"/>
              </w:rPr>
              <w:t>12</w:t>
            </w:r>
            <w:r>
              <w:rPr>
                <w:rFonts w:hint="default" w:ascii="Times New Roman" w:hAnsi="Times New Roman" w:cs="Times New Roman"/>
                <w:color w:val="auto"/>
                <w:sz w:val="21"/>
                <w:szCs w:val="21"/>
              </w:rPr>
              <w:t>m，则横截面积为</w:t>
            </w:r>
            <w:r>
              <w:rPr>
                <w:rFonts w:hint="eastAsia" w:ascii="Times New Roman" w:hAnsi="Times New Roman" w:cs="Times New Roman"/>
                <w:color w:val="auto"/>
                <w:sz w:val="21"/>
                <w:szCs w:val="21"/>
                <w:lang w:val="en-US" w:eastAsia="zh-CN"/>
              </w:rPr>
              <w:t>48</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6"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u</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水流速度，u=KI/n=0.</w:t>
            </w:r>
            <w:r>
              <w:rPr>
                <w:rFonts w:hint="eastAsia" w:ascii="Times New Roman" w:hAnsi="Times New Roman" w:cs="Times New Roman"/>
                <w:color w:val="auto"/>
                <w:sz w:val="21"/>
                <w:szCs w:val="21"/>
                <w:lang w:val="en-US" w:eastAsia="zh-CN"/>
              </w:rPr>
              <w:t>26</w:t>
            </w:r>
            <w:r>
              <w:rPr>
                <w:rFonts w:hint="default" w:ascii="Times New Roman" w:hAnsi="Times New Roman" w:cs="Times New Roman"/>
                <w:color w:val="auto"/>
                <w:sz w:val="21"/>
                <w:szCs w:val="21"/>
              </w:rPr>
              <w:t>m/d；</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52"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渗透系数，m/d，根据《环境影响评价技术导则 地下水》（HJ610-2016）附录B，本项目地下水浅水层30m时主要为粘土，渗透系数按最不利情况下选取0.25m/d；</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0"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I</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水力坡度，本地水力坡度</w:t>
            </w:r>
            <w:r>
              <w:rPr>
                <w:rFonts w:hint="eastAsia" w:ascii="Times New Roman" w:hAnsi="Times New Roman" w:cs="Times New Roman"/>
                <w:color w:val="auto"/>
                <w:sz w:val="21"/>
                <w:szCs w:val="21"/>
                <w:lang w:val="en-US" w:eastAsia="zh-CN"/>
              </w:rPr>
              <w:t>6.2</w:t>
            </w: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5"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有效孔隙度n=0.</w:t>
            </w:r>
            <w:r>
              <w:rPr>
                <w:rFonts w:hint="eastAsia" w:ascii="Times New Roman" w:hAnsi="Times New Roman" w:cs="Times New Roman"/>
                <w:color w:val="auto"/>
                <w:sz w:val="21"/>
                <w:szCs w:val="21"/>
                <w:lang w:val="en-US" w:eastAsia="zh-CN"/>
              </w:rPr>
              <w:t>612</w:t>
            </w: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9"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DL</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纵向弥散系数</w:t>
            </w:r>
            <w:r>
              <w:rPr>
                <w:rFonts w:hint="eastAsia" w:ascii="Times New Roman" w:hAnsi="Times New Roman" w:cs="Times New Roman"/>
                <w:color w:val="auto"/>
                <w:sz w:val="21"/>
                <w:szCs w:val="21"/>
                <w:lang w:val="en-US" w:eastAsia="zh-CN"/>
              </w:rPr>
              <w:t>3.26</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/d；</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995"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π</w:t>
            </w:r>
          </w:p>
        </w:tc>
        <w:tc>
          <w:tcPr>
            <w:tcW w:w="813"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8" w:type="dxa"/>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圆周率。</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jc w:val="center"/>
        <w:textAlignment w:val="auto"/>
        <w:rPr>
          <w:rFonts w:hint="default" w:ascii="Times New Roman" w:hAnsi="Times New Roman" w:cs="Times New Roman"/>
          <w:b/>
          <w:color w:val="auto"/>
        </w:rPr>
      </w:pPr>
      <w:r>
        <w:rPr>
          <w:rFonts w:hint="default" w:ascii="Times New Roman" w:hAnsi="Times New Roman" w:cs="Times New Roman"/>
          <w:color w:val="auto"/>
        </w:rPr>
        <w:object>
          <v:shape id="_x0000_i1034" o:spt="75" type="#_x0000_t75" style="height:61.1pt;width:115.55pt;" o:ole="t" filled="f" o:preferrelative="t" stroked="f" coordsize="21600,21600">
            <v:path/>
            <v:fill on="f" focussize="0,0"/>
            <v:stroke on="f" joinstyle="miter"/>
            <v:imagedata r:id="rId126" o:title=""/>
            <o:lock v:ext="edit" aspectratio="t"/>
            <w10:wrap type="none"/>
            <w10:anchorlock/>
          </v:shape>
          <o:OLEObject Type="Embed" ProgID="Equation.DSMT4" ShapeID="_x0000_i1034" DrawAspect="Content" ObjectID="_1468075734" r:id="rId125">
            <o:LockedField>false</o:LockedField>
          </o:OLEObject>
        </w:object>
      </w:r>
    </w:p>
    <w:p>
      <w:pPr>
        <w:pStyle w:val="26"/>
        <w:snapToGrid w:val="0"/>
        <w:spacing w:after="0"/>
        <w:rPr>
          <w:rFonts w:hint="default" w:ascii="Times New Roman" w:hAnsi="Times New Roman" w:cs="Times New Roman"/>
          <w:color w:val="auto"/>
        </w:rPr>
      </w:pPr>
      <w:r>
        <w:rPr>
          <w:rFonts w:hint="default" w:ascii="Times New Roman" w:hAnsi="Times New Roman" w:cs="Times New Roman"/>
          <w:color w:val="auto"/>
        </w:rPr>
        <w:t>式中：δ—多孔介质单个通道的特征长度与其横断面的水力半径之比，无量纲。V</w:t>
      </w:r>
      <w:r>
        <w:rPr>
          <w:rFonts w:hint="default" w:ascii="Times New Roman" w:hAnsi="Times New Roman" w:cs="Times New Roman"/>
          <w:color w:val="auto"/>
          <w:vertAlign w:val="subscript"/>
        </w:rPr>
        <w:t>k</w:t>
      </w:r>
      <w:r>
        <w:rPr>
          <w:rFonts w:hint="default" w:ascii="Times New Roman" w:hAnsi="Times New Roman" w:cs="Times New Roman"/>
          <w:color w:val="auto"/>
        </w:rPr>
        <w:t>、V</w:t>
      </w:r>
      <w:r>
        <w:rPr>
          <w:rFonts w:hint="default" w:ascii="Times New Roman" w:hAnsi="Times New Roman" w:cs="Times New Roman"/>
          <w:color w:val="auto"/>
          <w:vertAlign w:val="subscript"/>
        </w:rPr>
        <w:t>m</w:t>
      </w:r>
      <w:r>
        <w:rPr>
          <w:rFonts w:hint="default" w:ascii="Times New Roman" w:hAnsi="Times New Roman" w:cs="Times New Roman"/>
          <w:color w:val="auto"/>
        </w:rPr>
        <w:t>—V在k、m坐标轴上的投影。V为地下水宏观平均渗透速度。</w:t>
      </w:r>
    </w:p>
    <w:p>
      <w:pPr>
        <w:pStyle w:val="26"/>
        <w:snapToGrid w:val="0"/>
        <w:spacing w:after="0"/>
        <w:rPr>
          <w:rFonts w:hint="default" w:ascii="Times New Roman" w:hAnsi="Times New Roman" w:cs="Times New Roman"/>
          <w:color w:val="auto"/>
        </w:rPr>
      </w:pPr>
      <w:r>
        <w:rPr>
          <w:rFonts w:hint="default" w:ascii="Times New Roman" w:hAnsi="Times New Roman" w:cs="Times New Roman"/>
          <w:color w:val="auto"/>
        </w:rPr>
        <w:t>当V相当大因而Pe相当大时有</w:t>
      </w:r>
      <w:r>
        <w:rPr>
          <w:rFonts w:hint="default" w:ascii="Times New Roman" w:hAnsi="Times New Roman" w:cs="Times New Roman"/>
          <w:color w:val="auto"/>
        </w:rPr>
        <w:object>
          <v:shape id="_x0000_i1035" o:spt="75" type="#_x0000_t75" style="height:20.1pt;width:63.65pt;" o:ole="t" filled="f" o:preferrelative="t" stroked="f" coordsize="21600,21600">
            <v:path/>
            <v:fill on="f" focussize="0,0"/>
            <v:stroke on="f" joinstyle="miter"/>
            <v:imagedata r:id="rId128" o:title=""/>
            <o:lock v:ext="edit" aspectratio="t"/>
            <w10:wrap type="none"/>
            <w10:anchorlock/>
          </v:shape>
          <o:OLEObject Type="Embed" ProgID="Equation.DSMT4" ShapeID="_x0000_i1035" DrawAspect="Content" ObjectID="_1468075735" r:id="rId127">
            <o:LockedField>false</o:LockedField>
          </o:OLEObject>
        </w:object>
      </w:r>
      <w:r>
        <w:rPr>
          <w:rFonts w:hint="default" w:ascii="Times New Roman" w:hAnsi="Times New Roman" w:cs="Times New Roman"/>
          <w:color w:val="auto"/>
        </w:rPr>
        <w:t>，这表明此时分子扩散对机械弥散的影响已很小。对于单向渗流一维弥散条件下，公式可简化为：</w:t>
      </w:r>
    </w:p>
    <w:p>
      <w:pPr>
        <w:adjustRightInd w:val="0"/>
        <w:snapToGrid w:val="0"/>
        <w:spacing w:line="360" w:lineRule="auto"/>
        <w:ind w:firstLine="411" w:firstLineChars="196"/>
        <w:jc w:val="center"/>
        <w:rPr>
          <w:rFonts w:hint="default" w:ascii="Times New Roman" w:hAnsi="Times New Roman" w:cs="Times New Roman"/>
          <w:bCs/>
          <w:color w:val="auto"/>
          <w:szCs w:val="24"/>
        </w:rPr>
      </w:pPr>
      <w:r>
        <w:rPr>
          <w:rFonts w:hint="default" w:ascii="Times New Roman" w:hAnsi="Times New Roman" w:cs="Times New Roman"/>
          <w:bCs/>
          <w:color w:val="auto"/>
          <w:szCs w:val="24"/>
        </w:rPr>
        <w:t>DL=aLV</w:t>
      </w:r>
    </w:p>
    <w:p>
      <w:pPr>
        <w:pStyle w:val="26"/>
        <w:snapToGrid w:val="0"/>
        <w:spacing w:after="0"/>
        <w:rPr>
          <w:rFonts w:hint="default" w:ascii="Times New Roman" w:hAnsi="Times New Roman" w:cs="Times New Roman"/>
          <w:color w:val="auto"/>
        </w:rPr>
      </w:pPr>
      <w:r>
        <w:rPr>
          <w:rFonts w:hint="default" w:ascii="Times New Roman" w:hAnsi="Times New Roman" w:cs="Times New Roman"/>
          <w:color w:val="auto"/>
        </w:rPr>
        <w:t>式中：aL—纵向弥散度，m；</w:t>
      </w:r>
    </w:p>
    <w:p>
      <w:pPr>
        <w:pStyle w:val="26"/>
        <w:snapToGrid w:val="0"/>
        <w:spacing w:after="0"/>
        <w:rPr>
          <w:rFonts w:hint="default" w:ascii="Times New Roman" w:hAnsi="Times New Roman" w:cs="Times New Roman"/>
          <w:color w:val="auto"/>
        </w:rPr>
      </w:pPr>
      <w:r>
        <w:rPr>
          <w:rFonts w:hint="default" w:ascii="Times New Roman" w:hAnsi="Times New Roman" w:cs="Times New Roman"/>
          <w:color w:val="auto"/>
        </w:rPr>
        <w:t>DL—纵向弥散系数，m</w:t>
      </w:r>
      <w:r>
        <w:rPr>
          <w:rFonts w:hint="default" w:ascii="Times New Roman" w:hAnsi="Times New Roman" w:cs="Times New Roman"/>
          <w:color w:val="auto"/>
          <w:vertAlign w:val="superscript"/>
        </w:rPr>
        <w:t>2</w:t>
      </w:r>
      <w:r>
        <w:rPr>
          <w:rFonts w:hint="default" w:ascii="Times New Roman" w:hAnsi="Times New Roman" w:cs="Times New Roman"/>
          <w:color w:val="auto"/>
        </w:rPr>
        <w:t>/d；</w:t>
      </w:r>
    </w:p>
    <w:p>
      <w:pPr>
        <w:pStyle w:val="26"/>
        <w:snapToGrid w:val="0"/>
        <w:spacing w:after="0"/>
        <w:rPr>
          <w:rFonts w:hint="default" w:ascii="Times New Roman" w:hAnsi="Times New Roman" w:cs="Times New Roman"/>
          <w:color w:val="auto"/>
        </w:rPr>
      </w:pPr>
      <w:r>
        <w:rPr>
          <w:rFonts w:hint="default" w:ascii="Times New Roman" w:hAnsi="Times New Roman" w:cs="Times New Roman"/>
          <w:color w:val="auto"/>
        </w:rPr>
        <w:t>V</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QUOTE </w:instrTex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QUOTE </w:instrText>
      </w:r>
      <w:r>
        <w:rPr>
          <w:rFonts w:hint="default" w:ascii="Times New Roman" w:hAnsi="Times New Roman" w:cs="Times New Roman"/>
          <w:color w:val="auto"/>
        </w:rPr>
        <w:drawing>
          <wp:inline distT="0" distB="0" distL="114300" distR="114300">
            <wp:extent cx="95885" cy="201930"/>
            <wp:effectExtent l="0" t="0" r="18415" b="7620"/>
            <wp:docPr id="34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62"/>
                    <pic:cNvPicPr>
                      <a:picLocks noChangeAspect="1"/>
                    </pic:cNvPicPr>
                  </pic:nvPicPr>
                  <pic:blipFill>
                    <a:blip r:embed="rId129"/>
                    <a:stretch>
                      <a:fillRect/>
                    </a:stretch>
                  </pic:blipFill>
                  <pic:spPr>
                    <a:xfrm>
                      <a:off x="0" y="0"/>
                      <a:ext cx="95885" cy="201930"/>
                    </a:xfrm>
                    <a:prstGeom prst="rect">
                      <a:avLst/>
                    </a:prstGeom>
                    <a:noFill/>
                    <a:ln>
                      <a:noFill/>
                    </a:ln>
                  </pic:spPr>
                </pic:pic>
              </a:graphicData>
            </a:graphic>
          </wp:inline>
        </w:drawing>
      </w:r>
      <w:r>
        <w:rPr>
          <w:rFonts w:hint="default" w:ascii="Times New Roman" w:hAnsi="Times New Roman" w:cs="Times New Roman"/>
          <w:color w:val="auto"/>
        </w:rPr>
        <w:instrText xml:space="preserve"> </w:instrText>
      </w:r>
      <w:r>
        <w:rPr>
          <w:rFonts w:hint="default" w:ascii="Times New Roman" w:hAnsi="Times New Roman" w:cs="Times New Roman"/>
          <w:color w:val="auto"/>
        </w:rPr>
        <w:fldChar w:fldCharType="separate"/>
      </w:r>
      <w:r>
        <w:rPr>
          <w:rFonts w:hint="default" w:ascii="Times New Roman" w:hAnsi="Times New Roman" w:cs="Times New Roman"/>
          <w:color w:val="auto"/>
        </w:rPr>
        <w:drawing>
          <wp:inline distT="0" distB="0" distL="114300" distR="114300">
            <wp:extent cx="95885" cy="201930"/>
            <wp:effectExtent l="0" t="0" r="18415" b="7620"/>
            <wp:docPr id="34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63"/>
                    <pic:cNvPicPr>
                      <a:picLocks noChangeAspect="1"/>
                    </pic:cNvPicPr>
                  </pic:nvPicPr>
                  <pic:blipFill>
                    <a:blip r:embed="rId129"/>
                    <a:stretch>
                      <a:fillRect/>
                    </a:stretch>
                  </pic:blipFill>
                  <pic:spPr>
                    <a:xfrm>
                      <a:off x="0" y="0"/>
                      <a:ext cx="95885" cy="201930"/>
                    </a:xfrm>
                    <a:prstGeom prst="rect">
                      <a:avLst/>
                    </a:prstGeom>
                    <a:noFill/>
                    <a:ln>
                      <a:noFill/>
                    </a:ln>
                  </pic:spPr>
                </pic:pic>
              </a:graphicData>
            </a:graphic>
          </wp:inline>
        </w:drawing>
      </w:r>
      <w:r>
        <w:rPr>
          <w:rFonts w:hint="default" w:ascii="Times New Roman" w:hAnsi="Times New Roman" w:cs="Times New Roman"/>
          <w:color w:val="auto"/>
        </w:rPr>
        <w:fldChar w:fldCharType="end"/>
      </w:r>
      <w:r>
        <w:rPr>
          <w:rFonts w:hint="default" w:ascii="Times New Roman" w:hAnsi="Times New Roman" w:cs="Times New Roman"/>
          <w:color w:val="auto"/>
        </w:rPr>
        <w:instrText xml:space="preserve"> </w:instrText>
      </w:r>
      <w:r>
        <w:rPr>
          <w:rFonts w:hint="default" w:ascii="Times New Roman" w:hAnsi="Times New Roman" w:cs="Times New Roman"/>
          <w:color w:val="auto"/>
        </w:rPr>
        <w:fldChar w:fldCharType="end"/>
      </w:r>
      <w:r>
        <w:rPr>
          <w:rFonts w:hint="default" w:ascii="Times New Roman" w:hAnsi="Times New Roman" w:cs="Times New Roman"/>
          <w:color w:val="auto"/>
        </w:rPr>
        <w:t>—孔隙中渗流速度，m/d；</w:t>
      </w:r>
    </w:p>
    <w:p>
      <w:pPr>
        <w:adjustRightInd w:val="0"/>
        <w:snapToGrid w:val="0"/>
        <w:spacing w:line="360" w:lineRule="auto"/>
        <w:ind w:firstLine="470" w:firstLineChars="196"/>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（3）计算结果</w:t>
      </w:r>
    </w:p>
    <w:p>
      <w:pPr>
        <w:pStyle w:val="26"/>
        <w:snapToGrid w:val="0"/>
        <w:spacing w:after="0"/>
        <w:rPr>
          <w:rFonts w:hint="eastAsia" w:ascii="Times New Roman" w:hAnsi="Times New Roman" w:eastAsia="宋体" w:cs="Times New Roman"/>
          <w:color w:val="auto"/>
          <w:szCs w:val="24"/>
          <w:lang w:val="en-US" w:eastAsia="zh-CN"/>
        </w:rPr>
      </w:pPr>
      <w:r>
        <w:rPr>
          <w:rFonts w:hint="default" w:ascii="Times New Roman" w:hAnsi="Times New Roman" w:cs="Times New Roman"/>
          <w:bCs/>
          <w:color w:val="auto"/>
          <w:szCs w:val="24"/>
        </w:rPr>
        <w:t>渗滤液渗漏进入地下水，本项目NH</w:t>
      </w:r>
      <w:r>
        <w:rPr>
          <w:rFonts w:hint="default" w:ascii="Times New Roman" w:hAnsi="Times New Roman" w:cs="Times New Roman"/>
          <w:bCs/>
          <w:color w:val="auto"/>
          <w:szCs w:val="24"/>
          <w:vertAlign w:val="subscript"/>
        </w:rPr>
        <w:t>3</w:t>
      </w:r>
      <w:r>
        <w:rPr>
          <w:rFonts w:hint="default" w:ascii="Times New Roman" w:hAnsi="Times New Roman" w:cs="Times New Roman"/>
          <w:bCs/>
          <w:color w:val="auto"/>
          <w:szCs w:val="24"/>
        </w:rPr>
        <w:t>-N浓度随时间和距离的变化见下表。</w:t>
      </w:r>
    </w:p>
    <w:p>
      <w:pPr>
        <w:bidi w:val="0"/>
        <w:rPr>
          <w:rFonts w:hint="eastAsia" w:ascii="Times New Roman" w:hAnsi="Times New Roman"/>
          <w:sz w:val="21"/>
          <w:lang w:val="en-US" w:eastAsia="zh-CN"/>
        </w:rPr>
        <w:sectPr>
          <w:headerReference r:id="rId48" w:type="default"/>
          <w:footerReference r:id="rId49"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ind w:left="0" w:leftChars="0" w:firstLine="0" w:firstLineChars="0"/>
        <w:jc w:val="center"/>
        <w:rPr>
          <w:rFonts w:hint="eastAsia"/>
          <w:sz w:val="24"/>
          <w:szCs w:val="24"/>
          <w:lang w:val="en-US" w:eastAsia="zh-CN"/>
        </w:rPr>
      </w:pPr>
      <w:r>
        <w:rPr>
          <w:rFonts w:hint="default" w:ascii="Times New Roman" w:hAnsi="Times New Roman" w:cs="Times New Roman"/>
          <w:b/>
          <w:color w:val="auto"/>
          <w:sz w:val="24"/>
          <w:szCs w:val="24"/>
        </w:rPr>
        <w:t>表</w:t>
      </w:r>
      <w:r>
        <w:rPr>
          <w:rFonts w:hint="eastAsia" w:ascii="Times New Roman" w:hAnsi="Times New Roman" w:cs="Times New Roman"/>
          <w:b/>
          <w:color w:val="auto"/>
          <w:sz w:val="24"/>
          <w:szCs w:val="24"/>
          <w:lang w:val="en-US" w:eastAsia="zh-CN"/>
        </w:rPr>
        <w:t>6.3.5</w:t>
      </w:r>
      <w:r>
        <w:rPr>
          <w:rFonts w:hint="default" w:ascii="Times New Roman" w:hAnsi="Times New Roman" w:cs="Times New Roman"/>
          <w:b/>
          <w:color w:val="auto"/>
          <w:sz w:val="24"/>
          <w:szCs w:val="24"/>
        </w:rPr>
        <w:t>-2  正常工况下渗滤液渗漏氨氮浓度随时间距离纵向变化趋势  单位：mg/L</w:t>
      </w:r>
    </w:p>
    <w:tbl>
      <w:tblPr>
        <w:tblStyle w:val="18"/>
        <w:tblW w:w="0" w:type="auto"/>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15" w:type="dxa"/>
          <w:left w:w="15" w:type="dxa"/>
          <w:bottom w:w="15" w:type="dxa"/>
          <w:right w:w="15" w:type="dxa"/>
        </w:tblCellMar>
      </w:tblPr>
      <w:tblGrid>
        <w:gridCol w:w="1163"/>
        <w:gridCol w:w="1657"/>
        <w:gridCol w:w="1312"/>
        <w:gridCol w:w="1183"/>
        <w:gridCol w:w="1183"/>
        <w:gridCol w:w="1184"/>
        <w:gridCol w:w="1184"/>
        <w:gridCol w:w="1182"/>
        <w:gridCol w:w="1184"/>
        <w:gridCol w:w="1188"/>
        <w:gridCol w:w="1186"/>
      </w:tblGrid>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bottom w:val="single" w:color="000000" w:sz="4" w:space="0"/>
              <w:right w:val="single" w:color="000000" w:sz="4" w:space="0"/>
              <w:tl2br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      x(m)</w:t>
            </w:r>
          </w:p>
          <w:p>
            <w:pPr>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时间(d)</w:t>
            </w:r>
          </w:p>
        </w:tc>
        <w:tc>
          <w:tcPr>
            <w:tcW w:w="1657"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0  </w:t>
            </w:r>
          </w:p>
        </w:tc>
        <w:tc>
          <w:tcPr>
            <w:tcW w:w="1312"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1183"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1183"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w:t>
            </w:r>
          </w:p>
        </w:tc>
        <w:tc>
          <w:tcPr>
            <w:tcW w:w="1184"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c>
          <w:tcPr>
            <w:tcW w:w="1184"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c>
          <w:tcPr>
            <w:tcW w:w="1182"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w:t>
            </w:r>
          </w:p>
        </w:tc>
        <w:tc>
          <w:tcPr>
            <w:tcW w:w="1184"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p>
        </w:tc>
        <w:tc>
          <w:tcPr>
            <w:tcW w:w="1188"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80</w:t>
            </w:r>
          </w:p>
        </w:tc>
        <w:tc>
          <w:tcPr>
            <w:tcW w:w="1186" w:type="dxa"/>
            <w:tcBorders>
              <w:left w:val="single" w:color="000000" w:sz="4" w:space="0"/>
              <w:bottom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90</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0.2</w:t>
            </w:r>
            <w:r>
              <w:rPr>
                <w:rFonts w:hint="eastAsia" w:ascii="Times New Roman" w:hAnsi="Times New Roman" w:cs="Times New Roman"/>
                <w:color w:val="auto"/>
                <w:kern w:val="0"/>
                <w:sz w:val="21"/>
                <w:szCs w:val="21"/>
                <w:lang w:val="en-US" w:eastAsia="zh-CN"/>
              </w:rPr>
              <w:t>65</w:t>
            </w:r>
            <w:r>
              <w:rPr>
                <w:rFonts w:hint="default" w:ascii="Times New Roman" w:hAnsi="Times New Roman" w:cs="Times New Roman"/>
                <w:color w:val="auto"/>
                <w:kern w:val="0"/>
                <w:sz w:val="21"/>
                <w:szCs w:val="21"/>
              </w:rPr>
              <w:t xml:space="preserve">000 </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rPr>
              <w:t>0.000</w:t>
            </w:r>
            <w:r>
              <w:rPr>
                <w:rFonts w:hint="eastAsia" w:ascii="Times New Roman" w:hAnsi="Times New Roman" w:cs="Times New Roman"/>
                <w:color w:val="auto"/>
                <w:kern w:val="0"/>
                <w:sz w:val="21"/>
                <w:szCs w:val="21"/>
                <w:lang w:val="en-US" w:eastAsia="zh-CN"/>
              </w:rPr>
              <w:t>112</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6" w:type="dxa"/>
            <w:tcBorders>
              <w:top w:val="single" w:color="000000" w:sz="4" w:space="0"/>
              <w:left w:val="single" w:color="000000" w:sz="4" w:space="0"/>
              <w:bottom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319"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0.1</w:t>
            </w:r>
            <w:r>
              <w:rPr>
                <w:rFonts w:hint="eastAsia" w:ascii="Times New Roman" w:hAnsi="Times New Roman" w:cs="Times New Roman"/>
                <w:color w:val="auto"/>
                <w:kern w:val="0"/>
                <w:sz w:val="21"/>
                <w:szCs w:val="21"/>
                <w:lang w:val="en-US" w:eastAsia="zh-CN"/>
              </w:rPr>
              <w:t>66</w:t>
            </w:r>
            <w:r>
              <w:rPr>
                <w:rFonts w:hint="default" w:ascii="Times New Roman" w:hAnsi="Times New Roman" w:cs="Times New Roman"/>
                <w:color w:val="auto"/>
                <w:kern w:val="0"/>
                <w:sz w:val="21"/>
                <w:szCs w:val="21"/>
              </w:rPr>
              <w:t xml:space="preserve">000 </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w:t>
            </w:r>
            <w:r>
              <w:rPr>
                <w:rFonts w:hint="eastAsia" w:ascii="Times New Roman" w:hAnsi="Times New Roman" w:cs="Times New Roman"/>
                <w:color w:val="auto"/>
                <w:kern w:val="0"/>
                <w:sz w:val="21"/>
                <w:szCs w:val="21"/>
                <w:lang w:val="en-US" w:eastAsia="zh-CN"/>
              </w:rPr>
              <w:t>4130</w:t>
            </w:r>
            <w:r>
              <w:rPr>
                <w:rFonts w:hint="default" w:ascii="Times New Roman" w:hAnsi="Times New Roman" w:cs="Times New Roman"/>
                <w:color w:val="auto"/>
                <w:kern w:val="0"/>
                <w:sz w:val="21"/>
                <w:szCs w:val="21"/>
              </w:rPr>
              <w:t xml:space="preserve"> </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6" w:type="dxa"/>
            <w:tcBorders>
              <w:top w:val="single" w:color="000000" w:sz="4" w:space="0"/>
              <w:left w:val="single" w:color="000000" w:sz="4" w:space="0"/>
              <w:bottom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0.1</w:t>
            </w:r>
            <w:r>
              <w:rPr>
                <w:rFonts w:hint="eastAsia" w:ascii="Times New Roman" w:hAnsi="Times New Roman" w:cs="Times New Roman"/>
                <w:color w:val="auto"/>
                <w:kern w:val="0"/>
                <w:sz w:val="21"/>
                <w:szCs w:val="21"/>
                <w:lang w:val="en-US" w:eastAsia="zh-CN"/>
              </w:rPr>
              <w:t>34</w:t>
            </w:r>
            <w:r>
              <w:rPr>
                <w:rFonts w:hint="default" w:ascii="Times New Roman" w:hAnsi="Times New Roman" w:cs="Times New Roman"/>
                <w:color w:val="auto"/>
                <w:kern w:val="0"/>
                <w:sz w:val="21"/>
                <w:szCs w:val="21"/>
              </w:rPr>
              <w:t xml:space="preserve">000 </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rPr>
              <w:t>0.01</w:t>
            </w:r>
            <w:r>
              <w:rPr>
                <w:rFonts w:hint="eastAsia" w:ascii="Times New Roman" w:hAnsi="Times New Roman" w:cs="Times New Roman"/>
                <w:color w:val="auto"/>
                <w:kern w:val="0"/>
                <w:sz w:val="21"/>
                <w:szCs w:val="21"/>
                <w:lang w:val="en-US" w:eastAsia="zh-CN"/>
              </w:rPr>
              <w:t>2600</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0.00000</w:t>
            </w:r>
            <w:r>
              <w:rPr>
                <w:rFonts w:hint="eastAsia" w:ascii="Times New Roman" w:hAnsi="Times New Roman" w:cs="Times New Roman"/>
                <w:color w:val="auto"/>
                <w:kern w:val="0"/>
                <w:sz w:val="21"/>
                <w:szCs w:val="21"/>
                <w:lang w:val="en-US" w:eastAsia="zh-CN"/>
              </w:rPr>
              <w:t>7</w:t>
            </w:r>
            <w:r>
              <w:rPr>
                <w:rFonts w:hint="default" w:ascii="Times New Roman" w:hAnsi="Times New Roman" w:cs="Times New Roman"/>
                <w:color w:val="auto"/>
                <w:kern w:val="0"/>
                <w:sz w:val="21"/>
                <w:szCs w:val="21"/>
              </w:rPr>
              <w:t xml:space="preserve"> </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6" w:type="dxa"/>
            <w:tcBorders>
              <w:top w:val="single" w:color="000000" w:sz="4" w:space="0"/>
              <w:left w:val="single" w:color="000000" w:sz="4" w:space="0"/>
              <w:bottom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0.09</w:t>
            </w:r>
            <w:r>
              <w:rPr>
                <w:rFonts w:hint="eastAsia" w:ascii="Times New Roman" w:hAnsi="Times New Roman" w:cs="Times New Roman"/>
                <w:color w:val="auto"/>
                <w:kern w:val="0"/>
                <w:sz w:val="21"/>
                <w:szCs w:val="21"/>
                <w:lang w:val="en-US" w:eastAsia="zh-CN"/>
              </w:rPr>
              <w:t>94</w:t>
            </w:r>
            <w:r>
              <w:rPr>
                <w:rFonts w:hint="default" w:ascii="Times New Roman" w:hAnsi="Times New Roman" w:cs="Times New Roman"/>
                <w:color w:val="auto"/>
                <w:kern w:val="0"/>
                <w:sz w:val="21"/>
                <w:szCs w:val="21"/>
              </w:rPr>
              <w:t xml:space="preserve">00 </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0.02</w:t>
            </w:r>
            <w:r>
              <w:rPr>
                <w:rFonts w:hint="eastAsia" w:ascii="Times New Roman" w:hAnsi="Times New Roman" w:cs="Times New Roman"/>
                <w:color w:val="auto"/>
                <w:kern w:val="0"/>
                <w:sz w:val="21"/>
                <w:szCs w:val="21"/>
                <w:lang w:val="en-US" w:eastAsia="zh-CN"/>
              </w:rPr>
              <w:t>8700</w:t>
            </w:r>
            <w:r>
              <w:rPr>
                <w:rFonts w:hint="default" w:ascii="Times New Roman" w:hAnsi="Times New Roman" w:cs="Times New Roman"/>
                <w:color w:val="auto"/>
                <w:kern w:val="0"/>
                <w:sz w:val="21"/>
                <w:szCs w:val="21"/>
              </w:rPr>
              <w:t xml:space="preserve"> </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0.0003</w:t>
            </w:r>
            <w:r>
              <w:rPr>
                <w:rFonts w:hint="eastAsia" w:ascii="Times New Roman" w:hAnsi="Times New Roman" w:cs="Times New Roman"/>
                <w:color w:val="auto"/>
                <w:kern w:val="0"/>
                <w:sz w:val="21"/>
                <w:szCs w:val="21"/>
                <w:lang w:val="en-US" w:eastAsia="zh-CN"/>
              </w:rPr>
              <w:t>61</w:t>
            </w:r>
            <w:r>
              <w:rPr>
                <w:rFonts w:hint="default" w:ascii="Times New Roman" w:hAnsi="Times New Roman" w:cs="Times New Roman"/>
                <w:color w:val="auto"/>
                <w:kern w:val="0"/>
                <w:sz w:val="21"/>
                <w:szCs w:val="21"/>
              </w:rPr>
              <w:t xml:space="preserve"> </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 xml:space="preserve">0.000000 </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6" w:type="dxa"/>
            <w:tcBorders>
              <w:top w:val="single" w:color="000000" w:sz="4" w:space="0"/>
              <w:left w:val="single" w:color="000000" w:sz="4" w:space="0"/>
              <w:bottom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w:t>
            </w:r>
            <w:r>
              <w:rPr>
                <w:rFonts w:hint="eastAsia" w:ascii="Times New Roman" w:hAnsi="Times New Roman" w:cs="Times New Roman"/>
                <w:color w:val="auto"/>
                <w:kern w:val="0"/>
                <w:sz w:val="21"/>
                <w:szCs w:val="21"/>
                <w:lang w:val="en-US" w:eastAsia="zh-CN"/>
              </w:rPr>
              <w:t>702</w:t>
            </w:r>
            <w:r>
              <w:rPr>
                <w:rFonts w:hint="default" w:ascii="Times New Roman" w:hAnsi="Times New Roman" w:cs="Times New Roman"/>
                <w:color w:val="auto"/>
                <w:kern w:val="0"/>
                <w:sz w:val="21"/>
                <w:szCs w:val="21"/>
              </w:rPr>
              <w:t xml:space="preserve">00 </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0.04</w:t>
            </w:r>
            <w:r>
              <w:rPr>
                <w:rFonts w:hint="eastAsia" w:ascii="Times New Roman" w:hAnsi="Times New Roman" w:cs="Times New Roman"/>
                <w:color w:val="auto"/>
                <w:kern w:val="0"/>
                <w:sz w:val="21"/>
                <w:szCs w:val="21"/>
                <w:lang w:val="en-US" w:eastAsia="zh-CN"/>
              </w:rPr>
              <w:t>5100</w:t>
            </w:r>
            <w:r>
              <w:rPr>
                <w:rFonts w:hint="default" w:ascii="Times New Roman" w:hAnsi="Times New Roman" w:cs="Times New Roman"/>
                <w:color w:val="auto"/>
                <w:kern w:val="0"/>
                <w:sz w:val="21"/>
                <w:szCs w:val="21"/>
              </w:rPr>
              <w:t xml:space="preserve"> </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w:t>
            </w:r>
            <w:r>
              <w:rPr>
                <w:rFonts w:hint="eastAsia" w:ascii="Times New Roman" w:hAnsi="Times New Roman" w:cs="Times New Roman"/>
                <w:color w:val="auto"/>
                <w:kern w:val="0"/>
                <w:sz w:val="21"/>
                <w:szCs w:val="21"/>
                <w:lang w:val="en-US" w:eastAsia="zh-CN"/>
              </w:rPr>
              <w:t>6005</w:t>
            </w:r>
            <w:r>
              <w:rPr>
                <w:rFonts w:hint="default" w:ascii="Times New Roman" w:hAnsi="Times New Roman" w:cs="Times New Roman"/>
                <w:color w:val="auto"/>
                <w:kern w:val="0"/>
                <w:sz w:val="21"/>
                <w:szCs w:val="21"/>
              </w:rPr>
              <w:t xml:space="preserve"> </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rPr>
              <w:t>0.0001</w:t>
            </w:r>
            <w:r>
              <w:rPr>
                <w:rFonts w:hint="eastAsia" w:ascii="Times New Roman" w:hAnsi="Times New Roman" w:cs="Times New Roman"/>
                <w:color w:val="auto"/>
                <w:kern w:val="0"/>
                <w:sz w:val="21"/>
                <w:szCs w:val="21"/>
                <w:lang w:val="en-US" w:eastAsia="zh-CN"/>
              </w:rPr>
              <w:t>62</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 xml:space="preserve">0.000001 </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c>
          <w:tcPr>
            <w:tcW w:w="1186" w:type="dxa"/>
            <w:tcBorders>
              <w:top w:val="single" w:color="000000" w:sz="4" w:space="0"/>
              <w:left w:val="single" w:color="000000" w:sz="4" w:space="0"/>
              <w:bottom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w:t>
            </w:r>
            <w:r>
              <w:rPr>
                <w:rFonts w:hint="eastAsia" w:ascii="Times New Roman" w:hAnsi="Times New Roman" w:cs="Times New Roman"/>
                <w:color w:val="auto"/>
                <w:kern w:val="0"/>
                <w:sz w:val="21"/>
                <w:szCs w:val="21"/>
                <w:lang w:val="en-US" w:eastAsia="zh-CN"/>
              </w:rPr>
              <w:t>167</w:t>
            </w:r>
            <w:r>
              <w:rPr>
                <w:rFonts w:hint="default" w:ascii="Times New Roman" w:hAnsi="Times New Roman" w:cs="Times New Roman"/>
                <w:color w:val="auto"/>
                <w:kern w:val="0"/>
                <w:sz w:val="21"/>
                <w:szCs w:val="21"/>
              </w:rPr>
              <w:t xml:space="preserve">00 </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0.01</w:t>
            </w:r>
            <w:r>
              <w:rPr>
                <w:rFonts w:hint="eastAsia" w:ascii="Times New Roman" w:hAnsi="Times New Roman" w:cs="Times New Roman"/>
                <w:color w:val="auto"/>
                <w:kern w:val="0"/>
                <w:sz w:val="21"/>
                <w:szCs w:val="21"/>
                <w:lang w:val="en-US" w:eastAsia="zh-CN"/>
              </w:rPr>
              <w:t>9500</w:t>
            </w:r>
            <w:r>
              <w:rPr>
                <w:rFonts w:hint="default" w:ascii="Times New Roman" w:hAnsi="Times New Roman" w:cs="Times New Roman"/>
                <w:color w:val="auto"/>
                <w:kern w:val="0"/>
                <w:sz w:val="21"/>
                <w:szCs w:val="21"/>
              </w:rPr>
              <w:t xml:space="preserve"> </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0.022</w:t>
            </w:r>
            <w:r>
              <w:rPr>
                <w:rFonts w:hint="eastAsia" w:ascii="Times New Roman" w:hAnsi="Times New Roman" w:cs="Times New Roman"/>
                <w:color w:val="auto"/>
                <w:kern w:val="0"/>
                <w:sz w:val="21"/>
                <w:szCs w:val="21"/>
                <w:lang w:val="en-US" w:eastAsia="zh-CN"/>
              </w:rPr>
              <w:t>450</w:t>
            </w:r>
            <w:r>
              <w:rPr>
                <w:rFonts w:hint="default" w:ascii="Times New Roman" w:hAnsi="Times New Roman" w:cs="Times New Roman"/>
                <w:color w:val="auto"/>
                <w:kern w:val="0"/>
                <w:sz w:val="21"/>
                <w:szCs w:val="21"/>
              </w:rPr>
              <w:t xml:space="preserve"> </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0.021</w:t>
            </w:r>
            <w:r>
              <w:rPr>
                <w:rFonts w:hint="eastAsia" w:ascii="Times New Roman" w:hAnsi="Times New Roman" w:cs="Times New Roman"/>
                <w:color w:val="auto"/>
                <w:kern w:val="0"/>
                <w:sz w:val="21"/>
                <w:szCs w:val="21"/>
                <w:lang w:val="en-US" w:eastAsia="zh-CN"/>
              </w:rPr>
              <w:t>870</w:t>
            </w:r>
            <w:r>
              <w:rPr>
                <w:rFonts w:hint="default" w:ascii="Times New Roman" w:hAnsi="Times New Roman" w:cs="Times New Roman"/>
                <w:color w:val="auto"/>
                <w:kern w:val="0"/>
                <w:sz w:val="21"/>
                <w:szCs w:val="21"/>
              </w:rPr>
              <w:t xml:space="preserve"> </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0.018</w:t>
            </w:r>
            <w:r>
              <w:rPr>
                <w:rFonts w:hint="eastAsia" w:ascii="Times New Roman" w:hAnsi="Times New Roman" w:cs="Times New Roman"/>
                <w:color w:val="auto"/>
                <w:kern w:val="0"/>
                <w:sz w:val="21"/>
                <w:szCs w:val="21"/>
                <w:lang w:val="en-US" w:eastAsia="zh-CN"/>
              </w:rPr>
              <w:t>700</w:t>
            </w:r>
            <w:r>
              <w:rPr>
                <w:rFonts w:hint="default" w:ascii="Times New Roman" w:hAnsi="Times New Roman" w:cs="Times New Roman"/>
                <w:color w:val="auto"/>
                <w:kern w:val="0"/>
                <w:sz w:val="21"/>
                <w:szCs w:val="21"/>
              </w:rPr>
              <w:t xml:space="preserve"> </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rPr>
              <w:t>0.013</w:t>
            </w:r>
            <w:r>
              <w:rPr>
                <w:rFonts w:hint="eastAsia" w:ascii="Times New Roman" w:hAnsi="Times New Roman" w:cs="Times New Roman"/>
                <w:color w:val="auto"/>
                <w:kern w:val="0"/>
                <w:sz w:val="21"/>
                <w:szCs w:val="21"/>
                <w:lang w:val="en-US" w:eastAsia="zh-CN"/>
              </w:rPr>
              <w:t>300</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0.007</w:t>
            </w:r>
            <w:r>
              <w:rPr>
                <w:rFonts w:hint="eastAsia" w:ascii="Times New Roman" w:hAnsi="Times New Roman" w:cs="Times New Roman"/>
                <w:color w:val="auto"/>
                <w:kern w:val="0"/>
                <w:sz w:val="21"/>
                <w:szCs w:val="21"/>
                <w:lang w:val="en-US" w:eastAsia="zh-CN"/>
              </w:rPr>
              <w:t>870</w:t>
            </w:r>
            <w:r>
              <w:rPr>
                <w:rFonts w:hint="default" w:ascii="Times New Roman" w:hAnsi="Times New Roman" w:cs="Times New Roman"/>
                <w:color w:val="auto"/>
                <w:kern w:val="0"/>
                <w:sz w:val="21"/>
                <w:szCs w:val="21"/>
              </w:rPr>
              <w:t xml:space="preserve"> </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0.0041</w:t>
            </w:r>
            <w:r>
              <w:rPr>
                <w:rFonts w:hint="eastAsia" w:ascii="Times New Roman" w:hAnsi="Times New Roman" w:cs="Times New Roman"/>
                <w:color w:val="auto"/>
                <w:kern w:val="0"/>
                <w:sz w:val="21"/>
                <w:szCs w:val="21"/>
                <w:lang w:val="en-US" w:eastAsia="zh-CN"/>
              </w:rPr>
              <w:t>10</w:t>
            </w:r>
            <w:r>
              <w:rPr>
                <w:rFonts w:hint="default" w:ascii="Times New Roman" w:hAnsi="Times New Roman" w:cs="Times New Roman"/>
                <w:color w:val="auto"/>
                <w:kern w:val="0"/>
                <w:sz w:val="21"/>
                <w:szCs w:val="21"/>
              </w:rPr>
              <w:t xml:space="preserve"> </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0.0018</w:t>
            </w:r>
            <w:r>
              <w:rPr>
                <w:rFonts w:hint="eastAsia" w:ascii="Times New Roman" w:hAnsi="Times New Roman" w:cs="Times New Roman"/>
                <w:color w:val="auto"/>
                <w:kern w:val="0"/>
                <w:sz w:val="21"/>
                <w:szCs w:val="21"/>
                <w:lang w:val="en-US" w:eastAsia="zh-CN"/>
              </w:rPr>
              <w:t>60</w:t>
            </w:r>
            <w:r>
              <w:rPr>
                <w:rFonts w:hint="default" w:ascii="Times New Roman" w:hAnsi="Times New Roman" w:cs="Times New Roman"/>
                <w:color w:val="auto"/>
                <w:kern w:val="0"/>
                <w:sz w:val="21"/>
                <w:szCs w:val="21"/>
              </w:rPr>
              <w:t xml:space="preserve"> </w:t>
            </w:r>
          </w:p>
        </w:tc>
        <w:tc>
          <w:tcPr>
            <w:tcW w:w="1186" w:type="dxa"/>
            <w:tcBorders>
              <w:top w:val="single" w:color="000000" w:sz="4" w:space="0"/>
              <w:left w:val="single" w:color="000000" w:sz="4" w:space="0"/>
              <w:bottom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0.0006</w:t>
            </w:r>
            <w:r>
              <w:rPr>
                <w:rFonts w:hint="eastAsia" w:ascii="Times New Roman" w:hAnsi="Times New Roman" w:cs="Times New Roman"/>
                <w:color w:val="auto"/>
                <w:kern w:val="0"/>
                <w:sz w:val="21"/>
                <w:szCs w:val="21"/>
                <w:lang w:val="en-US" w:eastAsia="zh-CN"/>
              </w:rPr>
              <w:t>99</w:t>
            </w:r>
            <w:r>
              <w:rPr>
                <w:rFonts w:hint="default" w:ascii="Times New Roman" w:hAnsi="Times New Roman" w:cs="Times New Roman"/>
                <w:color w:val="auto"/>
                <w:kern w:val="0"/>
                <w:sz w:val="21"/>
                <w:szCs w:val="21"/>
              </w:rPr>
              <w:t xml:space="preserve"> </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365</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w:t>
            </w:r>
            <w:r>
              <w:rPr>
                <w:rFonts w:hint="eastAsia" w:ascii="Times New Roman" w:hAnsi="Times New Roman" w:cs="Times New Roman"/>
                <w:color w:val="auto"/>
                <w:kern w:val="0"/>
                <w:sz w:val="21"/>
                <w:szCs w:val="21"/>
                <w:lang w:val="en-US" w:eastAsia="zh-CN"/>
              </w:rPr>
              <w:t>301</w:t>
            </w:r>
            <w:r>
              <w:rPr>
                <w:rFonts w:hint="default" w:ascii="Times New Roman" w:hAnsi="Times New Roman" w:cs="Times New Roman"/>
                <w:color w:val="auto"/>
                <w:kern w:val="0"/>
                <w:sz w:val="21"/>
                <w:szCs w:val="21"/>
              </w:rPr>
              <w:t xml:space="preserve">0 </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0.003</w:t>
            </w:r>
            <w:r>
              <w:rPr>
                <w:rFonts w:hint="eastAsia" w:ascii="Times New Roman" w:hAnsi="Times New Roman" w:cs="Times New Roman"/>
                <w:color w:val="auto"/>
                <w:kern w:val="0"/>
                <w:sz w:val="21"/>
                <w:szCs w:val="21"/>
                <w:lang w:val="en-US" w:eastAsia="zh-CN"/>
              </w:rPr>
              <w:t>210</w:t>
            </w:r>
            <w:r>
              <w:rPr>
                <w:rFonts w:hint="default" w:ascii="Times New Roman" w:hAnsi="Times New Roman" w:cs="Times New Roman"/>
                <w:color w:val="auto"/>
                <w:kern w:val="0"/>
                <w:sz w:val="21"/>
                <w:szCs w:val="21"/>
              </w:rPr>
              <w:t xml:space="preserve"> </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0.0043</w:t>
            </w:r>
            <w:r>
              <w:rPr>
                <w:rFonts w:hint="eastAsia" w:ascii="Times New Roman" w:hAnsi="Times New Roman" w:cs="Times New Roman"/>
                <w:color w:val="auto"/>
                <w:kern w:val="0"/>
                <w:sz w:val="21"/>
                <w:szCs w:val="21"/>
                <w:lang w:val="en-US" w:eastAsia="zh-CN"/>
              </w:rPr>
              <w:t>10</w:t>
            </w:r>
            <w:r>
              <w:rPr>
                <w:rFonts w:hint="default" w:ascii="Times New Roman" w:hAnsi="Times New Roman" w:cs="Times New Roman"/>
                <w:color w:val="auto"/>
                <w:kern w:val="0"/>
                <w:sz w:val="21"/>
                <w:szCs w:val="21"/>
              </w:rPr>
              <w:t xml:space="preserve"> </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0.0056</w:t>
            </w:r>
            <w:r>
              <w:rPr>
                <w:rFonts w:hint="eastAsia" w:ascii="Times New Roman" w:hAnsi="Times New Roman" w:cs="Times New Roman"/>
                <w:color w:val="auto"/>
                <w:kern w:val="0"/>
                <w:sz w:val="21"/>
                <w:szCs w:val="21"/>
                <w:lang w:val="en-US" w:eastAsia="zh-CN"/>
              </w:rPr>
              <w:t>730</w:t>
            </w:r>
            <w:r>
              <w:rPr>
                <w:rFonts w:hint="default" w:ascii="Times New Roman" w:hAnsi="Times New Roman" w:cs="Times New Roman"/>
                <w:color w:val="auto"/>
                <w:kern w:val="0"/>
                <w:sz w:val="21"/>
                <w:szCs w:val="21"/>
              </w:rPr>
              <w:t xml:space="preserve"> </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0.007</w:t>
            </w:r>
            <w:r>
              <w:rPr>
                <w:rFonts w:hint="eastAsia" w:ascii="Times New Roman" w:hAnsi="Times New Roman" w:cs="Times New Roman"/>
                <w:color w:val="auto"/>
                <w:kern w:val="0"/>
                <w:sz w:val="21"/>
                <w:szCs w:val="21"/>
                <w:lang w:val="en-US" w:eastAsia="zh-CN"/>
              </w:rPr>
              <w:t>210</w:t>
            </w:r>
            <w:r>
              <w:rPr>
                <w:rFonts w:hint="default" w:ascii="Times New Roman" w:hAnsi="Times New Roman" w:cs="Times New Roman"/>
                <w:color w:val="auto"/>
                <w:kern w:val="0"/>
                <w:sz w:val="21"/>
                <w:szCs w:val="21"/>
              </w:rPr>
              <w:t xml:space="preserve"> </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0.008</w:t>
            </w:r>
            <w:r>
              <w:rPr>
                <w:rFonts w:hint="eastAsia" w:ascii="Times New Roman" w:hAnsi="Times New Roman" w:cs="Times New Roman"/>
                <w:color w:val="auto"/>
                <w:kern w:val="0"/>
                <w:sz w:val="21"/>
                <w:szCs w:val="21"/>
                <w:lang w:val="en-US" w:eastAsia="zh-CN"/>
              </w:rPr>
              <w:t>700</w:t>
            </w:r>
            <w:r>
              <w:rPr>
                <w:rFonts w:hint="default" w:ascii="Times New Roman" w:hAnsi="Times New Roman" w:cs="Times New Roman"/>
                <w:color w:val="auto"/>
                <w:kern w:val="0"/>
                <w:sz w:val="21"/>
                <w:szCs w:val="21"/>
              </w:rPr>
              <w:t xml:space="preserve"> </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rPr>
              <w:t>0.009</w:t>
            </w:r>
            <w:r>
              <w:rPr>
                <w:rFonts w:hint="eastAsia" w:ascii="Times New Roman" w:hAnsi="Times New Roman" w:cs="Times New Roman"/>
                <w:color w:val="auto"/>
                <w:kern w:val="0"/>
                <w:sz w:val="21"/>
                <w:szCs w:val="21"/>
                <w:lang w:val="en-US" w:eastAsia="zh-CN"/>
              </w:rPr>
              <w:t>890</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0.011</w:t>
            </w:r>
            <w:r>
              <w:rPr>
                <w:rFonts w:hint="eastAsia" w:ascii="Times New Roman" w:hAnsi="Times New Roman" w:cs="Times New Roman"/>
                <w:color w:val="auto"/>
                <w:kern w:val="0"/>
                <w:sz w:val="21"/>
                <w:szCs w:val="21"/>
                <w:lang w:val="en-US" w:eastAsia="zh-CN"/>
              </w:rPr>
              <w:t>120</w:t>
            </w:r>
            <w:r>
              <w:rPr>
                <w:rFonts w:hint="default" w:ascii="Times New Roman" w:hAnsi="Times New Roman" w:cs="Times New Roman"/>
                <w:color w:val="auto"/>
                <w:kern w:val="0"/>
                <w:sz w:val="21"/>
                <w:szCs w:val="21"/>
              </w:rPr>
              <w:t xml:space="preserve"> </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0.01</w:t>
            </w:r>
            <w:r>
              <w:rPr>
                <w:rFonts w:hint="eastAsia" w:ascii="Times New Roman" w:hAnsi="Times New Roman" w:cs="Times New Roman"/>
                <w:color w:val="auto"/>
                <w:kern w:val="0"/>
                <w:sz w:val="21"/>
                <w:szCs w:val="21"/>
                <w:lang w:val="en-US" w:eastAsia="zh-CN"/>
              </w:rPr>
              <w:t>2100</w:t>
            </w:r>
            <w:r>
              <w:rPr>
                <w:rFonts w:hint="default" w:ascii="Times New Roman" w:hAnsi="Times New Roman" w:cs="Times New Roman"/>
                <w:color w:val="auto"/>
                <w:kern w:val="0"/>
                <w:sz w:val="21"/>
                <w:szCs w:val="21"/>
              </w:rPr>
              <w:t xml:space="preserve"> </w:t>
            </w:r>
          </w:p>
        </w:tc>
        <w:tc>
          <w:tcPr>
            <w:tcW w:w="1186" w:type="dxa"/>
            <w:tcBorders>
              <w:top w:val="single" w:color="000000" w:sz="4" w:space="0"/>
              <w:left w:val="single" w:color="000000" w:sz="4" w:space="0"/>
              <w:bottom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0.011</w:t>
            </w:r>
            <w:r>
              <w:rPr>
                <w:rFonts w:hint="eastAsia" w:ascii="Times New Roman" w:hAnsi="Times New Roman" w:cs="Times New Roman"/>
                <w:color w:val="auto"/>
                <w:kern w:val="0"/>
                <w:sz w:val="21"/>
                <w:szCs w:val="21"/>
                <w:lang w:val="en-US" w:eastAsia="zh-CN"/>
              </w:rPr>
              <w:t>900</w:t>
            </w:r>
            <w:r>
              <w:rPr>
                <w:rFonts w:hint="default" w:ascii="Times New Roman" w:hAnsi="Times New Roman" w:cs="Times New Roman"/>
                <w:color w:val="auto"/>
                <w:kern w:val="0"/>
                <w:sz w:val="21"/>
                <w:szCs w:val="21"/>
              </w:rPr>
              <w:t xml:space="preserve"> </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1000</w:t>
            </w:r>
          </w:p>
        </w:tc>
        <w:tc>
          <w:tcPr>
            <w:tcW w:w="1657"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0.0000</w:t>
            </w:r>
            <w:r>
              <w:rPr>
                <w:rFonts w:hint="eastAsia" w:ascii="Times New Roman" w:hAnsi="Times New Roman" w:cs="Times New Roman"/>
                <w:color w:val="auto"/>
                <w:kern w:val="0"/>
                <w:sz w:val="21"/>
                <w:szCs w:val="21"/>
                <w:lang w:val="en-US" w:eastAsia="zh-CN"/>
              </w:rPr>
              <w:t>65</w:t>
            </w:r>
            <w:r>
              <w:rPr>
                <w:rFonts w:hint="default" w:ascii="Times New Roman" w:hAnsi="Times New Roman" w:cs="Times New Roman"/>
                <w:color w:val="auto"/>
                <w:kern w:val="0"/>
                <w:sz w:val="21"/>
                <w:szCs w:val="21"/>
              </w:rPr>
              <w:t xml:space="preserve"> </w:t>
            </w:r>
          </w:p>
        </w:tc>
        <w:tc>
          <w:tcPr>
            <w:tcW w:w="1312"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0.0001</w:t>
            </w:r>
            <w:r>
              <w:rPr>
                <w:rFonts w:hint="eastAsia" w:ascii="Times New Roman" w:hAnsi="Times New Roman" w:cs="Times New Roman"/>
                <w:color w:val="auto"/>
                <w:kern w:val="0"/>
                <w:sz w:val="21"/>
                <w:szCs w:val="21"/>
                <w:lang w:val="en-US" w:eastAsia="zh-CN"/>
              </w:rPr>
              <w:t>09</w:t>
            </w:r>
          </w:p>
        </w:tc>
        <w:tc>
          <w:tcPr>
            <w:tcW w:w="1183"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0.0001</w:t>
            </w:r>
            <w:r>
              <w:rPr>
                <w:rFonts w:hint="eastAsia" w:ascii="Times New Roman" w:hAnsi="Times New Roman" w:cs="Times New Roman"/>
                <w:color w:val="auto"/>
                <w:kern w:val="0"/>
                <w:sz w:val="21"/>
                <w:szCs w:val="21"/>
                <w:lang w:val="en-US" w:eastAsia="zh-CN"/>
              </w:rPr>
              <w:t>53</w:t>
            </w:r>
            <w:r>
              <w:rPr>
                <w:rFonts w:hint="default" w:ascii="Times New Roman" w:hAnsi="Times New Roman" w:cs="Times New Roman"/>
                <w:color w:val="auto"/>
                <w:kern w:val="0"/>
                <w:sz w:val="21"/>
                <w:szCs w:val="21"/>
              </w:rPr>
              <w:t xml:space="preserve"> </w:t>
            </w:r>
          </w:p>
        </w:tc>
        <w:tc>
          <w:tcPr>
            <w:tcW w:w="1183"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0.000</w:t>
            </w:r>
            <w:r>
              <w:rPr>
                <w:rFonts w:hint="eastAsia" w:ascii="Times New Roman" w:hAnsi="Times New Roman" w:cs="Times New Roman"/>
                <w:color w:val="auto"/>
                <w:kern w:val="0"/>
                <w:sz w:val="21"/>
                <w:szCs w:val="21"/>
                <w:lang w:val="en-US" w:eastAsia="zh-CN"/>
              </w:rPr>
              <w:t>210</w:t>
            </w:r>
            <w:r>
              <w:rPr>
                <w:rFonts w:hint="default" w:ascii="Times New Roman" w:hAnsi="Times New Roman" w:cs="Times New Roman"/>
                <w:color w:val="auto"/>
                <w:kern w:val="0"/>
                <w:sz w:val="21"/>
                <w:szCs w:val="21"/>
              </w:rPr>
              <w:t xml:space="preserve"> </w:t>
            </w:r>
          </w:p>
        </w:tc>
        <w:tc>
          <w:tcPr>
            <w:tcW w:w="1184"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0.000</w:t>
            </w:r>
            <w:r>
              <w:rPr>
                <w:rFonts w:hint="eastAsia" w:ascii="Times New Roman" w:hAnsi="Times New Roman" w:cs="Times New Roman"/>
                <w:color w:val="auto"/>
                <w:kern w:val="0"/>
                <w:sz w:val="21"/>
                <w:szCs w:val="21"/>
                <w:lang w:val="en-US" w:eastAsia="zh-CN"/>
              </w:rPr>
              <w:t>295</w:t>
            </w:r>
            <w:r>
              <w:rPr>
                <w:rFonts w:hint="default" w:ascii="Times New Roman" w:hAnsi="Times New Roman" w:cs="Times New Roman"/>
                <w:color w:val="auto"/>
                <w:kern w:val="0"/>
                <w:sz w:val="21"/>
                <w:szCs w:val="21"/>
              </w:rPr>
              <w:t xml:space="preserve"> </w:t>
            </w:r>
          </w:p>
        </w:tc>
        <w:tc>
          <w:tcPr>
            <w:tcW w:w="1184"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0.000</w:t>
            </w:r>
            <w:r>
              <w:rPr>
                <w:rFonts w:hint="eastAsia" w:ascii="Times New Roman" w:hAnsi="Times New Roman" w:cs="Times New Roman"/>
                <w:color w:val="auto"/>
                <w:kern w:val="0"/>
                <w:sz w:val="21"/>
                <w:szCs w:val="21"/>
                <w:lang w:val="en-US" w:eastAsia="zh-CN"/>
              </w:rPr>
              <w:t>410</w:t>
            </w:r>
          </w:p>
        </w:tc>
        <w:tc>
          <w:tcPr>
            <w:tcW w:w="1182"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0.0005</w:t>
            </w:r>
            <w:r>
              <w:rPr>
                <w:rFonts w:hint="eastAsia" w:ascii="Times New Roman" w:hAnsi="Times New Roman" w:cs="Times New Roman"/>
                <w:color w:val="auto"/>
                <w:kern w:val="0"/>
                <w:sz w:val="21"/>
                <w:szCs w:val="21"/>
                <w:lang w:val="en-US" w:eastAsia="zh-CN"/>
              </w:rPr>
              <w:t>45</w:t>
            </w:r>
            <w:r>
              <w:rPr>
                <w:rFonts w:hint="default" w:ascii="Times New Roman" w:hAnsi="Times New Roman" w:cs="Times New Roman"/>
                <w:color w:val="auto"/>
                <w:kern w:val="0"/>
                <w:sz w:val="21"/>
                <w:szCs w:val="21"/>
              </w:rPr>
              <w:t xml:space="preserve"> </w:t>
            </w:r>
          </w:p>
        </w:tc>
        <w:tc>
          <w:tcPr>
            <w:tcW w:w="1184"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0.000</w:t>
            </w:r>
            <w:r>
              <w:rPr>
                <w:rFonts w:hint="eastAsia" w:ascii="Times New Roman" w:hAnsi="Times New Roman" w:cs="Times New Roman"/>
                <w:color w:val="auto"/>
                <w:kern w:val="0"/>
                <w:sz w:val="21"/>
                <w:szCs w:val="21"/>
                <w:lang w:val="en-US" w:eastAsia="zh-CN"/>
              </w:rPr>
              <w:t>710</w:t>
            </w:r>
            <w:r>
              <w:rPr>
                <w:rFonts w:hint="default" w:ascii="Times New Roman" w:hAnsi="Times New Roman" w:cs="Times New Roman"/>
                <w:color w:val="auto"/>
                <w:kern w:val="0"/>
                <w:sz w:val="21"/>
                <w:szCs w:val="21"/>
              </w:rPr>
              <w:t xml:space="preserve"> </w:t>
            </w:r>
          </w:p>
        </w:tc>
        <w:tc>
          <w:tcPr>
            <w:tcW w:w="1188"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0.000</w:t>
            </w:r>
            <w:r>
              <w:rPr>
                <w:rFonts w:hint="eastAsia" w:ascii="Times New Roman" w:hAnsi="Times New Roman" w:cs="Times New Roman"/>
                <w:color w:val="auto"/>
                <w:kern w:val="0"/>
                <w:sz w:val="21"/>
                <w:szCs w:val="21"/>
                <w:lang w:val="en-US" w:eastAsia="zh-CN"/>
              </w:rPr>
              <w:t>920</w:t>
            </w:r>
            <w:r>
              <w:rPr>
                <w:rFonts w:hint="default" w:ascii="Times New Roman" w:hAnsi="Times New Roman" w:cs="Times New Roman"/>
                <w:color w:val="auto"/>
                <w:kern w:val="0"/>
                <w:sz w:val="21"/>
                <w:szCs w:val="21"/>
              </w:rPr>
              <w:t xml:space="preserve"> </w:t>
            </w:r>
          </w:p>
        </w:tc>
        <w:tc>
          <w:tcPr>
            <w:tcW w:w="1186" w:type="dxa"/>
            <w:tcBorders>
              <w:top w:val="single" w:color="000000" w:sz="4" w:space="0"/>
              <w:lef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0.0011</w:t>
            </w:r>
            <w:r>
              <w:rPr>
                <w:rFonts w:hint="eastAsia" w:ascii="Times New Roman" w:hAnsi="Times New Roman" w:cs="Times New Roman"/>
                <w:color w:val="auto"/>
                <w:kern w:val="0"/>
                <w:sz w:val="21"/>
                <w:szCs w:val="21"/>
                <w:lang w:val="en-US" w:eastAsia="zh-CN"/>
              </w:rPr>
              <w:t>6</w:t>
            </w:r>
            <w:r>
              <w:rPr>
                <w:rFonts w:hint="default" w:ascii="Times New Roman" w:hAnsi="Times New Roman" w:cs="Times New Roman"/>
                <w:color w:val="auto"/>
                <w:kern w:val="0"/>
                <w:sz w:val="21"/>
                <w:szCs w:val="21"/>
              </w:rPr>
              <w:t xml:space="preserve">0 </w:t>
            </w:r>
          </w:p>
        </w:tc>
      </w:tr>
    </w:tbl>
    <w:p>
      <w:pPr>
        <w:pStyle w:val="2"/>
        <w:ind w:left="0" w:leftChars="0" w:firstLine="0" w:firstLineChars="0"/>
        <w:jc w:val="center"/>
        <w:rPr>
          <w:rFonts w:hint="eastAsia"/>
          <w:sz w:val="24"/>
          <w:szCs w:val="24"/>
          <w:lang w:val="en-US" w:eastAsia="zh-CN"/>
        </w:rPr>
      </w:pPr>
      <w:r>
        <w:rPr>
          <w:rFonts w:hint="default" w:ascii="Times New Roman" w:hAnsi="Times New Roman" w:cs="Times New Roman"/>
          <w:b/>
          <w:color w:val="auto"/>
          <w:sz w:val="24"/>
          <w:szCs w:val="24"/>
        </w:rPr>
        <w:t>表</w:t>
      </w:r>
      <w:r>
        <w:rPr>
          <w:rFonts w:hint="eastAsia" w:ascii="Times New Roman" w:hAnsi="Times New Roman" w:cs="Times New Roman"/>
          <w:b/>
          <w:color w:val="auto"/>
          <w:sz w:val="24"/>
          <w:szCs w:val="24"/>
          <w:lang w:val="en-US" w:eastAsia="zh-CN"/>
        </w:rPr>
        <w:t>6.3.5</w:t>
      </w:r>
      <w:r>
        <w:rPr>
          <w:rFonts w:hint="default" w:ascii="Times New Roman" w:hAnsi="Times New Roman" w:cs="Times New Roman"/>
          <w:b/>
          <w:color w:val="auto"/>
          <w:sz w:val="24"/>
          <w:szCs w:val="24"/>
        </w:rPr>
        <w:t>-3  非正常工况下渗滤液渗漏氨氮浓度随时间距离纵向变化趋势  单位：mg/L</w:t>
      </w:r>
    </w:p>
    <w:tbl>
      <w:tblPr>
        <w:tblStyle w:val="18"/>
        <w:tblW w:w="0" w:type="auto"/>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15" w:type="dxa"/>
          <w:left w:w="15" w:type="dxa"/>
          <w:bottom w:w="15" w:type="dxa"/>
          <w:right w:w="15" w:type="dxa"/>
        </w:tblCellMar>
      </w:tblPr>
      <w:tblGrid>
        <w:gridCol w:w="1163"/>
        <w:gridCol w:w="1657"/>
        <w:gridCol w:w="1312"/>
        <w:gridCol w:w="1183"/>
        <w:gridCol w:w="1183"/>
        <w:gridCol w:w="1184"/>
        <w:gridCol w:w="1184"/>
        <w:gridCol w:w="1182"/>
        <w:gridCol w:w="1184"/>
        <w:gridCol w:w="1188"/>
        <w:gridCol w:w="1186"/>
      </w:tblGrid>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bottom w:val="single" w:color="000000" w:sz="4" w:space="0"/>
              <w:right w:val="single" w:color="000000" w:sz="4" w:space="0"/>
              <w:tl2br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      x(m)</w:t>
            </w:r>
          </w:p>
          <w:p>
            <w:pPr>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时间(d)</w:t>
            </w:r>
          </w:p>
        </w:tc>
        <w:tc>
          <w:tcPr>
            <w:tcW w:w="1657"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0  </w:t>
            </w:r>
          </w:p>
        </w:tc>
        <w:tc>
          <w:tcPr>
            <w:tcW w:w="1312"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1183"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w:t>
            </w:r>
          </w:p>
        </w:tc>
        <w:tc>
          <w:tcPr>
            <w:tcW w:w="1183"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w:t>
            </w:r>
          </w:p>
        </w:tc>
        <w:tc>
          <w:tcPr>
            <w:tcW w:w="1184"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w:t>
            </w:r>
          </w:p>
        </w:tc>
        <w:tc>
          <w:tcPr>
            <w:tcW w:w="1184"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w:t>
            </w:r>
          </w:p>
        </w:tc>
        <w:tc>
          <w:tcPr>
            <w:tcW w:w="1182"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w:t>
            </w:r>
          </w:p>
        </w:tc>
        <w:tc>
          <w:tcPr>
            <w:tcW w:w="1184"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w:t>
            </w:r>
          </w:p>
        </w:tc>
        <w:tc>
          <w:tcPr>
            <w:tcW w:w="1188" w:type="dxa"/>
            <w:tcBorders>
              <w:left w:val="single" w:color="000000" w:sz="4" w:space="0"/>
              <w:bottom w:val="single" w:color="000000" w:sz="4" w:space="0"/>
              <w:right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80</w:t>
            </w:r>
          </w:p>
        </w:tc>
        <w:tc>
          <w:tcPr>
            <w:tcW w:w="1186" w:type="dxa"/>
            <w:tcBorders>
              <w:left w:val="single" w:color="000000" w:sz="4" w:space="0"/>
              <w:bottom w:val="single" w:color="000000" w:sz="4" w:space="0"/>
            </w:tcBorders>
            <w:noWrap w:val="0"/>
            <w:vAlign w:val="center"/>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90</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2.</w:t>
            </w:r>
            <w:r>
              <w:rPr>
                <w:rFonts w:hint="eastAsia" w:ascii="Times New Roman" w:hAnsi="Times New Roman" w:cs="Times New Roman"/>
                <w:color w:val="auto"/>
                <w:kern w:val="0"/>
                <w:sz w:val="21"/>
                <w:szCs w:val="21"/>
                <w:lang w:val="en-US" w:eastAsia="zh-CN"/>
              </w:rPr>
              <w:t>31</w:t>
            </w:r>
            <w:r>
              <w:rPr>
                <w:rFonts w:hint="default" w:ascii="Times New Roman" w:hAnsi="Times New Roman" w:cs="Times New Roman"/>
                <w:color w:val="auto"/>
                <w:kern w:val="0"/>
                <w:sz w:val="21"/>
                <w:szCs w:val="21"/>
              </w:rPr>
              <w:t>0000</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rPr>
              <w:t>0.001</w:t>
            </w:r>
            <w:r>
              <w:rPr>
                <w:rFonts w:hint="eastAsia" w:ascii="Times New Roman" w:hAnsi="Times New Roman" w:cs="Times New Roman"/>
                <w:color w:val="auto"/>
                <w:kern w:val="0"/>
                <w:sz w:val="21"/>
                <w:szCs w:val="21"/>
                <w:lang w:val="en-US" w:eastAsia="zh-CN"/>
              </w:rPr>
              <w:t>110</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6" w:type="dxa"/>
            <w:tcBorders>
              <w:top w:val="single" w:color="000000" w:sz="4" w:space="0"/>
              <w:left w:val="single" w:color="000000" w:sz="4" w:space="0"/>
              <w:bottom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319"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1.</w:t>
            </w:r>
            <w:r>
              <w:rPr>
                <w:rFonts w:hint="eastAsia" w:ascii="Times New Roman" w:hAnsi="Times New Roman" w:cs="Times New Roman"/>
                <w:color w:val="auto"/>
                <w:kern w:val="0"/>
                <w:sz w:val="21"/>
                <w:szCs w:val="21"/>
                <w:lang w:val="en-US" w:eastAsia="zh-CN"/>
              </w:rPr>
              <w:t>62</w:t>
            </w:r>
            <w:r>
              <w:rPr>
                <w:rFonts w:hint="default" w:ascii="Times New Roman" w:hAnsi="Times New Roman" w:cs="Times New Roman"/>
                <w:color w:val="auto"/>
                <w:kern w:val="0"/>
                <w:sz w:val="21"/>
                <w:szCs w:val="21"/>
              </w:rPr>
              <w:t>0000</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0.04</w:t>
            </w:r>
            <w:r>
              <w:rPr>
                <w:rFonts w:hint="eastAsia" w:ascii="Times New Roman" w:hAnsi="Times New Roman" w:cs="Times New Roman"/>
                <w:color w:val="auto"/>
                <w:kern w:val="0"/>
                <w:sz w:val="21"/>
                <w:szCs w:val="21"/>
                <w:lang w:val="en-US" w:eastAsia="zh-CN"/>
              </w:rPr>
              <w:t>32</w:t>
            </w:r>
            <w:r>
              <w:rPr>
                <w:rFonts w:hint="default" w:ascii="Times New Roman" w:hAnsi="Times New Roman" w:cs="Times New Roman"/>
                <w:color w:val="auto"/>
                <w:kern w:val="0"/>
                <w:sz w:val="21"/>
                <w:szCs w:val="21"/>
              </w:rPr>
              <w:t>00</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6" w:type="dxa"/>
            <w:tcBorders>
              <w:top w:val="single" w:color="000000" w:sz="4" w:space="0"/>
              <w:left w:val="single" w:color="000000" w:sz="4" w:space="0"/>
              <w:bottom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1.</w:t>
            </w:r>
            <w:r>
              <w:rPr>
                <w:rFonts w:hint="eastAsia" w:ascii="Times New Roman" w:hAnsi="Times New Roman" w:cs="Times New Roman"/>
                <w:color w:val="auto"/>
                <w:kern w:val="0"/>
                <w:sz w:val="21"/>
                <w:szCs w:val="21"/>
                <w:lang w:val="en-US" w:eastAsia="zh-CN"/>
              </w:rPr>
              <w:t>31</w:t>
            </w:r>
            <w:r>
              <w:rPr>
                <w:rFonts w:hint="default" w:ascii="Times New Roman" w:hAnsi="Times New Roman" w:cs="Times New Roman"/>
                <w:color w:val="auto"/>
                <w:kern w:val="0"/>
                <w:sz w:val="21"/>
                <w:szCs w:val="21"/>
              </w:rPr>
              <w:t>0000</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0.1</w:t>
            </w:r>
            <w:r>
              <w:rPr>
                <w:rFonts w:hint="eastAsia" w:ascii="Times New Roman" w:hAnsi="Times New Roman" w:cs="Times New Roman"/>
                <w:color w:val="auto"/>
                <w:kern w:val="0"/>
                <w:sz w:val="21"/>
                <w:szCs w:val="21"/>
                <w:lang w:val="en-US" w:eastAsia="zh-CN"/>
              </w:rPr>
              <w:t>36</w:t>
            </w:r>
            <w:r>
              <w:rPr>
                <w:rFonts w:hint="default" w:ascii="Times New Roman" w:hAnsi="Times New Roman" w:cs="Times New Roman"/>
                <w:color w:val="auto"/>
                <w:kern w:val="0"/>
                <w:sz w:val="21"/>
                <w:szCs w:val="21"/>
              </w:rPr>
              <w:t>000</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rPr>
              <w:t>0.0000</w:t>
            </w:r>
            <w:r>
              <w:rPr>
                <w:rFonts w:hint="eastAsia" w:ascii="Times New Roman" w:hAnsi="Times New Roman" w:cs="Times New Roman"/>
                <w:color w:val="auto"/>
                <w:kern w:val="0"/>
                <w:sz w:val="21"/>
                <w:szCs w:val="21"/>
                <w:lang w:val="en-US" w:eastAsia="zh-CN"/>
              </w:rPr>
              <w:t>62</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6" w:type="dxa"/>
            <w:tcBorders>
              <w:top w:val="single" w:color="000000" w:sz="4" w:space="0"/>
              <w:left w:val="single" w:color="000000" w:sz="4" w:space="0"/>
              <w:bottom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0.9</w:t>
            </w:r>
            <w:r>
              <w:rPr>
                <w:rFonts w:hint="eastAsia" w:ascii="Times New Roman" w:hAnsi="Times New Roman" w:cs="Times New Roman"/>
                <w:color w:val="auto"/>
                <w:kern w:val="0"/>
                <w:sz w:val="21"/>
                <w:szCs w:val="21"/>
                <w:lang w:val="en-US" w:eastAsia="zh-CN"/>
              </w:rPr>
              <w:t>96</w:t>
            </w:r>
            <w:r>
              <w:rPr>
                <w:rFonts w:hint="default" w:ascii="Times New Roman" w:hAnsi="Times New Roman" w:cs="Times New Roman"/>
                <w:color w:val="auto"/>
                <w:kern w:val="0"/>
                <w:sz w:val="21"/>
                <w:szCs w:val="21"/>
              </w:rPr>
              <w:t>000</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0.2</w:t>
            </w:r>
            <w:r>
              <w:rPr>
                <w:rFonts w:hint="eastAsia" w:ascii="Times New Roman" w:hAnsi="Times New Roman" w:cs="Times New Roman"/>
                <w:color w:val="auto"/>
                <w:kern w:val="0"/>
                <w:sz w:val="21"/>
                <w:szCs w:val="21"/>
                <w:lang w:val="en-US" w:eastAsia="zh-CN"/>
              </w:rPr>
              <w:t>89</w:t>
            </w:r>
            <w:r>
              <w:rPr>
                <w:rFonts w:hint="default" w:ascii="Times New Roman" w:hAnsi="Times New Roman" w:cs="Times New Roman"/>
                <w:color w:val="auto"/>
                <w:kern w:val="0"/>
                <w:sz w:val="21"/>
                <w:szCs w:val="21"/>
              </w:rPr>
              <w:t>000</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rPr>
              <w:t>0.0035</w:t>
            </w:r>
            <w:r>
              <w:rPr>
                <w:rFonts w:hint="eastAsia" w:ascii="Times New Roman" w:hAnsi="Times New Roman" w:cs="Times New Roman"/>
                <w:color w:val="auto"/>
                <w:kern w:val="0"/>
                <w:sz w:val="21"/>
                <w:szCs w:val="21"/>
                <w:lang w:val="en-US" w:eastAsia="zh-CN"/>
              </w:rPr>
              <w:t>60</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rPr>
              <w:t>0.00000</w:t>
            </w:r>
            <w:r>
              <w:rPr>
                <w:rFonts w:hint="eastAsia" w:ascii="Times New Roman" w:hAnsi="Times New Roman" w:cs="Times New Roman"/>
                <w:color w:val="auto"/>
                <w:kern w:val="0"/>
                <w:sz w:val="21"/>
                <w:szCs w:val="21"/>
                <w:lang w:val="en-US" w:eastAsia="zh-CN"/>
              </w:rPr>
              <w:t>3</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6" w:type="dxa"/>
            <w:tcBorders>
              <w:top w:val="single" w:color="000000" w:sz="4" w:space="0"/>
              <w:left w:val="single" w:color="000000" w:sz="4" w:space="0"/>
              <w:bottom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0.6</w:t>
            </w:r>
            <w:r>
              <w:rPr>
                <w:rFonts w:hint="eastAsia" w:ascii="Times New Roman" w:hAnsi="Times New Roman" w:cs="Times New Roman"/>
                <w:color w:val="auto"/>
                <w:kern w:val="0"/>
                <w:sz w:val="21"/>
                <w:szCs w:val="21"/>
                <w:lang w:val="en-US" w:eastAsia="zh-CN"/>
              </w:rPr>
              <w:t>95</w:t>
            </w:r>
            <w:r>
              <w:rPr>
                <w:rFonts w:hint="default" w:ascii="Times New Roman" w:hAnsi="Times New Roman" w:cs="Times New Roman"/>
                <w:color w:val="auto"/>
                <w:kern w:val="0"/>
                <w:sz w:val="21"/>
                <w:szCs w:val="21"/>
              </w:rPr>
              <w:t>000</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0.4</w:t>
            </w:r>
            <w:r>
              <w:rPr>
                <w:rFonts w:hint="eastAsia" w:ascii="Times New Roman" w:hAnsi="Times New Roman" w:cs="Times New Roman"/>
                <w:color w:val="auto"/>
                <w:kern w:val="0"/>
                <w:sz w:val="21"/>
                <w:szCs w:val="21"/>
                <w:lang w:val="en-US" w:eastAsia="zh-CN"/>
              </w:rPr>
              <w:t>52</w:t>
            </w:r>
            <w:r>
              <w:rPr>
                <w:rFonts w:hint="default" w:ascii="Times New Roman" w:hAnsi="Times New Roman" w:cs="Times New Roman"/>
                <w:color w:val="auto"/>
                <w:kern w:val="0"/>
                <w:sz w:val="21"/>
                <w:szCs w:val="21"/>
              </w:rPr>
              <w:t>000</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rPr>
              <w:t>0.059</w:t>
            </w:r>
            <w:r>
              <w:rPr>
                <w:rFonts w:hint="eastAsia" w:ascii="Times New Roman" w:hAnsi="Times New Roman" w:cs="Times New Roman"/>
                <w:color w:val="auto"/>
                <w:kern w:val="0"/>
                <w:sz w:val="21"/>
                <w:szCs w:val="21"/>
                <w:lang w:val="en-US" w:eastAsia="zh-CN"/>
              </w:rPr>
              <w:t>700</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kern w:val="0"/>
                <w:sz w:val="21"/>
                <w:szCs w:val="21"/>
              </w:rPr>
              <w:t>0.001</w:t>
            </w:r>
            <w:r>
              <w:rPr>
                <w:rFonts w:hint="eastAsia" w:ascii="Times New Roman" w:hAnsi="Times New Roman" w:cs="Times New Roman"/>
                <w:color w:val="auto"/>
                <w:kern w:val="0"/>
                <w:sz w:val="21"/>
                <w:szCs w:val="21"/>
                <w:lang w:val="en-US" w:eastAsia="zh-CN"/>
              </w:rPr>
              <w:t>575</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kern w:val="0"/>
                <w:sz w:val="21"/>
                <w:szCs w:val="21"/>
              </w:rPr>
              <w:t>0.00000</w:t>
            </w:r>
            <w:r>
              <w:rPr>
                <w:rFonts w:hint="eastAsia" w:ascii="Times New Roman" w:hAnsi="Times New Roman" w:cs="Times New Roman"/>
                <w:color w:val="auto"/>
                <w:kern w:val="0"/>
                <w:sz w:val="21"/>
                <w:szCs w:val="21"/>
                <w:lang w:val="en-US" w:eastAsia="zh-CN"/>
              </w:rPr>
              <w:t>8</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186" w:type="dxa"/>
            <w:tcBorders>
              <w:top w:val="single" w:color="000000" w:sz="4" w:space="0"/>
              <w:left w:val="single" w:color="000000" w:sz="4" w:space="0"/>
              <w:bottom w:val="single" w:color="000000" w:sz="4" w:space="0"/>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0.1</w:t>
            </w:r>
            <w:r>
              <w:rPr>
                <w:rFonts w:hint="eastAsia" w:ascii="Times New Roman" w:hAnsi="Times New Roman" w:cs="Times New Roman"/>
                <w:color w:val="auto"/>
                <w:kern w:val="0"/>
                <w:sz w:val="21"/>
                <w:szCs w:val="21"/>
                <w:lang w:val="en-US" w:eastAsia="zh-CN"/>
              </w:rPr>
              <w:t>53</w:t>
            </w:r>
            <w:r>
              <w:rPr>
                <w:rFonts w:hint="default" w:ascii="Times New Roman" w:hAnsi="Times New Roman" w:cs="Times New Roman"/>
                <w:color w:val="auto"/>
                <w:kern w:val="0"/>
                <w:sz w:val="21"/>
                <w:szCs w:val="21"/>
              </w:rPr>
              <w:t>000</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0.19</w:t>
            </w:r>
            <w:r>
              <w:rPr>
                <w:rFonts w:hint="eastAsia" w:ascii="Times New Roman" w:hAnsi="Times New Roman" w:cs="Times New Roman"/>
                <w:color w:val="auto"/>
                <w:kern w:val="0"/>
                <w:sz w:val="21"/>
                <w:szCs w:val="21"/>
                <w:lang w:val="en-US" w:eastAsia="zh-CN"/>
              </w:rPr>
              <w:t>8</w:t>
            </w:r>
            <w:r>
              <w:rPr>
                <w:rFonts w:hint="default" w:ascii="Times New Roman" w:hAnsi="Times New Roman" w:cs="Times New Roman"/>
                <w:color w:val="auto"/>
                <w:kern w:val="0"/>
                <w:sz w:val="21"/>
                <w:szCs w:val="21"/>
              </w:rPr>
              <w:t>000</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0.2</w:t>
            </w:r>
            <w:r>
              <w:rPr>
                <w:rFonts w:hint="eastAsia" w:ascii="Times New Roman" w:hAnsi="Times New Roman" w:cs="Times New Roman"/>
                <w:color w:val="auto"/>
                <w:kern w:val="0"/>
                <w:sz w:val="21"/>
                <w:szCs w:val="21"/>
                <w:lang w:val="en-US" w:eastAsia="zh-CN"/>
              </w:rPr>
              <w:t>31</w:t>
            </w:r>
            <w:r>
              <w:rPr>
                <w:rFonts w:hint="default" w:ascii="Times New Roman" w:hAnsi="Times New Roman" w:cs="Times New Roman"/>
                <w:color w:val="auto"/>
                <w:kern w:val="0"/>
                <w:sz w:val="21"/>
                <w:szCs w:val="21"/>
              </w:rPr>
              <w:t>000</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w:t>
            </w:r>
            <w:r>
              <w:rPr>
                <w:rFonts w:hint="eastAsia" w:ascii="Times New Roman" w:hAnsi="Times New Roman" w:cs="Times New Roman"/>
                <w:color w:val="auto"/>
                <w:kern w:val="0"/>
                <w:sz w:val="21"/>
                <w:szCs w:val="21"/>
                <w:lang w:val="en-US" w:eastAsia="zh-CN"/>
              </w:rPr>
              <w:t>224</w:t>
            </w:r>
            <w:r>
              <w:rPr>
                <w:rFonts w:hint="default" w:ascii="Times New Roman" w:hAnsi="Times New Roman" w:cs="Times New Roman"/>
                <w:color w:val="auto"/>
                <w:kern w:val="0"/>
                <w:sz w:val="21"/>
                <w:szCs w:val="21"/>
              </w:rPr>
              <w:t>000</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0.1</w:t>
            </w:r>
            <w:r>
              <w:rPr>
                <w:rFonts w:hint="eastAsia" w:ascii="Times New Roman" w:hAnsi="Times New Roman" w:cs="Times New Roman"/>
                <w:color w:val="auto"/>
                <w:kern w:val="0"/>
                <w:sz w:val="21"/>
                <w:szCs w:val="21"/>
                <w:lang w:val="en-US" w:eastAsia="zh-CN"/>
              </w:rPr>
              <w:t>91</w:t>
            </w:r>
            <w:r>
              <w:rPr>
                <w:rFonts w:hint="default" w:ascii="Times New Roman" w:hAnsi="Times New Roman" w:cs="Times New Roman"/>
                <w:color w:val="auto"/>
                <w:kern w:val="0"/>
                <w:sz w:val="21"/>
                <w:szCs w:val="21"/>
              </w:rPr>
              <w:t>000</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0.1</w:t>
            </w:r>
            <w:r>
              <w:rPr>
                <w:rFonts w:hint="eastAsia" w:ascii="Times New Roman" w:hAnsi="Times New Roman" w:cs="Times New Roman"/>
                <w:color w:val="auto"/>
                <w:kern w:val="0"/>
                <w:sz w:val="21"/>
                <w:szCs w:val="21"/>
                <w:lang w:val="en-US" w:eastAsia="zh-CN"/>
              </w:rPr>
              <w:t>35</w:t>
            </w:r>
            <w:r>
              <w:rPr>
                <w:rFonts w:hint="default" w:ascii="Times New Roman" w:hAnsi="Times New Roman" w:cs="Times New Roman"/>
                <w:color w:val="auto"/>
                <w:kern w:val="0"/>
                <w:sz w:val="21"/>
                <w:szCs w:val="21"/>
              </w:rPr>
              <w:t>000</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w:t>
            </w:r>
            <w:r>
              <w:rPr>
                <w:rFonts w:hint="eastAsia" w:ascii="Times New Roman" w:hAnsi="Times New Roman" w:cs="Times New Roman"/>
                <w:color w:val="auto"/>
                <w:kern w:val="0"/>
                <w:sz w:val="21"/>
                <w:szCs w:val="21"/>
                <w:lang w:val="en-US" w:eastAsia="zh-CN"/>
              </w:rPr>
              <w:t>811</w:t>
            </w:r>
            <w:r>
              <w:rPr>
                <w:rFonts w:hint="default" w:ascii="Times New Roman" w:hAnsi="Times New Roman" w:cs="Times New Roman"/>
                <w:color w:val="auto"/>
                <w:kern w:val="0"/>
                <w:sz w:val="21"/>
                <w:szCs w:val="21"/>
              </w:rPr>
              <w:t>00</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0.04</w:t>
            </w:r>
            <w:r>
              <w:rPr>
                <w:rFonts w:hint="eastAsia" w:ascii="Times New Roman" w:hAnsi="Times New Roman" w:cs="Times New Roman"/>
                <w:color w:val="auto"/>
                <w:kern w:val="0"/>
                <w:sz w:val="21"/>
                <w:szCs w:val="21"/>
                <w:lang w:val="en-US" w:eastAsia="zh-CN"/>
              </w:rPr>
              <w:t>20</w:t>
            </w:r>
            <w:r>
              <w:rPr>
                <w:rFonts w:hint="default" w:ascii="Times New Roman" w:hAnsi="Times New Roman" w:cs="Times New Roman"/>
                <w:color w:val="auto"/>
                <w:kern w:val="0"/>
                <w:sz w:val="21"/>
                <w:szCs w:val="21"/>
              </w:rPr>
              <w:t>00</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0.018</w:t>
            </w:r>
            <w:r>
              <w:rPr>
                <w:rFonts w:hint="eastAsia" w:ascii="Times New Roman" w:hAnsi="Times New Roman" w:cs="Times New Roman"/>
                <w:color w:val="auto"/>
                <w:kern w:val="0"/>
                <w:sz w:val="21"/>
                <w:szCs w:val="21"/>
                <w:lang w:val="en-US" w:eastAsia="zh-CN"/>
              </w:rPr>
              <w:t>5</w:t>
            </w:r>
            <w:r>
              <w:rPr>
                <w:rFonts w:hint="default" w:ascii="Times New Roman" w:hAnsi="Times New Roman" w:cs="Times New Roman"/>
                <w:color w:val="auto"/>
                <w:kern w:val="0"/>
                <w:sz w:val="21"/>
                <w:szCs w:val="21"/>
              </w:rPr>
              <w:t>00</w:t>
            </w:r>
          </w:p>
        </w:tc>
        <w:tc>
          <w:tcPr>
            <w:tcW w:w="1186" w:type="dxa"/>
            <w:tcBorders>
              <w:top w:val="single" w:color="000000" w:sz="4" w:space="0"/>
              <w:left w:val="single" w:color="000000" w:sz="4" w:space="0"/>
              <w:bottom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0.0068</w:t>
            </w:r>
            <w:r>
              <w:rPr>
                <w:rFonts w:hint="eastAsia" w:ascii="Times New Roman" w:hAnsi="Times New Roman" w:cs="Times New Roman"/>
                <w:color w:val="auto"/>
                <w:kern w:val="0"/>
                <w:sz w:val="21"/>
                <w:szCs w:val="21"/>
                <w:lang w:val="en-US" w:eastAsia="zh-CN"/>
              </w:rPr>
              <w:t>8</w:t>
            </w:r>
            <w:r>
              <w:rPr>
                <w:rFonts w:hint="default" w:ascii="Times New Roman" w:hAnsi="Times New Roman" w:cs="Times New Roman"/>
                <w:color w:val="auto"/>
                <w:kern w:val="0"/>
                <w:sz w:val="21"/>
                <w:szCs w:val="21"/>
              </w:rPr>
              <w:t>0</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bottom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365</w:t>
            </w:r>
          </w:p>
        </w:tc>
        <w:tc>
          <w:tcPr>
            <w:tcW w:w="165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w:t>
            </w:r>
            <w:r>
              <w:rPr>
                <w:rFonts w:hint="eastAsia" w:ascii="Times New Roman" w:hAnsi="Times New Roman" w:cs="Times New Roman"/>
                <w:color w:val="auto"/>
                <w:kern w:val="0"/>
                <w:sz w:val="21"/>
                <w:szCs w:val="21"/>
                <w:lang w:val="en-US" w:eastAsia="zh-CN"/>
              </w:rPr>
              <w:t>226</w:t>
            </w:r>
            <w:r>
              <w:rPr>
                <w:rFonts w:hint="default" w:ascii="Times New Roman" w:hAnsi="Times New Roman" w:cs="Times New Roman"/>
                <w:color w:val="auto"/>
                <w:kern w:val="0"/>
                <w:sz w:val="21"/>
                <w:szCs w:val="21"/>
              </w:rPr>
              <w:t>00</w:t>
            </w:r>
          </w:p>
        </w:tc>
        <w:tc>
          <w:tcPr>
            <w:tcW w:w="131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0.03</w:t>
            </w:r>
            <w:r>
              <w:rPr>
                <w:rFonts w:hint="eastAsia" w:ascii="Times New Roman" w:hAnsi="Times New Roman" w:cs="Times New Roman"/>
                <w:color w:val="auto"/>
                <w:kern w:val="0"/>
                <w:sz w:val="21"/>
                <w:szCs w:val="21"/>
                <w:lang w:val="en-US" w:eastAsia="zh-CN"/>
              </w:rPr>
              <w:t>24</w:t>
            </w:r>
            <w:r>
              <w:rPr>
                <w:rFonts w:hint="default" w:ascii="Times New Roman" w:hAnsi="Times New Roman" w:cs="Times New Roman"/>
                <w:color w:val="auto"/>
                <w:kern w:val="0"/>
                <w:sz w:val="21"/>
                <w:szCs w:val="21"/>
              </w:rPr>
              <w:t>00</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0.04</w:t>
            </w:r>
            <w:r>
              <w:rPr>
                <w:rFonts w:hint="eastAsia" w:ascii="Times New Roman" w:hAnsi="Times New Roman" w:cs="Times New Roman"/>
                <w:color w:val="auto"/>
                <w:kern w:val="0"/>
                <w:sz w:val="21"/>
                <w:szCs w:val="21"/>
                <w:lang w:val="en-US" w:eastAsia="zh-CN"/>
              </w:rPr>
              <w:t>35</w:t>
            </w:r>
            <w:r>
              <w:rPr>
                <w:rFonts w:hint="default" w:ascii="Times New Roman" w:hAnsi="Times New Roman" w:cs="Times New Roman"/>
                <w:color w:val="auto"/>
                <w:kern w:val="0"/>
                <w:sz w:val="21"/>
                <w:szCs w:val="21"/>
              </w:rPr>
              <w:t>00</w:t>
            </w:r>
          </w:p>
        </w:tc>
        <w:tc>
          <w:tcPr>
            <w:tcW w:w="1183"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0.05</w:t>
            </w:r>
            <w:r>
              <w:rPr>
                <w:rFonts w:hint="eastAsia" w:ascii="Times New Roman" w:hAnsi="Times New Roman" w:cs="Times New Roman"/>
                <w:color w:val="auto"/>
                <w:kern w:val="0"/>
                <w:sz w:val="21"/>
                <w:szCs w:val="21"/>
                <w:lang w:val="en-US" w:eastAsia="zh-CN"/>
              </w:rPr>
              <w:t>72</w:t>
            </w:r>
            <w:r>
              <w:rPr>
                <w:rFonts w:hint="default" w:ascii="Times New Roman" w:hAnsi="Times New Roman" w:cs="Times New Roman"/>
                <w:color w:val="auto"/>
                <w:kern w:val="0"/>
                <w:sz w:val="21"/>
                <w:szCs w:val="21"/>
              </w:rPr>
              <w:t>00</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w:t>
            </w:r>
            <w:r>
              <w:rPr>
                <w:rFonts w:hint="eastAsia" w:ascii="Times New Roman" w:hAnsi="Times New Roman" w:cs="Times New Roman"/>
                <w:color w:val="auto"/>
                <w:kern w:val="0"/>
                <w:sz w:val="21"/>
                <w:szCs w:val="21"/>
                <w:lang w:val="en-US" w:eastAsia="zh-CN"/>
              </w:rPr>
              <w:t>720</w:t>
            </w:r>
            <w:r>
              <w:rPr>
                <w:rFonts w:hint="default" w:ascii="Times New Roman" w:hAnsi="Times New Roman" w:cs="Times New Roman"/>
                <w:color w:val="auto"/>
                <w:kern w:val="0"/>
                <w:sz w:val="21"/>
                <w:szCs w:val="21"/>
              </w:rPr>
              <w:t>00</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0.08</w:t>
            </w:r>
            <w:r>
              <w:rPr>
                <w:rFonts w:hint="eastAsia" w:ascii="Times New Roman" w:hAnsi="Times New Roman" w:cs="Times New Roman"/>
                <w:color w:val="auto"/>
                <w:kern w:val="0"/>
                <w:sz w:val="21"/>
                <w:szCs w:val="21"/>
                <w:lang w:val="en-US" w:eastAsia="zh-CN"/>
              </w:rPr>
              <w:t>74</w:t>
            </w:r>
            <w:r>
              <w:rPr>
                <w:rFonts w:hint="default" w:ascii="Times New Roman" w:hAnsi="Times New Roman" w:cs="Times New Roman"/>
                <w:color w:val="auto"/>
                <w:kern w:val="0"/>
                <w:sz w:val="21"/>
                <w:szCs w:val="21"/>
              </w:rPr>
              <w:t>00</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0.0</w:t>
            </w:r>
            <w:r>
              <w:rPr>
                <w:rFonts w:hint="eastAsia" w:ascii="Times New Roman" w:hAnsi="Times New Roman" w:cs="Times New Roman"/>
                <w:color w:val="auto"/>
                <w:kern w:val="0"/>
                <w:sz w:val="21"/>
                <w:szCs w:val="21"/>
                <w:lang w:val="en-US" w:eastAsia="zh-CN"/>
              </w:rPr>
              <w:t>989</w:t>
            </w:r>
            <w:r>
              <w:rPr>
                <w:rFonts w:hint="default" w:ascii="Times New Roman" w:hAnsi="Times New Roman" w:cs="Times New Roman"/>
                <w:color w:val="auto"/>
                <w:kern w:val="0"/>
                <w:sz w:val="21"/>
                <w:szCs w:val="21"/>
              </w:rPr>
              <w:t>00</w:t>
            </w:r>
          </w:p>
        </w:tc>
        <w:tc>
          <w:tcPr>
            <w:tcW w:w="1184"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0.1</w:t>
            </w:r>
            <w:r>
              <w:rPr>
                <w:rFonts w:hint="eastAsia" w:ascii="Times New Roman" w:hAnsi="Times New Roman" w:cs="Times New Roman"/>
                <w:color w:val="auto"/>
                <w:kern w:val="0"/>
                <w:sz w:val="21"/>
                <w:szCs w:val="21"/>
                <w:lang w:val="en-US" w:eastAsia="zh-CN"/>
              </w:rPr>
              <w:t>2</w:t>
            </w:r>
            <w:r>
              <w:rPr>
                <w:rFonts w:hint="default" w:ascii="Times New Roman" w:hAnsi="Times New Roman" w:cs="Times New Roman"/>
                <w:color w:val="auto"/>
                <w:kern w:val="0"/>
                <w:sz w:val="21"/>
                <w:szCs w:val="21"/>
              </w:rPr>
              <w:t>0000</w:t>
            </w:r>
          </w:p>
        </w:tc>
        <w:tc>
          <w:tcPr>
            <w:tcW w:w="118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0.1</w:t>
            </w:r>
            <w:r>
              <w:rPr>
                <w:rFonts w:hint="eastAsia" w:ascii="Times New Roman" w:hAnsi="Times New Roman" w:cs="Times New Roman"/>
                <w:color w:val="auto"/>
                <w:kern w:val="0"/>
                <w:sz w:val="21"/>
                <w:szCs w:val="21"/>
                <w:lang w:val="en-US" w:eastAsia="zh-CN"/>
              </w:rPr>
              <w:t>20</w:t>
            </w:r>
            <w:r>
              <w:rPr>
                <w:rFonts w:hint="default" w:ascii="Times New Roman" w:hAnsi="Times New Roman" w:cs="Times New Roman"/>
                <w:color w:val="auto"/>
                <w:kern w:val="0"/>
                <w:sz w:val="21"/>
                <w:szCs w:val="21"/>
              </w:rPr>
              <w:t>000</w:t>
            </w:r>
          </w:p>
        </w:tc>
        <w:tc>
          <w:tcPr>
            <w:tcW w:w="1186" w:type="dxa"/>
            <w:tcBorders>
              <w:top w:val="single" w:color="000000" w:sz="4" w:space="0"/>
              <w:left w:val="single" w:color="000000" w:sz="4" w:space="0"/>
              <w:bottom w:val="single" w:color="000000" w:sz="4" w:space="0"/>
            </w:tcBorders>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0.1</w:t>
            </w:r>
            <w:r>
              <w:rPr>
                <w:rFonts w:hint="eastAsia" w:ascii="Times New Roman" w:hAnsi="Times New Roman" w:cs="Times New Roman"/>
                <w:color w:val="auto"/>
                <w:kern w:val="0"/>
                <w:sz w:val="21"/>
                <w:szCs w:val="21"/>
                <w:lang w:val="en-US" w:eastAsia="zh-CN"/>
              </w:rPr>
              <w:t>21</w:t>
            </w:r>
            <w:r>
              <w:rPr>
                <w:rFonts w:hint="default" w:ascii="Times New Roman" w:hAnsi="Times New Roman" w:cs="Times New Roman"/>
                <w:color w:val="auto"/>
                <w:kern w:val="0"/>
                <w:sz w:val="21"/>
                <w:szCs w:val="21"/>
              </w:rPr>
              <w:t>000</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15" w:type="dxa"/>
            <w:left w:w="15" w:type="dxa"/>
            <w:bottom w:w="15" w:type="dxa"/>
            <w:right w:w="15" w:type="dxa"/>
          </w:tblCellMar>
        </w:tblPrEx>
        <w:trPr>
          <w:trHeight w:val="23" w:hRule="atLeast"/>
          <w:jc w:val="center"/>
        </w:trPr>
        <w:tc>
          <w:tcPr>
            <w:tcW w:w="1163" w:type="dxa"/>
            <w:tcBorders>
              <w:top w:val="single" w:color="000000" w:sz="4" w:space="0"/>
              <w:right w:val="single" w:color="000000" w:sz="4" w:space="0"/>
            </w:tcBorders>
            <w:noWrap w:val="0"/>
            <w:vAlign w:val="bottom"/>
          </w:tcPr>
          <w:p>
            <w:pPr>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1000</w:t>
            </w:r>
          </w:p>
        </w:tc>
        <w:tc>
          <w:tcPr>
            <w:tcW w:w="1657"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0.000</w:t>
            </w:r>
            <w:r>
              <w:rPr>
                <w:rFonts w:hint="eastAsia" w:ascii="Times New Roman" w:hAnsi="Times New Roman" w:cs="Times New Roman"/>
                <w:color w:val="auto"/>
                <w:kern w:val="0"/>
                <w:sz w:val="21"/>
                <w:szCs w:val="21"/>
                <w:lang w:val="en-US" w:eastAsia="zh-CN"/>
              </w:rPr>
              <w:t>716</w:t>
            </w:r>
          </w:p>
        </w:tc>
        <w:tc>
          <w:tcPr>
            <w:tcW w:w="1312"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0.001</w:t>
            </w:r>
            <w:r>
              <w:rPr>
                <w:rFonts w:hint="eastAsia" w:ascii="Times New Roman" w:hAnsi="Times New Roman" w:cs="Times New Roman"/>
                <w:color w:val="auto"/>
                <w:kern w:val="0"/>
                <w:sz w:val="21"/>
                <w:szCs w:val="21"/>
                <w:lang w:val="en-US" w:eastAsia="zh-CN"/>
              </w:rPr>
              <w:t>100</w:t>
            </w:r>
          </w:p>
        </w:tc>
        <w:tc>
          <w:tcPr>
            <w:tcW w:w="1183"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0.001</w:t>
            </w:r>
            <w:r>
              <w:rPr>
                <w:rFonts w:hint="eastAsia" w:ascii="Times New Roman" w:hAnsi="Times New Roman" w:cs="Times New Roman"/>
                <w:color w:val="auto"/>
                <w:kern w:val="0"/>
                <w:sz w:val="21"/>
                <w:szCs w:val="21"/>
                <w:lang w:val="en-US" w:eastAsia="zh-CN"/>
              </w:rPr>
              <w:t>51</w:t>
            </w:r>
            <w:r>
              <w:rPr>
                <w:rFonts w:hint="default" w:ascii="Times New Roman" w:hAnsi="Times New Roman" w:cs="Times New Roman"/>
                <w:color w:val="auto"/>
                <w:kern w:val="0"/>
                <w:sz w:val="21"/>
                <w:szCs w:val="21"/>
              </w:rPr>
              <w:t>0</w:t>
            </w:r>
          </w:p>
        </w:tc>
        <w:tc>
          <w:tcPr>
            <w:tcW w:w="1183"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0.00</w:t>
            </w:r>
            <w:r>
              <w:rPr>
                <w:rFonts w:hint="eastAsia" w:ascii="Times New Roman" w:hAnsi="Times New Roman" w:cs="Times New Roman"/>
                <w:color w:val="auto"/>
                <w:kern w:val="0"/>
                <w:sz w:val="21"/>
                <w:szCs w:val="21"/>
                <w:lang w:val="en-US" w:eastAsia="zh-CN"/>
              </w:rPr>
              <w:t>2110</w:t>
            </w:r>
          </w:p>
        </w:tc>
        <w:tc>
          <w:tcPr>
            <w:tcW w:w="1184"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0.002</w:t>
            </w:r>
            <w:r>
              <w:rPr>
                <w:rFonts w:hint="eastAsia" w:ascii="Times New Roman" w:hAnsi="Times New Roman" w:cs="Times New Roman"/>
                <w:color w:val="auto"/>
                <w:kern w:val="0"/>
                <w:sz w:val="21"/>
                <w:szCs w:val="21"/>
                <w:lang w:val="en-US" w:eastAsia="zh-CN"/>
              </w:rPr>
              <w:t>93</w:t>
            </w:r>
            <w:r>
              <w:rPr>
                <w:rFonts w:hint="default" w:ascii="Times New Roman" w:hAnsi="Times New Roman" w:cs="Times New Roman"/>
                <w:color w:val="auto"/>
                <w:kern w:val="0"/>
                <w:sz w:val="21"/>
                <w:szCs w:val="21"/>
              </w:rPr>
              <w:t>0</w:t>
            </w:r>
          </w:p>
        </w:tc>
        <w:tc>
          <w:tcPr>
            <w:tcW w:w="1184"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w:t>
            </w:r>
            <w:r>
              <w:rPr>
                <w:rFonts w:hint="eastAsia" w:ascii="Times New Roman" w:hAnsi="Times New Roman" w:cs="Times New Roman"/>
                <w:color w:val="auto"/>
                <w:kern w:val="0"/>
                <w:sz w:val="21"/>
                <w:szCs w:val="21"/>
                <w:lang w:val="en-US" w:eastAsia="zh-CN"/>
              </w:rPr>
              <w:t>398</w:t>
            </w:r>
            <w:r>
              <w:rPr>
                <w:rFonts w:hint="default" w:ascii="Times New Roman" w:hAnsi="Times New Roman" w:cs="Times New Roman"/>
                <w:color w:val="auto"/>
                <w:kern w:val="0"/>
                <w:sz w:val="21"/>
                <w:szCs w:val="21"/>
              </w:rPr>
              <w:t>0</w:t>
            </w:r>
          </w:p>
        </w:tc>
        <w:tc>
          <w:tcPr>
            <w:tcW w:w="1182"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w:t>
            </w:r>
            <w:r>
              <w:rPr>
                <w:rFonts w:hint="eastAsia" w:ascii="Times New Roman" w:hAnsi="Times New Roman" w:cs="Times New Roman"/>
                <w:color w:val="auto"/>
                <w:kern w:val="0"/>
                <w:sz w:val="21"/>
                <w:szCs w:val="21"/>
                <w:lang w:val="en-US" w:eastAsia="zh-CN"/>
              </w:rPr>
              <w:t>542</w:t>
            </w:r>
            <w:r>
              <w:rPr>
                <w:rFonts w:hint="default" w:ascii="Times New Roman" w:hAnsi="Times New Roman" w:cs="Times New Roman"/>
                <w:color w:val="auto"/>
                <w:kern w:val="0"/>
                <w:sz w:val="21"/>
                <w:szCs w:val="21"/>
              </w:rPr>
              <w:t>0</w:t>
            </w:r>
          </w:p>
        </w:tc>
        <w:tc>
          <w:tcPr>
            <w:tcW w:w="1184"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rPr>
              <w:t>0.00</w:t>
            </w:r>
            <w:r>
              <w:rPr>
                <w:rFonts w:hint="eastAsia" w:ascii="Times New Roman" w:hAnsi="Times New Roman" w:cs="Times New Roman"/>
                <w:color w:val="auto"/>
                <w:kern w:val="0"/>
                <w:sz w:val="21"/>
                <w:szCs w:val="21"/>
                <w:lang w:val="en-US" w:eastAsia="zh-CN"/>
              </w:rPr>
              <w:t>7040</w:t>
            </w:r>
          </w:p>
        </w:tc>
        <w:tc>
          <w:tcPr>
            <w:tcW w:w="1188" w:type="dxa"/>
            <w:tcBorders>
              <w:top w:val="single" w:color="000000" w:sz="4" w:space="0"/>
              <w:left w:val="single" w:color="000000" w:sz="4" w:space="0"/>
              <w:righ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0.009</w:t>
            </w:r>
            <w:r>
              <w:rPr>
                <w:rFonts w:hint="eastAsia" w:ascii="Times New Roman" w:hAnsi="Times New Roman" w:cs="Times New Roman"/>
                <w:color w:val="auto"/>
                <w:kern w:val="0"/>
                <w:sz w:val="21"/>
                <w:szCs w:val="21"/>
                <w:lang w:val="en-US" w:eastAsia="zh-CN"/>
              </w:rPr>
              <w:t>18</w:t>
            </w:r>
            <w:r>
              <w:rPr>
                <w:rFonts w:hint="default" w:ascii="Times New Roman" w:hAnsi="Times New Roman" w:cs="Times New Roman"/>
                <w:color w:val="auto"/>
                <w:kern w:val="0"/>
                <w:sz w:val="21"/>
                <w:szCs w:val="21"/>
              </w:rPr>
              <w:t>0</w:t>
            </w:r>
          </w:p>
        </w:tc>
        <w:tc>
          <w:tcPr>
            <w:tcW w:w="1186" w:type="dxa"/>
            <w:tcBorders>
              <w:top w:val="single" w:color="000000" w:sz="4" w:space="0"/>
              <w:left w:val="single" w:color="000000" w:sz="4" w:space="0"/>
            </w:tcBorders>
            <w:noWrap w:val="0"/>
            <w:vAlign w:val="center"/>
          </w:tcPr>
          <w:p>
            <w:pPr>
              <w:widowControl/>
              <w:jc w:val="center"/>
              <w:textAlignment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0.01</w:t>
            </w:r>
            <w:r>
              <w:rPr>
                <w:rFonts w:hint="eastAsia" w:ascii="Times New Roman" w:hAnsi="Times New Roman" w:cs="Times New Roman"/>
                <w:color w:val="auto"/>
                <w:kern w:val="0"/>
                <w:sz w:val="21"/>
                <w:szCs w:val="21"/>
                <w:lang w:val="en-US" w:eastAsia="zh-CN"/>
              </w:rPr>
              <w:t>16</w:t>
            </w:r>
            <w:r>
              <w:rPr>
                <w:rFonts w:hint="default" w:ascii="Times New Roman" w:hAnsi="Times New Roman" w:cs="Times New Roman"/>
                <w:color w:val="auto"/>
                <w:kern w:val="0"/>
                <w:sz w:val="21"/>
                <w:szCs w:val="21"/>
              </w:rPr>
              <w:t>00</w:t>
            </w:r>
          </w:p>
        </w:tc>
      </w:tr>
    </w:tbl>
    <w:p>
      <w:pPr>
        <w:pStyle w:val="2"/>
        <w:ind w:left="0" w:leftChars="0" w:firstLine="0" w:firstLineChars="0"/>
        <w:jc w:val="center"/>
        <w:rPr>
          <w:rFonts w:hint="eastAsia"/>
          <w:sz w:val="24"/>
          <w:szCs w:val="24"/>
          <w:lang w:val="en-US" w:eastAsia="zh-CN"/>
        </w:rPr>
        <w:sectPr>
          <w:headerReference r:id="rId50" w:type="default"/>
          <w:footerReference r:id="rId51" w:type="default"/>
          <w:pgSz w:w="16838" w:h="11906" w:orient="landscape"/>
          <w:pgMar w:top="1800" w:right="1440" w:bottom="1800" w:left="1440" w:header="1134" w:footer="1134" w:gutter="0"/>
          <w:pgBorders>
            <w:top w:val="none" w:sz="0" w:space="0"/>
            <w:left w:val="none" w:sz="0" w:space="0"/>
            <w:bottom w:val="none" w:sz="0" w:space="0"/>
            <w:right w:val="none" w:sz="0" w:space="0"/>
          </w:pgBorders>
          <w:pgNumType w:fmt="decimal"/>
          <w:cols w:space="425" w:num="1"/>
          <w:docGrid w:type="lines" w:linePitch="312" w:charSpace="0"/>
        </w:sectPr>
      </w:pP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sz w:val="24"/>
          <w:szCs w:val="24"/>
        </w:rPr>
      </w:pPr>
      <w:r>
        <w:rPr>
          <w:rFonts w:hint="default" w:ascii="Times New Roman" w:hAnsi="Times New Roman" w:eastAsia="宋体"/>
          <w:sz w:val="24"/>
          <w:szCs w:val="24"/>
        </w:rPr>
        <w:t>由表</w:t>
      </w:r>
      <w:r>
        <w:rPr>
          <w:rFonts w:hint="eastAsia" w:ascii="Times New Roman" w:hAnsi="Times New Roman"/>
          <w:sz w:val="24"/>
          <w:szCs w:val="24"/>
          <w:lang w:val="en-US" w:eastAsia="zh-CN"/>
        </w:rPr>
        <w:t>6.3.5</w:t>
      </w:r>
      <w:r>
        <w:rPr>
          <w:rFonts w:hint="default" w:ascii="Times New Roman" w:hAnsi="Times New Roman" w:eastAsia="宋体"/>
          <w:sz w:val="24"/>
          <w:szCs w:val="24"/>
        </w:rPr>
        <w:t>-2可以看出，非正常情况废水泄漏过程，氨氮的最大浓度出现在排放泄漏点附近，影响范围内的浓度随时间增长而升高。根据模型预测氨氮的影响范围为：10天影响范围扩散到22m，100天影响范围扩散到76m，10天时9m处氨氮的浓度为0.</w:t>
      </w:r>
      <w:r>
        <w:rPr>
          <w:rFonts w:hint="eastAsia" w:ascii="Times New Roman" w:hAnsi="Times New Roman"/>
          <w:sz w:val="24"/>
          <w:szCs w:val="24"/>
          <w:lang w:val="en-US" w:eastAsia="zh-CN"/>
        </w:rPr>
        <w:t>6935</w:t>
      </w:r>
      <w:r>
        <w:rPr>
          <w:rFonts w:hint="default" w:ascii="Times New Roman" w:hAnsi="Times New Roman" w:eastAsia="宋体"/>
          <w:sz w:val="24"/>
          <w:szCs w:val="24"/>
        </w:rPr>
        <w:t>mg/l，1年将影响范围扩散到1</w:t>
      </w:r>
      <w:r>
        <w:rPr>
          <w:rFonts w:hint="eastAsia" w:ascii="Times New Roman" w:hAnsi="Times New Roman"/>
          <w:sz w:val="24"/>
          <w:szCs w:val="24"/>
          <w:lang w:val="en-US" w:eastAsia="zh-CN"/>
        </w:rPr>
        <w:t>69</w:t>
      </w:r>
      <w:r>
        <w:rPr>
          <w:rFonts w:hint="default" w:ascii="Times New Roman" w:hAnsi="Times New Roman" w:eastAsia="宋体"/>
          <w:sz w:val="24"/>
          <w:szCs w:val="24"/>
        </w:rPr>
        <w:t>m，1000天将影响范围扩散到3</w:t>
      </w:r>
      <w:r>
        <w:rPr>
          <w:rFonts w:hint="eastAsia" w:ascii="Times New Roman" w:hAnsi="Times New Roman"/>
          <w:sz w:val="24"/>
          <w:szCs w:val="24"/>
          <w:lang w:val="en-US" w:eastAsia="zh-CN"/>
        </w:rPr>
        <w:t>49</w:t>
      </w:r>
      <w:r>
        <w:rPr>
          <w:rFonts w:hint="default" w:ascii="Times New Roman" w:hAnsi="Times New Roman" w:eastAsia="宋体"/>
          <w:sz w:val="24"/>
          <w:szCs w:val="24"/>
        </w:rPr>
        <w:t>m，3</w:t>
      </w:r>
      <w:r>
        <w:rPr>
          <w:rFonts w:hint="eastAsia" w:ascii="Times New Roman" w:hAnsi="Times New Roman"/>
          <w:sz w:val="24"/>
          <w:szCs w:val="24"/>
          <w:lang w:val="en-US" w:eastAsia="zh-CN"/>
        </w:rPr>
        <w:t>49</w:t>
      </w:r>
      <w:r>
        <w:rPr>
          <w:rFonts w:hint="default" w:ascii="Times New Roman" w:hAnsi="Times New Roman" w:eastAsia="宋体"/>
          <w:sz w:val="24"/>
          <w:szCs w:val="24"/>
        </w:rPr>
        <w:t>m的浓度低于检出限。氨氮的超标范围在10m范围内，主要影响位于厂区。</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sz w:val="24"/>
          <w:szCs w:val="24"/>
          <w:lang w:val="en-US" w:eastAsia="zh-CN"/>
        </w:rPr>
      </w:pPr>
      <w:r>
        <w:rPr>
          <w:rFonts w:hint="default" w:ascii="Times New Roman" w:hAnsi="Times New Roman" w:eastAsia="宋体"/>
          <w:sz w:val="24"/>
          <w:szCs w:val="24"/>
        </w:rPr>
        <w:t>综上所述，运营期</w:t>
      </w:r>
      <w:r>
        <w:rPr>
          <w:rFonts w:hint="eastAsia" w:ascii="Times New Roman" w:hAnsi="Times New Roman"/>
          <w:sz w:val="24"/>
          <w:szCs w:val="24"/>
          <w:lang w:val="en-US" w:eastAsia="zh-CN"/>
        </w:rPr>
        <w:t>污水暂存池</w:t>
      </w:r>
      <w:r>
        <w:rPr>
          <w:rFonts w:hint="default" w:ascii="Times New Roman" w:hAnsi="Times New Roman" w:eastAsia="宋体"/>
          <w:sz w:val="24"/>
          <w:szCs w:val="24"/>
        </w:rPr>
        <w:t>渗漏会对地下水环境质量有一定影响，但影响范围主要集中在池体周边的区域，主要影响仍位于厂区内，由于项目周边无地下水敏感目标，本报告认为项目运行对地下水的影响可以接受。</w:t>
      </w:r>
    </w:p>
    <w:p>
      <w:pPr>
        <w:pStyle w:val="9"/>
        <w:kinsoku w:val="0"/>
        <w:overflowPunct w:val="0"/>
        <w:spacing w:before="27" w:line="360" w:lineRule="auto"/>
        <w:ind w:left="0"/>
        <w:outlineLvl w:val="2"/>
        <w:rPr>
          <w:rFonts w:hint="default" w:ascii="Times New Roman" w:hAnsi="Times New Roman" w:cs="Times New Roman"/>
          <w:color w:val="auto"/>
          <w:sz w:val="28"/>
          <w:szCs w:val="24"/>
        </w:rPr>
      </w:pPr>
      <w:bookmarkStart w:id="30" w:name="_Toc31145"/>
      <w:bookmarkStart w:id="31" w:name="_Toc11824"/>
      <w:r>
        <w:rPr>
          <w:rFonts w:hint="eastAsia" w:ascii="Times New Roman" w:hAnsi="Times New Roman" w:cs="Times New Roman"/>
          <w:color w:val="auto"/>
          <w:sz w:val="28"/>
          <w:szCs w:val="24"/>
          <w:lang w:val="en-US" w:eastAsia="zh-CN"/>
        </w:rPr>
        <w:t>6</w:t>
      </w:r>
      <w:r>
        <w:rPr>
          <w:rFonts w:hint="default" w:ascii="Times New Roman" w:hAnsi="Times New Roman" w:cs="Times New Roman"/>
          <w:color w:val="auto"/>
          <w:sz w:val="28"/>
          <w:szCs w:val="24"/>
        </w:rPr>
        <w:t>.3.</w:t>
      </w:r>
      <w:r>
        <w:rPr>
          <w:rFonts w:hint="eastAsia" w:ascii="Times New Roman" w:hAnsi="Times New Roman" w:cs="Times New Roman"/>
          <w:color w:val="auto"/>
          <w:sz w:val="28"/>
          <w:szCs w:val="24"/>
          <w:lang w:val="en-US" w:eastAsia="zh-CN"/>
        </w:rPr>
        <w:t>6</w:t>
      </w:r>
      <w:r>
        <w:rPr>
          <w:rFonts w:hint="default" w:ascii="Times New Roman" w:hAnsi="Times New Roman" w:cs="Times New Roman"/>
          <w:color w:val="auto"/>
          <w:sz w:val="28"/>
          <w:szCs w:val="24"/>
        </w:rPr>
        <w:t>项目对地下水影响分析</w:t>
      </w:r>
      <w:bookmarkEnd w:id="30"/>
      <w:bookmarkEnd w:id="31"/>
    </w:p>
    <w:p>
      <w:pPr>
        <w:adjustRightInd w:val="0"/>
        <w:snapToGrid w:val="0"/>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项目所在地各层岩土主要是粉土和粉质粘土，质地较密，且厚度较大，具备了良好的防渗性能，做好罐区、危废间、</w:t>
      </w:r>
      <w:r>
        <w:rPr>
          <w:rFonts w:hint="eastAsia" w:ascii="Times New Roman" w:hAnsi="Times New Roman" w:cs="Times New Roman"/>
          <w:kern w:val="2"/>
          <w:sz w:val="24"/>
          <w:szCs w:val="24"/>
          <w:lang w:val="en-US" w:eastAsia="zh-CN" w:bidi="ar-SA"/>
        </w:rPr>
        <w:t>污水暂存池</w:t>
      </w:r>
      <w:r>
        <w:rPr>
          <w:rFonts w:hint="default" w:ascii="Times New Roman" w:hAnsi="Times New Roman" w:eastAsia="宋体" w:cs="Times New Roman"/>
          <w:kern w:val="2"/>
          <w:sz w:val="24"/>
          <w:szCs w:val="24"/>
          <w:lang w:val="en-US" w:eastAsia="zh-CN" w:bidi="ar-SA"/>
        </w:rPr>
        <w:t>地面硬化防渗污水处理设施防渗，项目对可能产生地下水影响的各项途径均进行有效预防，在确保各项防渗措施得以落实，并加强维护和厂区环境管理的前提下，可有效控制厂区内的废水污染物下渗现象，避免污染地下水，因此项目不会对区域地下水环境产生明显影响。</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7</w:t>
      </w:r>
      <w:r>
        <w:rPr>
          <w:b/>
          <w:bCs/>
          <w:color w:val="auto"/>
          <w:sz w:val="28"/>
          <w:szCs w:val="28"/>
        </w:rPr>
        <w:t xml:space="preserve"> </w:t>
      </w:r>
      <w:r>
        <w:rPr>
          <w:rFonts w:hint="eastAsia"/>
          <w:b/>
          <w:bCs/>
          <w:color w:val="auto"/>
          <w:sz w:val="28"/>
          <w:szCs w:val="28"/>
        </w:rPr>
        <w:t>地下水污染监控</w:t>
      </w:r>
    </w:p>
    <w:p>
      <w:pPr>
        <w:adjustRightInd w:val="0"/>
        <w:snapToGrid w:val="0"/>
        <w:spacing w:line="360" w:lineRule="auto"/>
        <w:ind w:firstLine="480" w:firstLineChars="200"/>
        <w:rPr>
          <w:rFonts w:hint="default" w:ascii="Times New Roman" w:hAnsi="Times New Roman" w:cs="Times New Roman"/>
          <w:kern w:val="2"/>
          <w:sz w:val="24"/>
          <w:szCs w:val="24"/>
          <w:lang w:val="en-US" w:eastAsia="zh-CN" w:bidi="ar-SA"/>
        </w:rPr>
      </w:pPr>
      <w:r>
        <w:rPr>
          <w:rFonts w:hint="default" w:ascii="Times New Roman" w:hAnsi="Times New Roman" w:cs="Times New Roman"/>
          <w:kern w:val="2"/>
          <w:sz w:val="24"/>
          <w:szCs w:val="24"/>
          <w:lang w:val="en-US" w:eastAsia="zh-CN" w:bidi="ar-SA"/>
        </w:rPr>
        <w:t>本项目地下水环境监测主要结合评价区含水层系统和地下水径流系统特征，布置地下水监测点。</w:t>
      </w:r>
    </w:p>
    <w:p>
      <w:pPr>
        <w:adjustRightInd w:val="0"/>
        <w:snapToGrid w:val="0"/>
        <w:spacing w:line="360" w:lineRule="auto"/>
        <w:ind w:firstLine="480" w:firstLineChars="200"/>
        <w:rPr>
          <w:rFonts w:hint="default" w:ascii="Times New Roman" w:hAnsi="Times New Roman" w:cs="Times New Roman"/>
          <w:kern w:val="2"/>
          <w:sz w:val="24"/>
          <w:szCs w:val="24"/>
          <w:lang w:val="en-US" w:eastAsia="zh-CN" w:bidi="ar-SA"/>
        </w:rPr>
      </w:pPr>
      <w:r>
        <w:rPr>
          <w:rFonts w:hint="default" w:ascii="Times New Roman" w:hAnsi="Times New Roman" w:cs="Times New Roman"/>
          <w:kern w:val="2"/>
          <w:sz w:val="24"/>
          <w:szCs w:val="24"/>
          <w:lang w:val="en-US" w:eastAsia="zh-CN" w:bidi="ar-SA"/>
        </w:rPr>
        <w:t>①监测井布置</w:t>
      </w:r>
    </w:p>
    <w:p>
      <w:pPr>
        <w:adjustRightInd w:val="0"/>
        <w:snapToGrid w:val="0"/>
        <w:spacing w:line="360" w:lineRule="auto"/>
        <w:ind w:firstLine="480" w:firstLineChars="200"/>
        <w:rPr>
          <w:rFonts w:hint="default" w:ascii="Times New Roman" w:hAnsi="Times New Roman" w:cs="Times New Roman"/>
          <w:kern w:val="2"/>
          <w:sz w:val="24"/>
          <w:szCs w:val="24"/>
          <w:lang w:val="en-US" w:eastAsia="zh-CN" w:bidi="ar-SA"/>
        </w:rPr>
      </w:pPr>
      <w:r>
        <w:rPr>
          <w:rFonts w:hint="default" w:ascii="Times New Roman" w:hAnsi="Times New Roman" w:cs="Times New Roman"/>
          <w:kern w:val="2"/>
          <w:sz w:val="24"/>
          <w:szCs w:val="24"/>
          <w:lang w:val="en-US" w:eastAsia="zh-CN" w:bidi="ar-SA"/>
        </w:rPr>
        <w:t>为及时掌握项目区域地下水动态与水质变化趋势，应对项目区及周围地下水进行长期监测，做好监测预警工作，重点监测浅层地下水，孔深约10-20m。</w:t>
      </w:r>
    </w:p>
    <w:p>
      <w:pPr>
        <w:adjustRightInd w:val="0"/>
        <w:snapToGrid w:val="0"/>
        <w:spacing w:line="360" w:lineRule="auto"/>
        <w:ind w:firstLine="480" w:firstLineChars="200"/>
        <w:rPr>
          <w:rFonts w:hint="default" w:ascii="Times New Roman" w:hAnsi="Times New Roman" w:cs="Times New Roman"/>
          <w:kern w:val="2"/>
          <w:sz w:val="24"/>
          <w:szCs w:val="24"/>
          <w:lang w:val="en-US" w:eastAsia="zh-CN" w:bidi="ar-SA"/>
        </w:rPr>
      </w:pPr>
      <w:r>
        <w:rPr>
          <w:rFonts w:hint="default" w:ascii="Times New Roman" w:hAnsi="Times New Roman" w:cs="Times New Roman"/>
          <w:kern w:val="2"/>
          <w:sz w:val="24"/>
          <w:szCs w:val="24"/>
          <w:lang w:val="en-US" w:eastAsia="zh-CN" w:bidi="ar-SA"/>
        </w:rPr>
        <w:t>在</w:t>
      </w:r>
      <w:r>
        <w:rPr>
          <w:rFonts w:hint="eastAsia" w:ascii="Times New Roman" w:hAnsi="Times New Roman" w:cs="Times New Roman"/>
          <w:kern w:val="2"/>
          <w:sz w:val="24"/>
          <w:szCs w:val="24"/>
          <w:lang w:val="en-US" w:eastAsia="zh-CN" w:bidi="ar-SA"/>
        </w:rPr>
        <w:t>木片堆场东北处</w:t>
      </w:r>
      <w:r>
        <w:rPr>
          <w:rFonts w:hint="default" w:ascii="Times New Roman" w:hAnsi="Times New Roman" w:cs="Times New Roman"/>
          <w:kern w:val="2"/>
          <w:sz w:val="24"/>
          <w:szCs w:val="24"/>
          <w:lang w:val="en-US" w:eastAsia="zh-CN" w:bidi="ar-SA"/>
        </w:rPr>
        <w:t>（下游，污染扩散监测点）布设一个监控井，具体位置见地下水监测布点图。若在相应的位置已经存在地下水井，则可以利用已经存在的水井作为监测井。监测一旦发现水质发生异常，应及时通知有关管理部门和当地居民，做好应急防范工作，同时应立即查找渗漏点，进行修补。如果发生意外泄露污染物渗入地下水，由于本区地下水径流滞缓，可对监测井中的地下水人工抽取、形成小范围的降落漏斗，防止污染物向四周扩散，对于抽取的地下水送入污水</w:t>
      </w:r>
      <w:r>
        <w:rPr>
          <w:rFonts w:hint="eastAsia" w:ascii="Times New Roman" w:hAnsi="Times New Roman" w:cs="Times New Roman"/>
          <w:kern w:val="2"/>
          <w:sz w:val="24"/>
          <w:szCs w:val="24"/>
          <w:lang w:val="en-US" w:eastAsia="zh-CN" w:bidi="ar-SA"/>
        </w:rPr>
        <w:t>处理系统</w:t>
      </w:r>
      <w:r>
        <w:rPr>
          <w:rFonts w:hint="default" w:ascii="Times New Roman" w:hAnsi="Times New Roman" w:cs="Times New Roman"/>
          <w:kern w:val="2"/>
          <w:sz w:val="24"/>
          <w:szCs w:val="24"/>
          <w:lang w:val="en-US" w:eastAsia="zh-CN" w:bidi="ar-SA"/>
        </w:rPr>
        <w:t>处理。</w:t>
      </w:r>
    </w:p>
    <w:p>
      <w:pPr>
        <w:adjustRightInd w:val="0"/>
        <w:snapToGrid w:val="0"/>
        <w:spacing w:line="360" w:lineRule="auto"/>
        <w:ind w:firstLine="480" w:firstLineChars="200"/>
        <w:rPr>
          <w:rFonts w:hint="default" w:ascii="Times New Roman" w:hAnsi="Times New Roman" w:cs="Times New Roman"/>
          <w:kern w:val="2"/>
          <w:sz w:val="24"/>
          <w:szCs w:val="24"/>
          <w:lang w:val="en-US" w:eastAsia="zh-CN" w:bidi="ar-SA"/>
        </w:rPr>
      </w:pPr>
      <w:r>
        <w:rPr>
          <w:rFonts w:hint="default" w:ascii="Times New Roman" w:hAnsi="Times New Roman" w:cs="Times New Roman"/>
          <w:kern w:val="2"/>
          <w:sz w:val="24"/>
          <w:szCs w:val="24"/>
          <w:lang w:val="en-US" w:eastAsia="zh-CN" w:bidi="ar-SA"/>
        </w:rPr>
        <w:t>②监测因子及频率</w:t>
      </w:r>
    </w:p>
    <w:p>
      <w:pPr>
        <w:adjustRightInd w:val="0"/>
        <w:snapToGrid w:val="0"/>
        <w:spacing w:line="360" w:lineRule="auto"/>
        <w:ind w:firstLine="480" w:firstLineChars="200"/>
        <w:rPr>
          <w:rFonts w:hint="default" w:ascii="Times New Roman" w:hAnsi="Times New Roman" w:cs="Times New Roman"/>
          <w:kern w:val="2"/>
          <w:sz w:val="24"/>
          <w:szCs w:val="24"/>
          <w:lang w:val="en-US" w:eastAsia="zh-CN" w:bidi="ar-SA"/>
        </w:rPr>
      </w:pPr>
      <w:r>
        <w:rPr>
          <w:rFonts w:hint="default" w:ascii="Times New Roman" w:hAnsi="Times New Roman" w:cs="Times New Roman"/>
          <w:kern w:val="2"/>
          <w:sz w:val="24"/>
          <w:szCs w:val="24"/>
          <w:lang w:val="en-US" w:eastAsia="zh-CN" w:bidi="ar-SA"/>
        </w:rPr>
        <w:t>根据《地下水质量标准》相关要求和本项目特征污染因子，确定监测项目为：pH、氨氮、硝酸盐、亚硝酸盐、挥发性酚、氰化物、砷、汞、六价铬、总硬度、铅、氟、镉、铁、锰、溶解性总固体、硫酸盐、氯化物、总大肠菌数、K</w:t>
      </w:r>
      <w:r>
        <w:rPr>
          <w:rFonts w:hint="default" w:ascii="Times New Roman" w:hAnsi="Times New Roman" w:cs="Times New Roman"/>
          <w:kern w:val="2"/>
          <w:sz w:val="24"/>
          <w:szCs w:val="24"/>
          <w:vertAlign w:val="superscript"/>
          <w:lang w:val="en-US" w:eastAsia="zh-CN" w:bidi="ar-SA"/>
        </w:rPr>
        <w:t>+</w:t>
      </w:r>
      <w:r>
        <w:rPr>
          <w:rFonts w:hint="default" w:ascii="Times New Roman" w:hAnsi="Times New Roman" w:cs="Times New Roman"/>
          <w:kern w:val="2"/>
          <w:sz w:val="24"/>
          <w:szCs w:val="24"/>
          <w:lang w:val="en-US" w:eastAsia="zh-CN" w:bidi="ar-SA"/>
        </w:rPr>
        <w:t>、Na</w:t>
      </w:r>
      <w:r>
        <w:rPr>
          <w:rFonts w:hint="default" w:ascii="Times New Roman" w:hAnsi="Times New Roman" w:cs="Times New Roman"/>
          <w:kern w:val="2"/>
          <w:sz w:val="24"/>
          <w:szCs w:val="24"/>
          <w:vertAlign w:val="superscript"/>
          <w:lang w:val="en-US" w:eastAsia="zh-CN" w:bidi="ar-SA"/>
        </w:rPr>
        <w:t>+</w:t>
      </w:r>
      <w:r>
        <w:rPr>
          <w:rFonts w:hint="default" w:ascii="Times New Roman" w:hAnsi="Times New Roman" w:cs="Times New Roman"/>
          <w:kern w:val="2"/>
          <w:sz w:val="24"/>
          <w:szCs w:val="24"/>
          <w:lang w:val="en-US" w:eastAsia="zh-CN" w:bidi="ar-SA"/>
        </w:rPr>
        <w:t>、Ca</w:t>
      </w:r>
      <w:r>
        <w:rPr>
          <w:rFonts w:hint="default" w:ascii="Times New Roman" w:hAnsi="Times New Roman" w:cs="Times New Roman"/>
          <w:kern w:val="2"/>
          <w:sz w:val="24"/>
          <w:szCs w:val="24"/>
          <w:vertAlign w:val="superscript"/>
          <w:lang w:val="en-US" w:eastAsia="zh-CN" w:bidi="ar-SA"/>
        </w:rPr>
        <w:t>2+</w:t>
      </w:r>
      <w:r>
        <w:rPr>
          <w:rFonts w:hint="default" w:ascii="Times New Roman" w:hAnsi="Times New Roman" w:cs="Times New Roman"/>
          <w:kern w:val="2"/>
          <w:sz w:val="24"/>
          <w:szCs w:val="24"/>
          <w:lang w:val="en-US" w:eastAsia="zh-CN" w:bidi="ar-SA"/>
        </w:rPr>
        <w:t>、Mg</w:t>
      </w:r>
      <w:r>
        <w:rPr>
          <w:rFonts w:hint="default" w:ascii="Times New Roman" w:hAnsi="Times New Roman" w:cs="Times New Roman"/>
          <w:kern w:val="2"/>
          <w:sz w:val="24"/>
          <w:szCs w:val="24"/>
          <w:vertAlign w:val="superscript"/>
          <w:lang w:val="en-US" w:eastAsia="zh-CN" w:bidi="ar-SA"/>
        </w:rPr>
        <w:t>2+</w:t>
      </w:r>
      <w:r>
        <w:rPr>
          <w:rFonts w:hint="default" w:ascii="Times New Roman" w:hAnsi="Times New Roman" w:cs="Times New Roman"/>
          <w:kern w:val="2"/>
          <w:sz w:val="24"/>
          <w:szCs w:val="24"/>
          <w:lang w:val="en-US" w:eastAsia="zh-CN" w:bidi="ar-SA"/>
        </w:rPr>
        <w:t>，CO</w:t>
      </w:r>
      <w:r>
        <w:rPr>
          <w:rFonts w:hint="default" w:ascii="Times New Roman" w:hAnsi="Times New Roman" w:cs="Times New Roman"/>
          <w:kern w:val="2"/>
          <w:sz w:val="24"/>
          <w:szCs w:val="24"/>
          <w:vertAlign w:val="subscript"/>
          <w:lang w:val="en-US" w:eastAsia="zh-CN" w:bidi="ar-SA"/>
        </w:rPr>
        <w:t>3</w:t>
      </w:r>
      <w:r>
        <w:rPr>
          <w:rFonts w:hint="default" w:ascii="Times New Roman" w:hAnsi="Times New Roman" w:cs="Times New Roman"/>
          <w:kern w:val="2"/>
          <w:sz w:val="24"/>
          <w:szCs w:val="24"/>
          <w:vertAlign w:val="superscript"/>
          <w:lang w:val="en-US" w:eastAsia="zh-CN" w:bidi="ar-SA"/>
        </w:rPr>
        <w:t>2-</w:t>
      </w:r>
      <w:r>
        <w:rPr>
          <w:rFonts w:hint="default" w:ascii="Times New Roman" w:hAnsi="Times New Roman" w:cs="Times New Roman"/>
          <w:kern w:val="2"/>
          <w:sz w:val="24"/>
          <w:szCs w:val="24"/>
          <w:lang w:val="en-US" w:eastAsia="zh-CN" w:bidi="ar-SA"/>
        </w:rPr>
        <w:t>、HCO</w:t>
      </w:r>
      <w:r>
        <w:rPr>
          <w:rFonts w:hint="default" w:ascii="Times New Roman" w:hAnsi="Times New Roman" w:cs="Times New Roman"/>
          <w:kern w:val="2"/>
          <w:sz w:val="24"/>
          <w:szCs w:val="24"/>
          <w:vertAlign w:val="superscript"/>
          <w:lang w:val="en-US" w:eastAsia="zh-CN" w:bidi="ar-SA"/>
        </w:rPr>
        <w:t>3-</w:t>
      </w:r>
      <w:r>
        <w:rPr>
          <w:rFonts w:hint="default" w:ascii="Times New Roman" w:hAnsi="Times New Roman" w:cs="Times New Roman"/>
          <w:kern w:val="2"/>
          <w:sz w:val="24"/>
          <w:szCs w:val="24"/>
          <w:lang w:val="en-US" w:eastAsia="zh-CN" w:bidi="ar-SA"/>
        </w:rPr>
        <w:t>、Cl</w:t>
      </w:r>
      <w:r>
        <w:rPr>
          <w:rFonts w:hint="default" w:ascii="Times New Roman" w:hAnsi="Times New Roman" w:cs="Times New Roman"/>
          <w:kern w:val="2"/>
          <w:sz w:val="24"/>
          <w:szCs w:val="24"/>
          <w:vertAlign w:val="superscript"/>
          <w:lang w:val="en-US" w:eastAsia="zh-CN" w:bidi="ar-SA"/>
        </w:rPr>
        <w:t>-</w:t>
      </w:r>
      <w:r>
        <w:rPr>
          <w:rFonts w:hint="default" w:ascii="Times New Roman" w:hAnsi="Times New Roman" w:cs="Times New Roman"/>
          <w:kern w:val="2"/>
          <w:sz w:val="24"/>
          <w:szCs w:val="24"/>
          <w:lang w:val="en-US" w:eastAsia="zh-CN" w:bidi="ar-SA"/>
        </w:rPr>
        <w:t>、SO</w:t>
      </w:r>
      <w:r>
        <w:rPr>
          <w:rFonts w:hint="default" w:ascii="Times New Roman" w:hAnsi="Times New Roman" w:cs="Times New Roman"/>
          <w:kern w:val="2"/>
          <w:sz w:val="24"/>
          <w:szCs w:val="24"/>
          <w:vertAlign w:val="subscript"/>
          <w:lang w:val="en-US" w:eastAsia="zh-CN" w:bidi="ar-SA"/>
        </w:rPr>
        <w:t>4</w:t>
      </w:r>
      <w:r>
        <w:rPr>
          <w:rFonts w:hint="default" w:ascii="Times New Roman" w:hAnsi="Times New Roman" w:cs="Times New Roman"/>
          <w:kern w:val="2"/>
          <w:sz w:val="24"/>
          <w:szCs w:val="24"/>
          <w:vertAlign w:val="superscript"/>
          <w:lang w:val="en-US" w:eastAsia="zh-CN" w:bidi="ar-SA"/>
        </w:rPr>
        <w:t>2-</w:t>
      </w:r>
      <w:r>
        <w:rPr>
          <w:rFonts w:hint="default" w:ascii="Times New Roman" w:hAnsi="Times New Roman" w:cs="Times New Roman"/>
          <w:kern w:val="2"/>
          <w:sz w:val="24"/>
          <w:szCs w:val="24"/>
          <w:lang w:val="en-US" w:eastAsia="zh-CN" w:bidi="ar-SA"/>
        </w:rPr>
        <w:t>。监测目的含水层为浅层地下水，监测孔应配置地下水水位监测装置和抽水装置，项目实施后可委托环境保护监测站监测。厂区内监测井应每月定期取样分析，上、下游应每季度定期取样监测分析，发现异常，应增大监测频率。一旦发生紧急污染物外泄情况，对场区范围内以及周边布设的监测井进行紧急抽水，所抽取的地下水统一存放在储水池内。并进行水质化验分析，分析频率开始可以为每小时一次，随分析结果可逐渐延长分析时间。</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8</w:t>
      </w:r>
      <w:r>
        <w:rPr>
          <w:b/>
          <w:bCs/>
          <w:color w:val="auto"/>
          <w:sz w:val="28"/>
          <w:szCs w:val="28"/>
        </w:rPr>
        <w:t xml:space="preserve"> </w:t>
      </w:r>
      <w:r>
        <w:rPr>
          <w:rFonts w:hint="eastAsia"/>
          <w:b/>
          <w:bCs/>
          <w:color w:val="auto"/>
          <w:sz w:val="28"/>
          <w:szCs w:val="28"/>
        </w:rPr>
        <w:t>防渗及管理措施</w:t>
      </w:r>
    </w:p>
    <w:p>
      <w:pPr>
        <w:adjustRightInd w:val="0"/>
        <w:snapToGrid w:val="0"/>
        <w:spacing w:line="360" w:lineRule="auto"/>
        <w:ind w:firstLine="480" w:firstLineChars="200"/>
        <w:rPr>
          <w:rFonts w:hint="default"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1、防渗措施</w:t>
      </w:r>
    </w:p>
    <w:p>
      <w:pPr>
        <w:adjustRightInd w:val="0"/>
        <w:snapToGrid w:val="0"/>
        <w:spacing w:line="360" w:lineRule="auto"/>
        <w:ind w:firstLine="480" w:firstLineChars="200"/>
        <w:rPr>
          <w:rFonts w:hint="default" w:ascii="Times New Roman" w:hAnsi="Times New Roman" w:cs="Times New Roman"/>
          <w:kern w:val="2"/>
          <w:sz w:val="24"/>
          <w:szCs w:val="24"/>
          <w:lang w:val="en-US" w:eastAsia="zh-CN" w:bidi="ar-SA"/>
        </w:rPr>
      </w:pPr>
      <w:r>
        <w:rPr>
          <w:rFonts w:hint="default" w:ascii="Times New Roman" w:hAnsi="Times New Roman" w:cs="Times New Roman"/>
          <w:kern w:val="2"/>
          <w:sz w:val="24"/>
          <w:szCs w:val="24"/>
          <w:lang w:val="en-US" w:eastAsia="zh-CN" w:bidi="ar-SA"/>
        </w:rPr>
        <w:t>本项目厂房地面已做防渗处理，可以满足一般防渗要求</w:t>
      </w:r>
      <w:r>
        <w:rPr>
          <w:rFonts w:hint="eastAsia" w:ascii="Times New Roman" w:hAnsi="Times New Roman" w:cs="Times New Roman"/>
          <w:kern w:val="2"/>
          <w:sz w:val="24"/>
          <w:szCs w:val="24"/>
          <w:lang w:val="en-US" w:eastAsia="zh-CN" w:bidi="ar-SA"/>
        </w:rPr>
        <w:t>，污水收集管道、污水暂存池、事故池、罐区等均已采取重点防渗措施，可以满足重点防渗要求。</w:t>
      </w:r>
      <w:r>
        <w:rPr>
          <w:rFonts w:hint="default" w:ascii="Times New Roman" w:hAnsi="Times New Roman" w:cs="Times New Roman"/>
          <w:kern w:val="2"/>
          <w:sz w:val="24"/>
          <w:szCs w:val="24"/>
          <w:lang w:val="en-US" w:eastAsia="zh-CN" w:bidi="ar-SA"/>
        </w:rPr>
        <w:t>本</w:t>
      </w:r>
      <w:r>
        <w:rPr>
          <w:rFonts w:hint="eastAsia" w:ascii="Times New Roman" w:hAnsi="Times New Roman" w:cs="Times New Roman"/>
          <w:kern w:val="2"/>
          <w:sz w:val="24"/>
          <w:szCs w:val="24"/>
          <w:lang w:val="en-US" w:eastAsia="zh-CN" w:bidi="ar-SA"/>
        </w:rPr>
        <w:t>环评要求充分利用现有的车间地面现有的防渗结构，</w:t>
      </w:r>
      <w:r>
        <w:rPr>
          <w:rFonts w:hint="default" w:ascii="Times New Roman" w:hAnsi="Times New Roman" w:cs="Times New Roman"/>
          <w:kern w:val="2"/>
          <w:sz w:val="24"/>
          <w:szCs w:val="24"/>
          <w:lang w:val="en-US" w:eastAsia="zh-CN" w:bidi="ar-SA"/>
        </w:rPr>
        <w:t>本项目</w:t>
      </w:r>
      <w:r>
        <w:rPr>
          <w:rFonts w:hint="eastAsia" w:ascii="Times New Roman" w:hAnsi="Times New Roman" w:cs="Times New Roman"/>
          <w:kern w:val="2"/>
          <w:sz w:val="24"/>
          <w:szCs w:val="24"/>
          <w:lang w:val="en-US" w:eastAsia="zh-CN" w:bidi="ar-SA"/>
        </w:rPr>
        <w:t>现有防渗情况见表6.3.7-1。</w:t>
      </w:r>
    </w:p>
    <w:p>
      <w:pPr>
        <w:spacing w:line="360" w:lineRule="auto"/>
        <w:jc w:val="center"/>
        <w:rPr>
          <w:rFonts w:hint="default" w:ascii="Times New Roman" w:hAnsi="Times New Roman" w:cs="Times New Roman"/>
          <w:b/>
          <w:bCs/>
          <w:color w:val="auto"/>
          <w:szCs w:val="21"/>
        </w:rPr>
      </w:pPr>
      <w:r>
        <w:rPr>
          <w:rFonts w:hint="default" w:ascii="Times New Roman" w:hAnsi="Times New Roman" w:cs="Times New Roman"/>
          <w:b/>
          <w:bCs/>
          <w:color w:val="auto"/>
          <w:sz w:val="24"/>
          <w:szCs w:val="24"/>
        </w:rPr>
        <w:t>表</w:t>
      </w:r>
      <w:r>
        <w:rPr>
          <w:rFonts w:hint="eastAsia" w:ascii="Times New Roman" w:hAnsi="Times New Roman" w:eastAsia="宋体" w:cs="Times New Roman"/>
          <w:b/>
          <w:bCs/>
          <w:color w:val="auto"/>
          <w:sz w:val="24"/>
          <w:szCs w:val="24"/>
          <w:lang w:val="en-US" w:eastAsia="zh-CN"/>
        </w:rPr>
        <w:t>6.3.7</w:t>
      </w:r>
      <w:r>
        <w:rPr>
          <w:rFonts w:hint="default" w:ascii="Times New Roman" w:hAnsi="Times New Roman" w:cs="Times New Roman"/>
          <w:b/>
          <w:bCs/>
          <w:color w:val="auto"/>
          <w:sz w:val="24"/>
          <w:szCs w:val="24"/>
        </w:rPr>
        <w:t>-</w:t>
      </w:r>
      <w:r>
        <w:rPr>
          <w:rFonts w:hint="eastAsia" w:ascii="Times New Roman" w:hAnsi="Times New Roman" w:eastAsia="宋体" w:cs="Times New Roman"/>
          <w:b/>
          <w:bCs/>
          <w:color w:val="auto"/>
          <w:sz w:val="24"/>
          <w:szCs w:val="24"/>
          <w:lang w:val="en-US" w:eastAsia="zh-CN"/>
        </w:rPr>
        <w:t xml:space="preserve">1 </w:t>
      </w:r>
      <w:r>
        <w:rPr>
          <w:rFonts w:hint="default" w:ascii="Times New Roman" w:hAnsi="Times New Roman" w:cs="Times New Roman"/>
          <w:b/>
          <w:bCs/>
          <w:color w:val="auto"/>
          <w:sz w:val="24"/>
          <w:szCs w:val="24"/>
        </w:rPr>
        <w:t>项目防渗措施情况表</w:t>
      </w:r>
    </w:p>
    <w:tbl>
      <w:tblPr>
        <w:tblStyle w:val="18"/>
        <w:tblW w:w="0" w:type="auto"/>
        <w:jc w:val="center"/>
        <w:tblLayout w:type="fixed"/>
        <w:tblCellMar>
          <w:top w:w="0" w:type="dxa"/>
          <w:left w:w="0" w:type="dxa"/>
          <w:bottom w:w="0" w:type="dxa"/>
          <w:right w:w="0" w:type="dxa"/>
        </w:tblCellMar>
      </w:tblPr>
      <w:tblGrid>
        <w:gridCol w:w="659"/>
        <w:gridCol w:w="1254"/>
        <w:gridCol w:w="3020"/>
        <w:gridCol w:w="1350"/>
        <w:gridCol w:w="2508"/>
      </w:tblGrid>
      <w:tr>
        <w:tblPrEx>
          <w:tblCellMar>
            <w:top w:w="0" w:type="dxa"/>
            <w:left w:w="0" w:type="dxa"/>
            <w:bottom w:w="0" w:type="dxa"/>
            <w:right w:w="0" w:type="dxa"/>
          </w:tblCellMar>
        </w:tblPrEx>
        <w:trPr>
          <w:trHeight w:val="463" w:hRule="exact"/>
          <w:jc w:val="center"/>
        </w:trPr>
        <w:tc>
          <w:tcPr>
            <w:tcW w:w="659" w:type="dxa"/>
            <w:vMerge w:val="restart"/>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left="113" w:right="0"/>
              <w:jc w:val="center"/>
              <w:rPr>
                <w:rFonts w:ascii="宋体" w:hAnsi="宋体" w:eastAsia="宋体" w:cs="宋体"/>
                <w:color w:val="auto"/>
                <w:sz w:val="21"/>
                <w:szCs w:val="21"/>
              </w:rPr>
            </w:pPr>
            <w:r>
              <w:rPr>
                <w:rFonts w:ascii="宋体" w:hAnsi="宋体" w:eastAsia="宋体" w:cs="宋体"/>
                <w:color w:val="auto"/>
                <w:sz w:val="21"/>
                <w:szCs w:val="21"/>
              </w:rPr>
              <w:t>序号</w:t>
            </w:r>
          </w:p>
        </w:tc>
        <w:tc>
          <w:tcPr>
            <w:tcW w:w="1254" w:type="dxa"/>
            <w:vMerge w:val="restart"/>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0"/>
              <w:jc w:val="center"/>
              <w:rPr>
                <w:rFonts w:ascii="宋体" w:hAnsi="宋体" w:eastAsia="宋体" w:cs="宋体"/>
                <w:color w:val="auto"/>
                <w:sz w:val="21"/>
                <w:szCs w:val="21"/>
              </w:rPr>
            </w:pPr>
            <w:r>
              <w:rPr>
                <w:rFonts w:ascii="宋体" w:hAnsi="宋体" w:eastAsia="宋体" w:cs="宋体"/>
                <w:color w:val="auto"/>
                <w:sz w:val="21"/>
                <w:szCs w:val="21"/>
              </w:rPr>
              <w:t>区域</w:t>
            </w:r>
          </w:p>
        </w:tc>
        <w:tc>
          <w:tcPr>
            <w:tcW w:w="4370" w:type="dxa"/>
            <w:gridSpan w:val="2"/>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before="56" w:line="240" w:lineRule="auto"/>
              <w:ind w:right="0"/>
              <w:jc w:val="center"/>
              <w:rPr>
                <w:rFonts w:ascii="宋体" w:hAnsi="宋体" w:eastAsia="宋体" w:cs="宋体"/>
                <w:color w:val="auto"/>
                <w:sz w:val="21"/>
                <w:szCs w:val="21"/>
              </w:rPr>
            </w:pPr>
            <w:r>
              <w:rPr>
                <w:rFonts w:ascii="宋体" w:hAnsi="宋体" w:eastAsia="宋体" w:cs="宋体"/>
                <w:color w:val="auto"/>
                <w:sz w:val="21"/>
                <w:szCs w:val="21"/>
              </w:rPr>
              <w:t>措施</w:t>
            </w:r>
          </w:p>
        </w:tc>
        <w:tc>
          <w:tcPr>
            <w:tcW w:w="2508" w:type="dxa"/>
            <w:vMerge w:val="restart"/>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0"/>
              <w:jc w:val="center"/>
              <w:rPr>
                <w:rFonts w:hint="eastAsia" w:ascii="宋体" w:hAnsi="宋体" w:eastAsia="宋体" w:cs="宋体"/>
                <w:color w:val="auto"/>
                <w:sz w:val="21"/>
                <w:szCs w:val="21"/>
                <w:lang w:eastAsia="zh-CN"/>
              </w:rPr>
            </w:pPr>
            <w:r>
              <w:rPr>
                <w:rFonts w:ascii="宋体" w:hAnsi="宋体" w:eastAsia="宋体" w:cs="宋体"/>
                <w:color w:val="auto"/>
                <w:sz w:val="21"/>
                <w:szCs w:val="21"/>
              </w:rPr>
              <w:t>防渗</w:t>
            </w:r>
            <w:r>
              <w:rPr>
                <w:rFonts w:hint="eastAsia" w:ascii="宋体" w:hAnsi="宋体" w:eastAsia="宋体" w:cs="宋体"/>
                <w:color w:val="auto"/>
                <w:sz w:val="21"/>
                <w:szCs w:val="21"/>
                <w:lang w:eastAsia="zh-CN"/>
              </w:rPr>
              <w:t>系数</w:t>
            </w:r>
          </w:p>
        </w:tc>
      </w:tr>
      <w:tr>
        <w:tblPrEx>
          <w:tblCellMar>
            <w:top w:w="0" w:type="dxa"/>
            <w:left w:w="0" w:type="dxa"/>
            <w:bottom w:w="0" w:type="dxa"/>
            <w:right w:w="0" w:type="dxa"/>
          </w:tblCellMar>
        </w:tblPrEx>
        <w:trPr>
          <w:trHeight w:val="785" w:hRule="exact"/>
          <w:jc w:val="center"/>
        </w:trPr>
        <w:tc>
          <w:tcPr>
            <w:tcW w:w="659" w:type="dxa"/>
            <w:vMerge w:val="continue"/>
            <w:tcBorders>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jc w:val="center"/>
              <w:rPr>
                <w:color w:val="auto"/>
              </w:rPr>
            </w:pPr>
          </w:p>
        </w:tc>
        <w:tc>
          <w:tcPr>
            <w:tcW w:w="1254" w:type="dxa"/>
            <w:vMerge w:val="continue"/>
            <w:tcBorders>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jc w:val="center"/>
              <w:rPr>
                <w:color w:val="auto"/>
              </w:rPr>
            </w:pPr>
          </w:p>
        </w:tc>
        <w:tc>
          <w:tcPr>
            <w:tcW w:w="302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before="56" w:line="240" w:lineRule="auto"/>
              <w:ind w:right="0"/>
              <w:jc w:val="center"/>
              <w:rPr>
                <w:rFonts w:ascii="宋体" w:hAnsi="宋体" w:eastAsia="宋体" w:cs="宋体"/>
                <w:color w:val="auto"/>
                <w:sz w:val="21"/>
                <w:szCs w:val="21"/>
              </w:rPr>
            </w:pPr>
            <w:r>
              <w:rPr>
                <w:rFonts w:ascii="宋体" w:hAnsi="宋体" w:eastAsia="宋体" w:cs="宋体"/>
                <w:b/>
                <w:bCs/>
                <w:color w:val="auto"/>
                <w:sz w:val="21"/>
                <w:szCs w:val="21"/>
              </w:rPr>
              <w:t>现状</w:t>
            </w:r>
          </w:p>
        </w:tc>
        <w:tc>
          <w:tcPr>
            <w:tcW w:w="135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before="56" w:line="240" w:lineRule="auto"/>
              <w:ind w:right="0"/>
              <w:jc w:val="center"/>
              <w:rPr>
                <w:rFonts w:ascii="宋体" w:hAnsi="宋体" w:eastAsia="宋体" w:cs="宋体"/>
                <w:color w:val="auto"/>
                <w:sz w:val="21"/>
                <w:szCs w:val="21"/>
              </w:rPr>
            </w:pPr>
            <w:r>
              <w:rPr>
                <w:rFonts w:ascii="宋体" w:hAnsi="宋体" w:eastAsia="宋体" w:cs="宋体"/>
                <w:b/>
                <w:bCs/>
                <w:color w:val="auto"/>
                <w:sz w:val="21"/>
                <w:szCs w:val="21"/>
              </w:rPr>
              <w:t>进一步防渗要求</w:t>
            </w:r>
          </w:p>
        </w:tc>
        <w:tc>
          <w:tcPr>
            <w:tcW w:w="2508" w:type="dxa"/>
            <w:vMerge w:val="continue"/>
            <w:tcBorders>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jc w:val="center"/>
              <w:rPr>
                <w:color w:val="auto"/>
              </w:rPr>
            </w:pPr>
          </w:p>
        </w:tc>
      </w:tr>
      <w:tr>
        <w:tblPrEx>
          <w:tblCellMar>
            <w:top w:w="0" w:type="dxa"/>
            <w:left w:w="0" w:type="dxa"/>
            <w:bottom w:w="0" w:type="dxa"/>
            <w:right w:w="0" w:type="dxa"/>
          </w:tblCellMar>
        </w:tblPrEx>
        <w:trPr>
          <w:trHeight w:val="786" w:hRule="exact"/>
          <w:jc w:val="center"/>
        </w:trPr>
        <w:tc>
          <w:tcPr>
            <w:tcW w:w="65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1" w:rightChars="0"/>
              <w:jc w:val="center"/>
              <w:rPr>
                <w:rFonts w:hint="default" w:ascii="Times New Roman" w:eastAsia="宋体"/>
                <w:color w:val="auto"/>
                <w:sz w:val="21"/>
                <w:lang w:val="en-US" w:eastAsia="zh-CN"/>
              </w:rPr>
            </w:pPr>
            <w:r>
              <w:rPr>
                <w:rFonts w:hint="eastAsia" w:ascii="Times New Roman" w:eastAsia="宋体"/>
                <w:color w:val="auto"/>
                <w:sz w:val="21"/>
                <w:lang w:val="en-US" w:eastAsia="zh-CN"/>
              </w:rPr>
              <w:t>1</w:t>
            </w:r>
          </w:p>
        </w:tc>
        <w:tc>
          <w:tcPr>
            <w:tcW w:w="1254"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0" w:rightChars="0"/>
              <w:jc w:val="center"/>
              <w:rPr>
                <w:rFonts w:ascii="宋体" w:hAnsi="宋体" w:eastAsia="宋体" w:cs="宋体"/>
                <w:color w:val="auto"/>
                <w:sz w:val="21"/>
                <w:szCs w:val="21"/>
              </w:rPr>
            </w:pPr>
            <w:r>
              <w:rPr>
                <w:rFonts w:ascii="宋体" w:hAnsi="宋体" w:eastAsia="宋体" w:cs="宋体"/>
                <w:color w:val="auto"/>
                <w:sz w:val="21"/>
                <w:szCs w:val="21"/>
              </w:rPr>
              <w:t>车间地面</w:t>
            </w:r>
          </w:p>
        </w:tc>
        <w:tc>
          <w:tcPr>
            <w:tcW w:w="302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color w:val="auto"/>
                <w:sz w:val="21"/>
                <w:szCs w:val="21"/>
                <w:lang w:eastAsia="zh-CN"/>
              </w:rPr>
            </w:pPr>
            <w:r>
              <w:rPr>
                <w:rFonts w:ascii="宋体" w:hAnsi="宋体" w:eastAsia="宋体" w:cs="宋体"/>
                <w:color w:val="auto"/>
                <w:sz w:val="21"/>
                <w:szCs w:val="21"/>
              </w:rPr>
              <w:t>水泥硬化地面</w:t>
            </w:r>
          </w:p>
        </w:tc>
        <w:tc>
          <w:tcPr>
            <w:tcW w:w="135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1" w:rightChars="0"/>
              <w:jc w:val="center"/>
              <w:rPr>
                <w:rFonts w:ascii="宋体" w:hAnsi="宋体" w:eastAsia="宋体" w:cs="宋体"/>
                <w:color w:val="auto"/>
                <w:sz w:val="21"/>
                <w:szCs w:val="21"/>
              </w:rPr>
            </w:pPr>
            <w:r>
              <w:rPr>
                <w:rFonts w:ascii="宋体" w:hAnsi="宋体" w:eastAsia="宋体" w:cs="宋体"/>
                <w:color w:val="auto"/>
                <w:sz w:val="21"/>
                <w:szCs w:val="21"/>
              </w:rPr>
              <w:t>满足要求</w:t>
            </w:r>
          </w:p>
        </w:tc>
        <w:tc>
          <w:tcPr>
            <w:tcW w:w="250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0" w:rightChars="0"/>
              <w:jc w:val="center"/>
              <w:rPr>
                <w:rFonts w:ascii="宋体" w:hAnsi="宋体" w:eastAsia="宋体" w:cs="宋体"/>
                <w:color w:val="auto"/>
                <w:spacing w:val="-13"/>
                <w:sz w:val="21"/>
                <w:szCs w:val="21"/>
              </w:rPr>
            </w:pPr>
            <w:r>
              <w:rPr>
                <w:rFonts w:ascii="宋体" w:hAnsi="宋体" w:eastAsia="宋体" w:cs="宋体"/>
                <w:color w:val="auto"/>
                <w:spacing w:val="-13"/>
                <w:sz w:val="21"/>
                <w:szCs w:val="21"/>
              </w:rPr>
              <w:t>一般防渗区，渗</w:t>
            </w:r>
            <w:r>
              <w:rPr>
                <w:rFonts w:ascii="宋体" w:hAnsi="宋体" w:eastAsia="宋体" w:cs="宋体"/>
                <w:color w:val="auto"/>
                <w:sz w:val="21"/>
                <w:szCs w:val="21"/>
              </w:rPr>
              <w:t xml:space="preserve">透系数≤ </w:t>
            </w:r>
            <w:r>
              <w:rPr>
                <w:rFonts w:ascii="Times New Roman" w:hAnsi="Times New Roman" w:eastAsia="Times New Roman" w:cs="Times New Roman"/>
                <w:color w:val="auto"/>
                <w:sz w:val="21"/>
                <w:szCs w:val="21"/>
              </w:rPr>
              <w:t>1.0×10</w:t>
            </w:r>
            <w:r>
              <w:rPr>
                <w:rFonts w:ascii="Times New Roman" w:hAnsi="Times New Roman" w:eastAsia="Times New Roman" w:cs="Times New Roman"/>
                <w:color w:val="auto"/>
                <w:position w:val="10"/>
                <w:sz w:val="14"/>
                <w:szCs w:val="14"/>
              </w:rPr>
              <w:t>-7</w:t>
            </w:r>
            <w:r>
              <w:rPr>
                <w:rFonts w:ascii="Times New Roman" w:hAnsi="Times New Roman" w:eastAsia="Times New Roman" w:cs="Times New Roman"/>
                <w:color w:val="auto"/>
                <w:sz w:val="21"/>
                <w:szCs w:val="21"/>
              </w:rPr>
              <w:t>cm/s</w:t>
            </w:r>
          </w:p>
        </w:tc>
      </w:tr>
      <w:tr>
        <w:tblPrEx>
          <w:tblCellMar>
            <w:top w:w="0" w:type="dxa"/>
            <w:left w:w="0" w:type="dxa"/>
            <w:bottom w:w="0" w:type="dxa"/>
            <w:right w:w="0" w:type="dxa"/>
          </w:tblCellMar>
        </w:tblPrEx>
        <w:trPr>
          <w:trHeight w:val="1034" w:hRule="exact"/>
          <w:jc w:val="center"/>
        </w:trPr>
        <w:tc>
          <w:tcPr>
            <w:tcW w:w="65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1" w:rightChars="0"/>
              <w:jc w:val="center"/>
              <w:rPr>
                <w:rFonts w:hint="default" w:ascii="Times New Roman" w:eastAsia="宋体"/>
                <w:color w:val="auto"/>
                <w:sz w:val="21"/>
                <w:lang w:val="en-US" w:eastAsia="zh-CN"/>
              </w:rPr>
            </w:pPr>
            <w:r>
              <w:rPr>
                <w:rFonts w:hint="eastAsia" w:ascii="Times New Roman" w:eastAsia="宋体"/>
                <w:color w:val="auto"/>
                <w:sz w:val="21"/>
                <w:lang w:val="en-US" w:eastAsia="zh-CN"/>
              </w:rPr>
              <w:t>2</w:t>
            </w:r>
          </w:p>
        </w:tc>
        <w:tc>
          <w:tcPr>
            <w:tcW w:w="1254"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0" w:rightChars="0"/>
              <w:jc w:val="center"/>
              <w:rPr>
                <w:rFonts w:ascii="宋体" w:hAnsi="宋体" w:eastAsia="宋体" w:cs="宋体"/>
                <w:color w:val="auto"/>
                <w:sz w:val="21"/>
                <w:szCs w:val="21"/>
              </w:rPr>
            </w:pPr>
            <w:r>
              <w:rPr>
                <w:rFonts w:ascii="宋体" w:hAnsi="宋体" w:eastAsia="宋体" w:cs="宋体"/>
                <w:color w:val="auto"/>
                <w:sz w:val="21"/>
                <w:szCs w:val="21"/>
              </w:rPr>
              <w:t>管道防渗漏</w:t>
            </w:r>
          </w:p>
        </w:tc>
        <w:tc>
          <w:tcPr>
            <w:tcW w:w="302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color w:val="auto"/>
                <w:sz w:val="21"/>
                <w:szCs w:val="21"/>
                <w:lang w:eastAsia="zh-CN"/>
              </w:rPr>
            </w:pPr>
            <w:r>
              <w:rPr>
                <w:rFonts w:ascii="宋体" w:hAnsi="宋体" w:eastAsia="宋体" w:cs="宋体"/>
                <w:color w:val="auto"/>
                <w:sz w:val="21"/>
                <w:szCs w:val="21"/>
              </w:rPr>
              <w:t>废水管网采用防渗管网及抗渗钢筋混凝土管沟，管道与管道的连接采用柔性的橡胶圈接口</w:t>
            </w:r>
          </w:p>
        </w:tc>
        <w:tc>
          <w:tcPr>
            <w:tcW w:w="135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before="22" w:line="240" w:lineRule="auto"/>
              <w:ind w:right="0"/>
              <w:jc w:val="center"/>
              <w:rPr>
                <w:rFonts w:ascii="宋体" w:hAnsi="宋体" w:eastAsia="宋体" w:cs="宋体"/>
                <w:color w:val="auto"/>
                <w:sz w:val="21"/>
                <w:szCs w:val="21"/>
              </w:rPr>
            </w:pPr>
            <w:r>
              <w:rPr>
                <w:rFonts w:ascii="宋体" w:hAnsi="宋体" w:eastAsia="宋体" w:cs="宋体"/>
                <w:color w:val="auto"/>
                <w:sz w:val="21"/>
                <w:szCs w:val="21"/>
              </w:rPr>
              <w:t>满足要求</w:t>
            </w:r>
          </w:p>
        </w:tc>
        <w:tc>
          <w:tcPr>
            <w:tcW w:w="250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0" w:rightChars="0"/>
              <w:jc w:val="center"/>
              <w:rPr>
                <w:rFonts w:ascii="宋体" w:hAnsi="宋体" w:eastAsia="宋体" w:cs="宋体"/>
                <w:color w:val="auto"/>
                <w:sz w:val="21"/>
                <w:szCs w:val="21"/>
              </w:rPr>
            </w:pPr>
            <w:r>
              <w:rPr>
                <w:rFonts w:ascii="宋体" w:hAnsi="宋体" w:eastAsia="宋体" w:cs="宋体"/>
                <w:color w:val="auto"/>
                <w:spacing w:val="-13"/>
                <w:sz w:val="21"/>
                <w:szCs w:val="21"/>
              </w:rPr>
              <w:t>重点防渗区，</w:t>
            </w:r>
            <w:r>
              <w:rPr>
                <w:rFonts w:hint="eastAsia" w:ascii="宋体" w:hAnsi="宋体" w:eastAsia="宋体" w:cs="宋体"/>
                <w:color w:val="auto"/>
                <w:spacing w:val="-13"/>
                <w:sz w:val="21"/>
                <w:szCs w:val="21"/>
                <w:lang w:eastAsia="zh-CN"/>
              </w:rPr>
              <w:t>渗透</w:t>
            </w:r>
            <w:r>
              <w:rPr>
                <w:rFonts w:ascii="宋体" w:hAnsi="宋体" w:eastAsia="宋体" w:cs="宋体"/>
                <w:color w:val="auto"/>
                <w:sz w:val="21"/>
                <w:szCs w:val="21"/>
              </w:rPr>
              <w:t xml:space="preserve">系数≤ </w:t>
            </w:r>
            <w:r>
              <w:rPr>
                <w:rFonts w:ascii="Times New Roman" w:hAnsi="Times New Roman" w:eastAsia="Times New Roman" w:cs="Times New Roman"/>
                <w:color w:val="auto"/>
                <w:sz w:val="21"/>
                <w:szCs w:val="21"/>
              </w:rPr>
              <w:t>1.0×10</w:t>
            </w:r>
            <w:r>
              <w:rPr>
                <w:rFonts w:ascii="Times New Roman" w:hAnsi="Times New Roman" w:eastAsia="Times New Roman" w:cs="Times New Roman"/>
                <w:color w:val="auto"/>
                <w:position w:val="10"/>
                <w:sz w:val="14"/>
                <w:szCs w:val="14"/>
              </w:rPr>
              <w:t>-</w:t>
            </w:r>
            <w:r>
              <w:rPr>
                <w:rFonts w:hint="eastAsia" w:ascii="Times New Roman" w:hAnsi="Times New Roman" w:eastAsia="宋体" w:cs="Times New Roman"/>
                <w:color w:val="auto"/>
                <w:position w:val="10"/>
                <w:sz w:val="14"/>
                <w:szCs w:val="14"/>
                <w:lang w:val="en-US" w:eastAsia="zh-CN"/>
              </w:rPr>
              <w:t>10</w:t>
            </w:r>
            <w:r>
              <w:rPr>
                <w:rFonts w:ascii="Times New Roman" w:hAnsi="Times New Roman" w:eastAsia="Times New Roman" w:cs="Times New Roman"/>
                <w:color w:val="auto"/>
                <w:sz w:val="21"/>
                <w:szCs w:val="21"/>
              </w:rPr>
              <w:t>cm/s</w:t>
            </w:r>
          </w:p>
        </w:tc>
      </w:tr>
      <w:tr>
        <w:tblPrEx>
          <w:tblCellMar>
            <w:top w:w="0" w:type="dxa"/>
            <w:left w:w="0" w:type="dxa"/>
            <w:bottom w:w="0" w:type="dxa"/>
            <w:right w:w="0" w:type="dxa"/>
          </w:tblCellMar>
        </w:tblPrEx>
        <w:trPr>
          <w:trHeight w:val="1130" w:hRule="exact"/>
          <w:jc w:val="center"/>
        </w:trPr>
        <w:tc>
          <w:tcPr>
            <w:tcW w:w="65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1" w:rightChars="0"/>
              <w:jc w:val="center"/>
              <w:rPr>
                <w:rFonts w:hint="default" w:ascii="Times New Roman" w:eastAsia="宋体"/>
                <w:color w:val="auto"/>
                <w:sz w:val="21"/>
                <w:lang w:val="en-US" w:eastAsia="zh-CN"/>
              </w:rPr>
            </w:pPr>
            <w:r>
              <w:rPr>
                <w:rFonts w:hint="eastAsia" w:ascii="Times New Roman" w:eastAsia="宋体"/>
                <w:color w:val="auto"/>
                <w:sz w:val="21"/>
                <w:lang w:val="en-US" w:eastAsia="zh-CN"/>
              </w:rPr>
              <w:t>3</w:t>
            </w:r>
          </w:p>
        </w:tc>
        <w:tc>
          <w:tcPr>
            <w:tcW w:w="1254"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0" w:rightChars="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eastAsia="zh-CN"/>
              </w:rPr>
              <w:t>污水</w:t>
            </w:r>
            <w:r>
              <w:rPr>
                <w:rFonts w:hint="eastAsia" w:ascii="宋体" w:hAnsi="宋体" w:eastAsia="宋体" w:cs="宋体"/>
                <w:color w:val="auto"/>
                <w:sz w:val="21"/>
                <w:szCs w:val="21"/>
                <w:lang w:val="en-US" w:eastAsia="zh-CN"/>
              </w:rPr>
              <w:t>暂存池</w:t>
            </w:r>
          </w:p>
        </w:tc>
        <w:tc>
          <w:tcPr>
            <w:tcW w:w="302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color w:val="auto"/>
                <w:sz w:val="21"/>
                <w:szCs w:val="21"/>
              </w:rPr>
            </w:pPr>
            <w:r>
              <w:rPr>
                <w:rFonts w:hint="eastAsia" w:ascii="宋体" w:hAnsi="宋体" w:eastAsia="宋体" w:cs="宋体"/>
                <w:color w:val="auto"/>
                <w:sz w:val="21"/>
                <w:szCs w:val="21"/>
                <w:lang w:eastAsia="zh-CN"/>
              </w:rPr>
              <w:t>池体采用</w:t>
            </w:r>
            <w:r>
              <w:rPr>
                <w:rFonts w:ascii="Times New Roman" w:hAnsi="Times New Roman" w:eastAsia="Times New Roman" w:cs="Times New Roman"/>
                <w:color w:val="auto"/>
                <w:spacing w:val="2"/>
                <w:sz w:val="21"/>
                <w:szCs w:val="21"/>
              </w:rPr>
              <w:t>150mm</w:t>
            </w:r>
            <w:r>
              <w:rPr>
                <w:rFonts w:ascii="宋体" w:hAnsi="宋体" w:eastAsia="宋体" w:cs="宋体"/>
                <w:color w:val="auto"/>
                <w:sz w:val="21"/>
                <w:szCs w:val="21"/>
              </w:rPr>
              <w:t>钢筋</w:t>
            </w:r>
            <w:r>
              <w:rPr>
                <w:rFonts w:ascii="宋体" w:hAnsi="宋体" w:eastAsia="宋体" w:cs="宋体"/>
                <w:color w:val="auto"/>
                <w:spacing w:val="2"/>
                <w:sz w:val="21"/>
                <w:szCs w:val="21"/>
              </w:rPr>
              <w:t>混凝土</w:t>
            </w:r>
            <w:r>
              <w:rPr>
                <w:rFonts w:hint="eastAsia" w:ascii="宋体" w:hAnsi="宋体" w:eastAsia="宋体" w:cs="宋体"/>
                <w:color w:val="auto"/>
                <w:spacing w:val="2"/>
                <w:sz w:val="21"/>
                <w:szCs w:val="21"/>
                <w:lang w:eastAsia="zh-CN"/>
              </w:rPr>
              <w:t>，</w:t>
            </w:r>
            <w:r>
              <w:rPr>
                <w:rFonts w:ascii="宋体" w:hAnsi="宋体" w:eastAsia="宋体" w:cs="宋体"/>
                <w:color w:val="auto"/>
                <w:spacing w:val="-11"/>
                <w:sz w:val="21"/>
                <w:szCs w:val="21"/>
              </w:rPr>
              <w:t>并有</w:t>
            </w:r>
            <w:r>
              <w:rPr>
                <w:rFonts w:ascii="宋体" w:hAnsi="宋体" w:eastAsia="宋体" w:cs="宋体"/>
                <w:color w:val="auto"/>
                <w:spacing w:val="-52"/>
                <w:sz w:val="21"/>
                <w:szCs w:val="21"/>
              </w:rPr>
              <w:t xml:space="preserve"> </w:t>
            </w:r>
            <w:r>
              <w:rPr>
                <w:rFonts w:ascii="Times New Roman" w:hAnsi="Times New Roman" w:eastAsia="Times New Roman" w:cs="Times New Roman"/>
                <w:color w:val="auto"/>
                <w:sz w:val="21"/>
                <w:szCs w:val="21"/>
              </w:rPr>
              <w:t>2~3mm</w:t>
            </w:r>
            <w:r>
              <w:rPr>
                <w:rFonts w:ascii="Times New Roman" w:hAnsi="Times New Roman" w:eastAsia="Times New Roman" w:cs="Times New Roman"/>
                <w:color w:val="auto"/>
                <w:spacing w:val="-2"/>
                <w:sz w:val="21"/>
                <w:szCs w:val="21"/>
              </w:rPr>
              <w:t xml:space="preserve"> </w:t>
            </w:r>
            <w:r>
              <w:rPr>
                <w:rFonts w:ascii="宋体" w:hAnsi="宋体" w:eastAsia="宋体" w:cs="宋体"/>
                <w:color w:val="auto"/>
                <w:sz w:val="21"/>
                <w:szCs w:val="21"/>
              </w:rPr>
              <w:t>边上翻的高密度聚乙烯膜</w:t>
            </w:r>
            <w:r>
              <w:rPr>
                <w:rFonts w:hint="eastAsia" w:ascii="宋体" w:hAnsi="宋体" w:eastAsia="宋体" w:cs="宋体"/>
                <w:color w:val="auto"/>
                <w:sz w:val="21"/>
                <w:szCs w:val="21"/>
                <w:lang w:eastAsia="zh-CN"/>
              </w:rPr>
              <w:t>，地面</w:t>
            </w:r>
            <w:r>
              <w:rPr>
                <w:rFonts w:ascii="宋体" w:hAnsi="宋体" w:eastAsia="宋体" w:cs="宋体"/>
                <w:color w:val="auto"/>
                <w:sz w:val="21"/>
                <w:szCs w:val="21"/>
              </w:rPr>
              <w:t>水泥硬化</w:t>
            </w:r>
          </w:p>
        </w:tc>
        <w:tc>
          <w:tcPr>
            <w:tcW w:w="135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before="22" w:line="240" w:lineRule="auto"/>
              <w:ind w:right="0" w:rightChars="0"/>
              <w:jc w:val="center"/>
              <w:rPr>
                <w:rFonts w:ascii="宋体" w:hAnsi="宋体" w:eastAsia="宋体" w:cs="宋体"/>
                <w:color w:val="auto"/>
                <w:sz w:val="21"/>
                <w:szCs w:val="21"/>
              </w:rPr>
            </w:pPr>
            <w:r>
              <w:rPr>
                <w:rFonts w:ascii="宋体" w:hAnsi="宋体" w:eastAsia="宋体" w:cs="宋体"/>
                <w:color w:val="auto"/>
                <w:sz w:val="21"/>
                <w:szCs w:val="21"/>
              </w:rPr>
              <w:t>满足要求</w:t>
            </w:r>
          </w:p>
        </w:tc>
        <w:tc>
          <w:tcPr>
            <w:tcW w:w="250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0" w:rightChars="0"/>
              <w:jc w:val="center"/>
              <w:rPr>
                <w:rFonts w:ascii="宋体" w:hAnsi="宋体" w:eastAsia="宋体" w:cs="宋体"/>
                <w:color w:val="auto"/>
                <w:spacing w:val="-13"/>
                <w:sz w:val="21"/>
                <w:szCs w:val="21"/>
              </w:rPr>
            </w:pPr>
            <w:r>
              <w:rPr>
                <w:rFonts w:ascii="宋体" w:hAnsi="宋体" w:eastAsia="宋体" w:cs="宋体"/>
                <w:color w:val="auto"/>
                <w:spacing w:val="-13"/>
                <w:sz w:val="21"/>
                <w:szCs w:val="21"/>
              </w:rPr>
              <w:t>重点防渗区，</w:t>
            </w:r>
            <w:r>
              <w:rPr>
                <w:rFonts w:hint="eastAsia" w:ascii="宋体" w:hAnsi="宋体" w:eastAsia="宋体" w:cs="宋体"/>
                <w:color w:val="auto"/>
                <w:spacing w:val="-13"/>
                <w:sz w:val="21"/>
                <w:szCs w:val="21"/>
                <w:lang w:eastAsia="zh-CN"/>
              </w:rPr>
              <w:t>渗透</w:t>
            </w:r>
            <w:r>
              <w:rPr>
                <w:rFonts w:ascii="宋体" w:hAnsi="宋体" w:eastAsia="宋体" w:cs="宋体"/>
                <w:color w:val="auto"/>
                <w:sz w:val="21"/>
                <w:szCs w:val="21"/>
              </w:rPr>
              <w:t xml:space="preserve">系数≤ </w:t>
            </w:r>
            <w:r>
              <w:rPr>
                <w:rFonts w:ascii="Times New Roman" w:hAnsi="Times New Roman" w:eastAsia="Times New Roman" w:cs="Times New Roman"/>
                <w:color w:val="auto"/>
                <w:sz w:val="21"/>
                <w:szCs w:val="21"/>
              </w:rPr>
              <w:t>1.0×10</w:t>
            </w:r>
            <w:r>
              <w:rPr>
                <w:rFonts w:ascii="Times New Roman" w:hAnsi="Times New Roman" w:eastAsia="Times New Roman" w:cs="Times New Roman"/>
                <w:color w:val="auto"/>
                <w:position w:val="10"/>
                <w:sz w:val="14"/>
                <w:szCs w:val="14"/>
              </w:rPr>
              <w:t>-</w:t>
            </w:r>
            <w:r>
              <w:rPr>
                <w:rFonts w:hint="eastAsia" w:ascii="Times New Roman" w:hAnsi="Times New Roman" w:eastAsia="宋体" w:cs="Times New Roman"/>
                <w:color w:val="auto"/>
                <w:position w:val="10"/>
                <w:sz w:val="14"/>
                <w:szCs w:val="14"/>
                <w:lang w:val="en-US" w:eastAsia="zh-CN"/>
              </w:rPr>
              <w:t>10</w:t>
            </w:r>
            <w:r>
              <w:rPr>
                <w:rFonts w:ascii="Times New Roman" w:hAnsi="Times New Roman" w:eastAsia="Times New Roman" w:cs="Times New Roman"/>
                <w:color w:val="auto"/>
                <w:sz w:val="21"/>
                <w:szCs w:val="21"/>
              </w:rPr>
              <w:t>cm/s</w:t>
            </w:r>
          </w:p>
        </w:tc>
      </w:tr>
      <w:tr>
        <w:tblPrEx>
          <w:tblCellMar>
            <w:top w:w="0" w:type="dxa"/>
            <w:left w:w="0" w:type="dxa"/>
            <w:bottom w:w="0" w:type="dxa"/>
            <w:right w:w="0" w:type="dxa"/>
          </w:tblCellMar>
        </w:tblPrEx>
        <w:trPr>
          <w:trHeight w:val="1202" w:hRule="exact"/>
          <w:jc w:val="center"/>
        </w:trPr>
        <w:tc>
          <w:tcPr>
            <w:tcW w:w="65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1" w:rightChars="0"/>
              <w:jc w:val="center"/>
              <w:rPr>
                <w:rFonts w:hint="default" w:ascii="Times New Roman" w:eastAsia="宋体"/>
                <w:color w:val="auto"/>
                <w:sz w:val="21"/>
                <w:lang w:val="en-US" w:eastAsia="zh-CN"/>
              </w:rPr>
            </w:pPr>
            <w:r>
              <w:rPr>
                <w:rFonts w:hint="eastAsia" w:ascii="Times New Roman" w:eastAsia="宋体"/>
                <w:color w:val="auto"/>
                <w:sz w:val="21"/>
                <w:lang w:val="en-US" w:eastAsia="zh-CN"/>
              </w:rPr>
              <w:t>4</w:t>
            </w:r>
          </w:p>
        </w:tc>
        <w:tc>
          <w:tcPr>
            <w:tcW w:w="1254"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0" w:rightChars="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事故池</w:t>
            </w:r>
          </w:p>
        </w:tc>
        <w:tc>
          <w:tcPr>
            <w:tcW w:w="302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color w:val="auto"/>
                <w:sz w:val="21"/>
                <w:szCs w:val="21"/>
                <w:lang w:eastAsia="zh-CN"/>
              </w:rPr>
            </w:pPr>
            <w:r>
              <w:rPr>
                <w:rFonts w:ascii="宋体" w:hAnsi="宋体" w:eastAsia="宋体" w:cs="宋体"/>
                <w:color w:val="auto"/>
                <w:sz w:val="21"/>
                <w:szCs w:val="21"/>
              </w:rPr>
              <w:t>采用</w:t>
            </w:r>
            <w:r>
              <w:rPr>
                <w:rFonts w:ascii="宋体" w:hAnsi="宋体" w:eastAsia="宋体" w:cs="宋体"/>
                <w:color w:val="auto"/>
                <w:spacing w:val="-77"/>
                <w:sz w:val="21"/>
                <w:szCs w:val="21"/>
              </w:rPr>
              <w:t xml:space="preserve"> </w:t>
            </w:r>
            <w:r>
              <w:rPr>
                <w:rFonts w:ascii="Times New Roman" w:hAnsi="Times New Roman" w:eastAsia="Times New Roman" w:cs="Times New Roman"/>
                <w:color w:val="auto"/>
                <w:spacing w:val="2"/>
                <w:sz w:val="21"/>
                <w:szCs w:val="21"/>
              </w:rPr>
              <w:t>150mm</w:t>
            </w:r>
            <w:r>
              <w:rPr>
                <w:rFonts w:ascii="宋体" w:hAnsi="宋体" w:eastAsia="宋体" w:cs="宋体"/>
                <w:color w:val="auto"/>
                <w:sz w:val="21"/>
                <w:szCs w:val="21"/>
              </w:rPr>
              <w:t>钢筋</w:t>
            </w:r>
            <w:r>
              <w:rPr>
                <w:rFonts w:ascii="宋体" w:hAnsi="宋体" w:eastAsia="宋体" w:cs="宋体"/>
                <w:color w:val="auto"/>
                <w:spacing w:val="2"/>
                <w:sz w:val="21"/>
                <w:szCs w:val="21"/>
              </w:rPr>
              <w:t>混凝土</w:t>
            </w:r>
            <w:r>
              <w:rPr>
                <w:rFonts w:ascii="宋体" w:hAnsi="宋体" w:eastAsia="宋体" w:cs="宋体"/>
                <w:color w:val="auto"/>
                <w:spacing w:val="-11"/>
                <w:sz w:val="21"/>
                <w:szCs w:val="21"/>
              </w:rPr>
              <w:t>做地面，并有</w:t>
            </w:r>
            <w:r>
              <w:rPr>
                <w:rFonts w:ascii="宋体" w:hAnsi="宋体" w:eastAsia="宋体" w:cs="宋体"/>
                <w:color w:val="auto"/>
                <w:spacing w:val="-52"/>
                <w:sz w:val="21"/>
                <w:szCs w:val="21"/>
              </w:rPr>
              <w:t xml:space="preserve"> </w:t>
            </w:r>
            <w:r>
              <w:rPr>
                <w:rFonts w:ascii="Times New Roman" w:hAnsi="Times New Roman" w:eastAsia="Times New Roman" w:cs="Times New Roman"/>
                <w:color w:val="auto"/>
                <w:sz w:val="21"/>
                <w:szCs w:val="21"/>
              </w:rPr>
              <w:t>2~3mm</w:t>
            </w:r>
            <w:r>
              <w:rPr>
                <w:rFonts w:ascii="Times New Roman" w:hAnsi="Times New Roman" w:eastAsia="Times New Roman" w:cs="Times New Roman"/>
                <w:color w:val="auto"/>
                <w:spacing w:val="-2"/>
                <w:sz w:val="21"/>
                <w:szCs w:val="21"/>
              </w:rPr>
              <w:t xml:space="preserve"> </w:t>
            </w:r>
            <w:r>
              <w:rPr>
                <w:rFonts w:ascii="宋体" w:hAnsi="宋体" w:eastAsia="宋体" w:cs="宋体"/>
                <w:color w:val="auto"/>
                <w:sz w:val="21"/>
                <w:szCs w:val="21"/>
              </w:rPr>
              <w:t>边上翻的高密度聚乙烯膜</w:t>
            </w:r>
          </w:p>
        </w:tc>
        <w:tc>
          <w:tcPr>
            <w:tcW w:w="135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before="22" w:line="240" w:lineRule="auto"/>
              <w:ind w:right="0"/>
              <w:jc w:val="center"/>
              <w:rPr>
                <w:rFonts w:ascii="宋体" w:hAnsi="宋体" w:eastAsia="宋体" w:cs="宋体"/>
                <w:color w:val="auto"/>
                <w:sz w:val="21"/>
                <w:szCs w:val="21"/>
              </w:rPr>
            </w:pPr>
            <w:r>
              <w:rPr>
                <w:rFonts w:ascii="宋体" w:hAnsi="宋体" w:eastAsia="宋体" w:cs="宋体"/>
                <w:color w:val="auto"/>
                <w:sz w:val="21"/>
                <w:szCs w:val="21"/>
              </w:rPr>
              <w:t>满足要求</w:t>
            </w:r>
          </w:p>
        </w:tc>
        <w:tc>
          <w:tcPr>
            <w:tcW w:w="250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0" w:rightChars="0"/>
              <w:jc w:val="center"/>
              <w:rPr>
                <w:rFonts w:ascii="宋体" w:hAnsi="宋体" w:eastAsia="宋体" w:cs="宋体"/>
                <w:color w:val="auto"/>
                <w:spacing w:val="-13"/>
                <w:sz w:val="21"/>
                <w:szCs w:val="21"/>
              </w:rPr>
            </w:pPr>
            <w:r>
              <w:rPr>
                <w:rFonts w:ascii="宋体" w:hAnsi="宋体" w:eastAsia="宋体" w:cs="宋体"/>
                <w:color w:val="auto"/>
                <w:spacing w:val="-13"/>
                <w:sz w:val="21"/>
                <w:szCs w:val="21"/>
              </w:rPr>
              <w:t>重点防渗区，</w:t>
            </w:r>
            <w:r>
              <w:rPr>
                <w:rFonts w:hint="eastAsia" w:ascii="宋体" w:hAnsi="宋体" w:eastAsia="宋体" w:cs="宋体"/>
                <w:color w:val="auto"/>
                <w:spacing w:val="-13"/>
                <w:sz w:val="21"/>
                <w:szCs w:val="21"/>
                <w:lang w:eastAsia="zh-CN"/>
              </w:rPr>
              <w:t>渗透</w:t>
            </w:r>
            <w:r>
              <w:rPr>
                <w:rFonts w:ascii="宋体" w:hAnsi="宋体" w:eastAsia="宋体" w:cs="宋体"/>
                <w:color w:val="auto"/>
                <w:sz w:val="21"/>
                <w:szCs w:val="21"/>
              </w:rPr>
              <w:t xml:space="preserve">系数≤ </w:t>
            </w:r>
            <w:r>
              <w:rPr>
                <w:rFonts w:ascii="Times New Roman" w:hAnsi="Times New Roman" w:eastAsia="Times New Roman" w:cs="Times New Roman"/>
                <w:color w:val="auto"/>
                <w:sz w:val="21"/>
                <w:szCs w:val="21"/>
              </w:rPr>
              <w:t>1.0×10</w:t>
            </w:r>
            <w:r>
              <w:rPr>
                <w:rFonts w:ascii="Times New Roman" w:hAnsi="Times New Roman" w:eastAsia="Times New Roman" w:cs="Times New Roman"/>
                <w:color w:val="auto"/>
                <w:position w:val="10"/>
                <w:sz w:val="14"/>
                <w:szCs w:val="14"/>
              </w:rPr>
              <w:t>-</w:t>
            </w:r>
            <w:r>
              <w:rPr>
                <w:rFonts w:hint="eastAsia" w:ascii="Times New Roman" w:hAnsi="Times New Roman" w:eastAsia="宋体" w:cs="Times New Roman"/>
                <w:color w:val="auto"/>
                <w:position w:val="10"/>
                <w:sz w:val="14"/>
                <w:szCs w:val="14"/>
                <w:lang w:val="en-US" w:eastAsia="zh-CN"/>
              </w:rPr>
              <w:t>10</w:t>
            </w:r>
            <w:r>
              <w:rPr>
                <w:rFonts w:ascii="Times New Roman" w:hAnsi="Times New Roman" w:eastAsia="Times New Roman" w:cs="Times New Roman"/>
                <w:color w:val="auto"/>
                <w:sz w:val="21"/>
                <w:szCs w:val="21"/>
              </w:rPr>
              <w:t>cm/s</w:t>
            </w:r>
          </w:p>
        </w:tc>
      </w:tr>
      <w:tr>
        <w:tblPrEx>
          <w:tblCellMar>
            <w:top w:w="0" w:type="dxa"/>
            <w:left w:w="0" w:type="dxa"/>
            <w:bottom w:w="0" w:type="dxa"/>
            <w:right w:w="0" w:type="dxa"/>
          </w:tblCellMar>
        </w:tblPrEx>
        <w:trPr>
          <w:trHeight w:val="1064" w:hRule="exact"/>
          <w:jc w:val="center"/>
        </w:trPr>
        <w:tc>
          <w:tcPr>
            <w:tcW w:w="65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1" w:rightChars="0"/>
              <w:jc w:val="center"/>
              <w:rPr>
                <w:rFonts w:hint="default" w:ascii="Times New Roman" w:eastAsia="宋体"/>
                <w:color w:val="auto"/>
                <w:sz w:val="21"/>
                <w:lang w:val="en-US" w:eastAsia="zh-CN"/>
              </w:rPr>
            </w:pPr>
            <w:r>
              <w:rPr>
                <w:rFonts w:hint="eastAsia" w:ascii="Times New Roman" w:eastAsia="宋体"/>
                <w:color w:val="auto"/>
                <w:sz w:val="21"/>
                <w:lang w:val="en-US" w:eastAsia="zh-CN"/>
              </w:rPr>
              <w:t>5</w:t>
            </w:r>
          </w:p>
        </w:tc>
        <w:tc>
          <w:tcPr>
            <w:tcW w:w="1254"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0" w:rightChars="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储罐区</w:t>
            </w:r>
          </w:p>
        </w:tc>
        <w:tc>
          <w:tcPr>
            <w:tcW w:w="302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color w:val="auto"/>
                <w:sz w:val="21"/>
                <w:szCs w:val="21"/>
                <w:lang w:eastAsia="zh-CN"/>
              </w:rPr>
            </w:pPr>
            <w:r>
              <w:rPr>
                <w:rFonts w:ascii="宋体" w:hAnsi="宋体" w:eastAsia="宋体" w:cs="宋体"/>
                <w:color w:val="auto"/>
                <w:sz w:val="21"/>
                <w:szCs w:val="21"/>
              </w:rPr>
              <w:t>采用</w:t>
            </w:r>
            <w:r>
              <w:rPr>
                <w:rFonts w:ascii="宋体" w:hAnsi="宋体" w:eastAsia="宋体" w:cs="宋体"/>
                <w:color w:val="auto"/>
                <w:spacing w:val="-77"/>
                <w:sz w:val="21"/>
                <w:szCs w:val="21"/>
              </w:rPr>
              <w:t xml:space="preserve"> </w:t>
            </w:r>
            <w:r>
              <w:rPr>
                <w:rFonts w:ascii="Times New Roman" w:hAnsi="Times New Roman" w:eastAsia="Times New Roman" w:cs="Times New Roman"/>
                <w:color w:val="auto"/>
                <w:spacing w:val="2"/>
                <w:sz w:val="21"/>
                <w:szCs w:val="21"/>
              </w:rPr>
              <w:t>150mm</w:t>
            </w:r>
            <w:r>
              <w:rPr>
                <w:rFonts w:hint="eastAsia" w:ascii="Times New Roman" w:hAnsi="Times New Roman" w:eastAsia="宋体" w:cs="Times New Roman"/>
                <w:color w:val="auto"/>
                <w:spacing w:val="2"/>
                <w:sz w:val="21"/>
                <w:szCs w:val="21"/>
                <w:lang w:eastAsia="zh-CN"/>
              </w:rPr>
              <w:t>钢筋混凝土</w:t>
            </w:r>
            <w:r>
              <w:rPr>
                <w:rFonts w:ascii="宋体" w:hAnsi="宋体" w:eastAsia="宋体" w:cs="宋体"/>
                <w:color w:val="auto"/>
                <w:spacing w:val="-11"/>
                <w:sz w:val="21"/>
                <w:szCs w:val="21"/>
              </w:rPr>
              <w:t>地面，并有</w:t>
            </w:r>
            <w:r>
              <w:rPr>
                <w:rFonts w:ascii="宋体" w:hAnsi="宋体" w:eastAsia="宋体" w:cs="宋体"/>
                <w:color w:val="auto"/>
                <w:spacing w:val="-52"/>
                <w:sz w:val="21"/>
                <w:szCs w:val="21"/>
              </w:rPr>
              <w:t xml:space="preserve"> </w:t>
            </w:r>
            <w:r>
              <w:rPr>
                <w:rFonts w:ascii="Times New Roman" w:hAnsi="Times New Roman" w:eastAsia="Times New Roman" w:cs="Times New Roman"/>
                <w:color w:val="auto"/>
                <w:sz w:val="21"/>
                <w:szCs w:val="21"/>
              </w:rPr>
              <w:t>2~3mm</w:t>
            </w:r>
            <w:r>
              <w:rPr>
                <w:rFonts w:ascii="Times New Roman" w:hAnsi="Times New Roman" w:eastAsia="Times New Roman" w:cs="Times New Roman"/>
                <w:color w:val="auto"/>
                <w:spacing w:val="-2"/>
                <w:sz w:val="21"/>
                <w:szCs w:val="21"/>
              </w:rPr>
              <w:t xml:space="preserve"> </w:t>
            </w:r>
            <w:r>
              <w:rPr>
                <w:rFonts w:ascii="宋体" w:hAnsi="宋体" w:eastAsia="宋体" w:cs="宋体"/>
                <w:color w:val="auto"/>
                <w:sz w:val="21"/>
                <w:szCs w:val="21"/>
              </w:rPr>
              <w:t>边上翻的高密度聚乙烯膜</w:t>
            </w:r>
          </w:p>
        </w:tc>
        <w:tc>
          <w:tcPr>
            <w:tcW w:w="135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before="22" w:line="240" w:lineRule="auto"/>
              <w:ind w:right="0"/>
              <w:jc w:val="center"/>
              <w:rPr>
                <w:rFonts w:ascii="宋体" w:hAnsi="宋体" w:eastAsia="宋体" w:cs="宋体"/>
                <w:color w:val="auto"/>
                <w:sz w:val="21"/>
                <w:szCs w:val="21"/>
              </w:rPr>
            </w:pPr>
            <w:r>
              <w:rPr>
                <w:rFonts w:ascii="宋体" w:hAnsi="宋体" w:eastAsia="宋体" w:cs="宋体"/>
                <w:color w:val="auto"/>
                <w:sz w:val="21"/>
                <w:szCs w:val="21"/>
              </w:rPr>
              <w:t>满足要求</w:t>
            </w:r>
          </w:p>
        </w:tc>
        <w:tc>
          <w:tcPr>
            <w:tcW w:w="250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pPr>
              <w:pStyle w:val="27"/>
              <w:spacing w:line="240" w:lineRule="auto"/>
              <w:ind w:right="0" w:rightChars="0"/>
              <w:jc w:val="center"/>
              <w:rPr>
                <w:rFonts w:ascii="宋体" w:hAnsi="宋体" w:eastAsia="宋体" w:cs="宋体"/>
                <w:color w:val="auto"/>
                <w:spacing w:val="-13"/>
                <w:sz w:val="21"/>
                <w:szCs w:val="21"/>
              </w:rPr>
            </w:pPr>
            <w:r>
              <w:rPr>
                <w:rFonts w:ascii="宋体" w:hAnsi="宋体" w:eastAsia="宋体" w:cs="宋体"/>
                <w:color w:val="auto"/>
                <w:spacing w:val="-13"/>
                <w:sz w:val="21"/>
                <w:szCs w:val="21"/>
              </w:rPr>
              <w:t>重点防渗区，</w:t>
            </w:r>
            <w:r>
              <w:rPr>
                <w:rFonts w:hint="eastAsia" w:ascii="宋体" w:hAnsi="宋体" w:eastAsia="宋体" w:cs="宋体"/>
                <w:color w:val="auto"/>
                <w:spacing w:val="-13"/>
                <w:sz w:val="21"/>
                <w:szCs w:val="21"/>
                <w:lang w:eastAsia="zh-CN"/>
              </w:rPr>
              <w:t>渗透</w:t>
            </w:r>
            <w:r>
              <w:rPr>
                <w:rFonts w:ascii="宋体" w:hAnsi="宋体" w:eastAsia="宋体" w:cs="宋体"/>
                <w:color w:val="auto"/>
                <w:sz w:val="21"/>
                <w:szCs w:val="21"/>
              </w:rPr>
              <w:t xml:space="preserve">系数≤ </w:t>
            </w:r>
            <w:r>
              <w:rPr>
                <w:rFonts w:ascii="Times New Roman" w:hAnsi="Times New Roman" w:eastAsia="Times New Roman" w:cs="Times New Roman"/>
                <w:color w:val="auto"/>
                <w:sz w:val="21"/>
                <w:szCs w:val="21"/>
              </w:rPr>
              <w:t>1.0×10</w:t>
            </w:r>
            <w:r>
              <w:rPr>
                <w:rFonts w:ascii="Times New Roman" w:hAnsi="Times New Roman" w:eastAsia="Times New Roman" w:cs="Times New Roman"/>
                <w:color w:val="auto"/>
                <w:position w:val="10"/>
                <w:sz w:val="14"/>
                <w:szCs w:val="14"/>
              </w:rPr>
              <w:t>-</w:t>
            </w:r>
            <w:r>
              <w:rPr>
                <w:rFonts w:hint="eastAsia" w:ascii="Times New Roman" w:hAnsi="Times New Roman" w:eastAsia="宋体" w:cs="Times New Roman"/>
                <w:color w:val="auto"/>
                <w:position w:val="10"/>
                <w:sz w:val="14"/>
                <w:szCs w:val="14"/>
                <w:lang w:val="en-US" w:eastAsia="zh-CN"/>
              </w:rPr>
              <w:t>10</w:t>
            </w:r>
            <w:r>
              <w:rPr>
                <w:rFonts w:ascii="Times New Roman" w:hAnsi="Times New Roman" w:eastAsia="Times New Roman" w:cs="Times New Roman"/>
                <w:color w:val="auto"/>
                <w:sz w:val="21"/>
                <w:szCs w:val="21"/>
              </w:rPr>
              <w:t>cm/s</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ascii="Times New Roman" w:hAnsi="Times New Roman" w:cs="Times New Roman"/>
          <w:kern w:val="2"/>
          <w:sz w:val="24"/>
          <w:szCs w:val="24"/>
          <w:lang w:val="en-US" w:eastAsia="zh-CN" w:bidi="ar-SA"/>
        </w:rPr>
      </w:pPr>
      <w:r>
        <w:rPr>
          <w:rFonts w:hint="eastAsia" w:ascii="Times New Roman" w:hAnsi="Times New Roman" w:cs="Times New Roman"/>
          <w:kern w:val="2"/>
          <w:sz w:val="24"/>
          <w:szCs w:val="24"/>
          <w:lang w:val="en-US" w:eastAsia="zh-CN" w:bidi="ar-SA"/>
        </w:rPr>
        <w:t>2、管理措施</w:t>
      </w:r>
    </w:p>
    <w:p>
      <w:pPr>
        <w:topLinePunct/>
        <w:adjustRightInd w:val="0"/>
        <w:snapToGrid w:val="0"/>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（1）完善污、雨水的收集设施，确保厂区内污水能够全部得到收集并处理，避免雨污水通过地表水体以及渗透作用进入地下水。</w:t>
      </w:r>
    </w:p>
    <w:p>
      <w:pPr>
        <w:topLinePunct/>
        <w:adjustRightInd w:val="0"/>
        <w:snapToGrid w:val="0"/>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（2）制定严格的检查制度，定期对厂区内废水输送管道等区域进行检查，检查管道是否有裂纹及渗漏。</w:t>
      </w:r>
    </w:p>
    <w:p>
      <w:pPr>
        <w:topLinePunct/>
        <w:adjustRightInd w:val="0"/>
        <w:snapToGrid w:val="0"/>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综合以上内容，本项目生产车间进行地面防渗，</w:t>
      </w:r>
      <w:r>
        <w:rPr>
          <w:rFonts w:hint="eastAsia" w:ascii="Times New Roman" w:hAnsi="Times New Roman" w:cs="Times New Roman"/>
          <w:kern w:val="2"/>
          <w:sz w:val="24"/>
          <w:szCs w:val="24"/>
          <w:lang w:val="en-US" w:eastAsia="zh-CN" w:bidi="ar-SA"/>
        </w:rPr>
        <w:t>事故池等</w:t>
      </w:r>
      <w:r>
        <w:rPr>
          <w:rFonts w:hint="default" w:ascii="Times New Roman" w:hAnsi="Times New Roman" w:eastAsia="宋体" w:cs="Times New Roman"/>
          <w:kern w:val="2"/>
          <w:sz w:val="24"/>
          <w:szCs w:val="24"/>
          <w:lang w:val="en-US" w:eastAsia="zh-CN" w:bidi="ar-SA"/>
        </w:rPr>
        <w:t>其它区域至少满足10-7cm/s 要求。再采取以上措施并加强管理的前提下，本项目不存在向地下渗漏的问题，对地下水环境影响较小。</w:t>
      </w:r>
    </w:p>
    <w:p>
      <w:pPr>
        <w:topLinePunct/>
        <w:adjustRightInd w:val="0"/>
        <w:snapToGrid w:val="0"/>
        <w:spacing w:line="360" w:lineRule="auto"/>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建设单位应严格落实以上各项措施，确保项目建设对地下水影响较小。</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9</w:t>
      </w:r>
      <w:r>
        <w:rPr>
          <w:b/>
          <w:bCs/>
          <w:color w:val="auto"/>
          <w:sz w:val="28"/>
          <w:szCs w:val="28"/>
        </w:rPr>
        <w:t xml:space="preserve"> </w:t>
      </w:r>
      <w:r>
        <w:rPr>
          <w:rFonts w:hint="eastAsia"/>
          <w:b/>
          <w:bCs/>
          <w:color w:val="auto"/>
          <w:sz w:val="28"/>
          <w:szCs w:val="28"/>
        </w:rPr>
        <w:t>应急响应机制</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1、应急预案</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在制定全厂安全管理体制的基础上，制订专门的地下水污染事故的应急预案，并应与其它应急预案相协调。地下水应急预案应包括以下内容：</w:t>
      </w:r>
    </w:p>
    <w:p>
      <w:pPr>
        <w:pStyle w:val="17"/>
        <w:keepNext w:val="0"/>
        <w:keepLines w:val="0"/>
        <w:pageBreakBefore w:val="0"/>
        <w:widowControl w:val="0"/>
        <w:numPr>
          <w:ilvl w:val="0"/>
          <w:numId w:val="4"/>
        </w:numPr>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应急预案的日常协调和指挥机构；</w:t>
      </w:r>
    </w:p>
    <w:p>
      <w:pPr>
        <w:pStyle w:val="17"/>
        <w:keepNext w:val="0"/>
        <w:keepLines w:val="0"/>
        <w:pageBreakBefore w:val="0"/>
        <w:widowControl w:val="0"/>
        <w:numPr>
          <w:ilvl w:val="0"/>
          <w:numId w:val="4"/>
        </w:numPr>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相关部门在应急预案中的职责和分工；</w:t>
      </w:r>
    </w:p>
    <w:p>
      <w:pPr>
        <w:pStyle w:val="17"/>
        <w:keepNext w:val="0"/>
        <w:keepLines w:val="0"/>
        <w:pageBreakBefore w:val="0"/>
        <w:widowControl w:val="0"/>
        <w:numPr>
          <w:ilvl w:val="0"/>
          <w:numId w:val="4"/>
        </w:numPr>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地下水环境保护目标的确定，采取的紧急处置措施和潜在污染可能性评估；</w:t>
      </w:r>
    </w:p>
    <w:p>
      <w:pPr>
        <w:pStyle w:val="17"/>
        <w:keepNext w:val="0"/>
        <w:keepLines w:val="0"/>
        <w:pageBreakBefore w:val="0"/>
        <w:widowControl w:val="0"/>
        <w:numPr>
          <w:ilvl w:val="0"/>
          <w:numId w:val="4"/>
        </w:numPr>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特大事故应急救援组织状况和人员、装备情况，平常的训练和演习；</w:t>
      </w:r>
    </w:p>
    <w:p>
      <w:pPr>
        <w:pStyle w:val="17"/>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（5）特大事故的社会支持和援助,应急救援的经费保障。</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sz w:val="24"/>
          <w:szCs w:val="24"/>
          <w:lang w:val="en-US" w:eastAsia="zh-CN"/>
        </w:rPr>
      </w:pPr>
      <w:r>
        <w:rPr>
          <w:rFonts w:hint="eastAsia" w:ascii="Times New Roman" w:hAnsi="Times New Roman" w:eastAsia="宋体"/>
          <w:sz w:val="24"/>
          <w:szCs w:val="24"/>
          <w:lang w:val="en-US" w:eastAsia="zh-CN"/>
        </w:rPr>
        <w:t>地下水应急预案详见表6.3-5。</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0" w:firstLineChars="0"/>
        <w:jc w:val="center"/>
        <w:textAlignment w:val="auto"/>
        <w:rPr>
          <w:rFonts w:hint="eastAsia" w:cs="Times New Roman"/>
          <w:b/>
          <w:bCs/>
          <w:color w:val="auto"/>
          <w:sz w:val="24"/>
          <w:szCs w:val="24"/>
          <w:lang w:val="en-US" w:eastAsia="zh-CN"/>
        </w:rPr>
      </w:pPr>
      <w:r>
        <w:rPr>
          <w:rFonts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lang w:val="en-US" w:eastAsia="zh-CN"/>
        </w:rPr>
        <w:t>6.3</w:t>
      </w:r>
      <w:r>
        <w:rPr>
          <w:rFonts w:hint="default" w:ascii="Times New Roman" w:hAnsi="Times New Roman" w:eastAsia="宋体" w:cs="Times New Roman"/>
          <w:b/>
          <w:bCs/>
          <w:color w:val="auto"/>
          <w:sz w:val="24"/>
          <w:szCs w:val="24"/>
        </w:rPr>
        <w:t>-</w:t>
      </w:r>
      <w:r>
        <w:rPr>
          <w:rFonts w:hint="eastAsia" w:ascii="Times New Roman" w:hAnsi="Times New Roman" w:eastAsia="宋体" w:cs="Times New Roman"/>
          <w:b/>
          <w:bCs/>
          <w:color w:val="auto"/>
          <w:sz w:val="24"/>
          <w:szCs w:val="24"/>
          <w:lang w:val="en-US" w:eastAsia="zh-CN"/>
        </w:rPr>
        <w:t>5</w:t>
      </w:r>
      <w:r>
        <w:rPr>
          <w:rFonts w:ascii="Times New Roman" w:hAnsi="Times New Roman" w:eastAsia="宋体" w:cs="Times New Roman"/>
          <w:b/>
          <w:bCs/>
          <w:color w:val="auto"/>
          <w:sz w:val="24"/>
          <w:szCs w:val="24"/>
        </w:rPr>
        <w:t xml:space="preserve"> </w:t>
      </w:r>
      <w:r>
        <w:rPr>
          <w:rFonts w:cs="Times New Roman"/>
          <w:b/>
          <w:bCs/>
          <w:color w:val="auto"/>
          <w:sz w:val="24"/>
          <w:szCs w:val="24"/>
        </w:rPr>
        <w:t xml:space="preserve"> </w:t>
      </w:r>
      <w:r>
        <w:rPr>
          <w:rFonts w:hint="eastAsia" w:cs="Times New Roman"/>
          <w:b/>
          <w:bCs/>
          <w:color w:val="auto"/>
          <w:sz w:val="24"/>
          <w:szCs w:val="24"/>
          <w:lang w:val="en-US" w:eastAsia="zh-CN"/>
        </w:rPr>
        <w:t>地下水污染应急预案内容</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1718"/>
        <w:gridCol w:w="5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序号</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项目</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总则</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污染源概况</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eastAsia="zh-CN"/>
              </w:rPr>
            </w:pPr>
            <w:r>
              <w:rPr>
                <w:rFonts w:hint="eastAsia" w:ascii="Times New Roman" w:hAnsi="Times New Roman" w:eastAsia="宋体"/>
                <w:sz w:val="21"/>
                <w:szCs w:val="21"/>
                <w:vertAlign w:val="baseline"/>
              </w:rPr>
              <w:t>详述污染源类型、数量及其分布，包括生产装置、辅助设施、公用工程</w:t>
            </w:r>
            <w:r>
              <w:rPr>
                <w:rFonts w:hint="eastAsia" w:ascii="Times New Roman" w:hAnsi="Times New Roman" w:eastAsia="宋体"/>
                <w:sz w:val="21"/>
                <w:szCs w:val="21"/>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应急计划区</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eastAsia="zh-CN"/>
              </w:rPr>
            </w:pPr>
            <w:r>
              <w:rPr>
                <w:rFonts w:hint="eastAsia" w:ascii="Times New Roman" w:hAnsi="Times New Roman" w:eastAsia="宋体"/>
                <w:sz w:val="21"/>
                <w:szCs w:val="21"/>
                <w:vertAlign w:val="baseline"/>
              </w:rPr>
              <w:t>列出危险目标：污水处理池和集液池等，在厂区总图中标明位置</w:t>
            </w:r>
            <w:r>
              <w:rPr>
                <w:rFonts w:hint="eastAsia" w:ascii="Times New Roman" w:hAnsi="Times New Roman" w:eastAsia="宋体"/>
                <w:sz w:val="21"/>
                <w:szCs w:val="21"/>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应急组织</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应急指挥部—负责现场全面指挥</w:t>
            </w:r>
          </w:p>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专业救援队伍—负责事故控制、救援、善后处理；</w:t>
            </w:r>
          </w:p>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专业监测队伍负责对厂监测站的支援；</w:t>
            </w:r>
          </w:p>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eastAsia="zh-CN"/>
              </w:rPr>
            </w:pPr>
            <w:r>
              <w:rPr>
                <w:rFonts w:hint="eastAsia" w:ascii="Times New Roman" w:hAnsi="Times New Roman" w:eastAsia="宋体"/>
                <w:sz w:val="21"/>
                <w:szCs w:val="21"/>
                <w:vertAlign w:val="baseline"/>
              </w:rPr>
              <w:t>地方医院负责收治受伤、中毒人员</w:t>
            </w:r>
            <w:r>
              <w:rPr>
                <w:rFonts w:hint="eastAsia" w:ascii="Times New Roman" w:hAnsi="Times New Roman" w:eastAsia="宋体"/>
                <w:sz w:val="21"/>
                <w:szCs w:val="21"/>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8"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5</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应急状态分类及应急响应程序</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规定地下水污染事故的级别及相应的应急分类响应程序。按照突发环境事件严重性和紧急程度，该预案将突发环境事件分为特别重大环境事件（</w:t>
            </w:r>
            <w:r>
              <w:rPr>
                <w:rFonts w:hint="default" w:ascii="Times New Roman" w:hAnsi="Times New Roman" w:eastAsia="宋体" w:cs="Times New Roman"/>
                <w:sz w:val="21"/>
                <w:szCs w:val="21"/>
                <w:vertAlign w:val="baseline"/>
              </w:rPr>
              <w:t>Ⅰ</w:t>
            </w:r>
            <w:r>
              <w:rPr>
                <w:rFonts w:hint="eastAsia" w:ascii="Times New Roman" w:hAnsi="Times New Roman" w:eastAsia="宋体"/>
                <w:sz w:val="21"/>
                <w:szCs w:val="21"/>
                <w:vertAlign w:val="baseline"/>
              </w:rPr>
              <w:t>级）、重大环境事件（</w:t>
            </w:r>
            <w:r>
              <w:rPr>
                <w:rFonts w:hint="default" w:ascii="Times New Roman" w:hAnsi="Times New Roman" w:eastAsia="宋体" w:cs="Times New Roman"/>
                <w:sz w:val="21"/>
                <w:szCs w:val="21"/>
                <w:vertAlign w:val="baseline"/>
              </w:rPr>
              <w:t>Ⅱ</w:t>
            </w:r>
            <w:r>
              <w:rPr>
                <w:rFonts w:hint="eastAsia" w:ascii="Times New Roman" w:hAnsi="Times New Roman" w:eastAsia="宋体"/>
                <w:sz w:val="21"/>
                <w:szCs w:val="21"/>
                <w:vertAlign w:val="baseline"/>
              </w:rPr>
              <w:t>级）、较大环境事件（</w:t>
            </w:r>
            <w:r>
              <w:rPr>
                <w:rFonts w:hint="default" w:ascii="Times New Roman" w:hAnsi="Times New Roman" w:eastAsia="宋体" w:cs="Times New Roman"/>
                <w:sz w:val="21"/>
                <w:szCs w:val="21"/>
                <w:vertAlign w:val="baseline"/>
              </w:rPr>
              <w:t>Ⅲ</w:t>
            </w:r>
            <w:r>
              <w:rPr>
                <w:rFonts w:hint="eastAsia" w:ascii="Times New Roman" w:hAnsi="Times New Roman" w:eastAsia="宋体"/>
                <w:sz w:val="21"/>
                <w:szCs w:val="21"/>
                <w:vertAlign w:val="baseline"/>
              </w:rPr>
              <w:t>级）和一般环境事件（</w:t>
            </w:r>
            <w:r>
              <w:rPr>
                <w:rFonts w:hint="default" w:ascii="Times New Roman" w:hAnsi="Times New Roman" w:eastAsia="宋体" w:cs="Times New Roman"/>
                <w:sz w:val="21"/>
                <w:szCs w:val="21"/>
                <w:vertAlign w:val="baseline"/>
              </w:rPr>
              <w:t>Ⅳ</w:t>
            </w:r>
            <w:r>
              <w:rPr>
                <w:rFonts w:hint="eastAsia" w:ascii="Times New Roman" w:hAnsi="Times New Roman" w:eastAsia="宋体"/>
                <w:sz w:val="21"/>
                <w:szCs w:val="21"/>
                <w:vertAlign w:val="baseline"/>
              </w:rPr>
              <w:t>级）四级。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6</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地下水污染应急预案内容</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eastAsia="zh-CN"/>
              </w:rPr>
            </w:pPr>
            <w:r>
              <w:rPr>
                <w:rFonts w:hint="eastAsia" w:ascii="Times New Roman" w:hAnsi="Times New Roman" w:eastAsia="宋体"/>
                <w:sz w:val="21"/>
                <w:szCs w:val="21"/>
                <w:vertAlign w:val="baseline"/>
              </w:rPr>
              <w:t>防有毒有害物质外溢、扩散的应急设施、设备与材料</w:t>
            </w:r>
            <w:r>
              <w:rPr>
                <w:rFonts w:hint="eastAsia" w:ascii="Times New Roman" w:hAnsi="Times New Roman" w:eastAsia="宋体"/>
                <w:sz w:val="21"/>
                <w:szCs w:val="21"/>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7</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应急通讯、通讯和交通</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规定应急状态下的通讯方式、通知方式和交通保障、管制。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8</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应急环境监测及事故后评估</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由厂区环境监测站进行现场地下水环境进行监测。</w:t>
            </w:r>
          </w:p>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对事故性质与后果进行评估，为指挥部门提供决策依据。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0"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9</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应急防护措施、清除泄漏</w:t>
            </w:r>
          </w:p>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措施方法和器材</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事故现场：控制事故、防止扩大、蔓延及链锁反应。清除现场泄漏物，降低危害，相应的设施器材配备。</w:t>
            </w:r>
          </w:p>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邻近区域：控制污染区域，控制和清除污染措施及相应设备配备。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2"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10</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应急浓度、排放量控制、撤离组织计划、医疗救护与公众健康</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事故现场：事故处理人员制定污染物的应急控制浓度、排放量，现场及邻近装置人员撤离组织计划及救护。</w:t>
            </w:r>
          </w:p>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环境敏感目标：受事故影响的邻近区域人员及公众对污染物应急控制浓度、排放量规定，撤离组织计划及救护。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7"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11</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应急状态终止与恢复措施</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规定应急状态终止程序。事故现场善后处理，恢复措施。</w:t>
            </w:r>
          </w:p>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邻近区域解除事故警戒及善后恢复措施。建立重大环境事故责任追究、奖惩制度。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12</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人员培训与演练</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应急计划制定后，平时安排人员培训与演练。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13</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公众教育和信息</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对邻近地区开展公众教育、培训和发布有关信息。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5"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14</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记录和报告</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设置应急事故专门记录，建档案和专门报告制度，设专门部门和负责管理。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68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15</w:t>
            </w:r>
          </w:p>
        </w:tc>
        <w:tc>
          <w:tcPr>
            <w:tcW w:w="1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附件</w:t>
            </w:r>
          </w:p>
        </w:tc>
        <w:tc>
          <w:tcPr>
            <w:tcW w:w="565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rPr>
            </w:pPr>
            <w:r>
              <w:rPr>
                <w:rFonts w:hint="eastAsia" w:ascii="Times New Roman" w:hAnsi="Times New Roman" w:eastAsia="宋体"/>
                <w:sz w:val="21"/>
                <w:szCs w:val="21"/>
                <w:vertAlign w:val="baseline"/>
              </w:rPr>
              <w:t>与应急事故有关的多种附件材料的准备和形成。</w:t>
            </w:r>
          </w:p>
        </w:tc>
      </w:tr>
    </w:tbl>
    <w:p>
      <w:pPr>
        <w:pStyle w:val="17"/>
        <w:keepNext w:val="0"/>
        <w:keepLines w:val="0"/>
        <w:pageBreakBefore w:val="0"/>
        <w:widowControl w:val="0"/>
        <w:kinsoku/>
        <w:wordWrap/>
        <w:overflowPunct/>
        <w:topLinePunct w:val="0"/>
        <w:autoSpaceDE/>
        <w:autoSpaceDN/>
        <w:bidi w:val="0"/>
        <w:adjustRightInd/>
        <w:snapToGrid w:val="0"/>
        <w:spacing w:before="161" w:beforeLines="50" w:after="0" w:line="360" w:lineRule="auto"/>
        <w:ind w:left="0" w:leftChars="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2、应急处置</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 xml:space="preserve">一旦发现地下水发生异常情况，必须按照应急预案马上采取紧急措施。 </w:t>
      </w:r>
    </w:p>
    <w:p>
      <w:pPr>
        <w:pStyle w:val="17"/>
        <w:keepNext w:val="0"/>
        <w:keepLines w:val="0"/>
        <w:pageBreakBefore w:val="0"/>
        <w:widowControl w:val="0"/>
        <w:numPr>
          <w:ilvl w:val="0"/>
          <w:numId w:val="5"/>
        </w:numPr>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当确定发生地下水异常情况时，按照制订的地下水应急预案，在第一时间内尽快上报主管领导，通知当地环保局、附近居民等地下水用户，密切关注地下水水质变化情况。</w:t>
      </w:r>
    </w:p>
    <w:p>
      <w:pPr>
        <w:pStyle w:val="17"/>
        <w:keepNext w:val="0"/>
        <w:keepLines w:val="0"/>
        <w:pageBreakBefore w:val="0"/>
        <w:widowControl w:val="0"/>
        <w:numPr>
          <w:ilvl w:val="0"/>
          <w:numId w:val="5"/>
        </w:numPr>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 xml:space="preserve">组织专业队伍对事故现场进行调查、监测，查找环境事故发生地点、分析事故原因，尽量将紧急事件局部化，如可能应予以消除，采取包括切断生产装置或设施等措施，对污水进行封闭、截流，防止事故的扩散、蔓延及连锁反应，尽量缩小地下水污染事故对人和财产的影响。 </w:t>
      </w:r>
    </w:p>
    <w:p>
      <w:pPr>
        <w:pStyle w:val="17"/>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3）当通过监测发现对周围地下水造成污染时，根据观测井的反馈信息，控制污染区地下水流场，防止污染物扩散。地下水排水系统是根据建设项目对地下水可能产生影响而采取的被动防范措施，是建设项目环境工程的重要组成部分。当地下水污染事件发生后，启动地下水排水应急系统，抽出污水送污水处理站集中处理，可有效抑制污染物向下游扩散速度，控制污染范围，使地下水质量得到尽快恢复。</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rPr>
        <w:t>当发现厂区内受到范围污染时，首先确定污染的大致范围。根据污染的范围，启动相应的应急排水井。排水井井深50m，抽出污水送</w:t>
      </w:r>
      <w:r>
        <w:rPr>
          <w:rFonts w:hint="eastAsia" w:ascii="Times New Roman" w:hAnsi="Times New Roman"/>
          <w:sz w:val="24"/>
          <w:szCs w:val="24"/>
          <w:lang w:val="en-US" w:eastAsia="zh-CN"/>
        </w:rPr>
        <w:t>事故水</w:t>
      </w:r>
      <w:r>
        <w:rPr>
          <w:rFonts w:hint="eastAsia" w:ascii="Times New Roman" w:hAnsi="Times New Roman" w:eastAsia="宋体"/>
          <w:sz w:val="24"/>
          <w:szCs w:val="24"/>
          <w:lang w:val="en-US" w:eastAsia="zh-CN"/>
        </w:rPr>
        <w:t>池暂存</w:t>
      </w:r>
      <w:r>
        <w:rPr>
          <w:rFonts w:hint="eastAsia" w:ascii="Times New Roman" w:hAnsi="Times New Roman" w:eastAsia="宋体"/>
          <w:sz w:val="24"/>
          <w:szCs w:val="24"/>
        </w:rPr>
        <w:t>。</w:t>
      </w:r>
    </w:p>
    <w:p>
      <w:pPr>
        <w:pStyle w:val="17"/>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auto"/>
        <w:rPr>
          <w:rFonts w:hint="eastAsia" w:ascii="Times New Roman" w:hAnsi="Times New Roman" w:eastAsia="宋体"/>
          <w:sz w:val="24"/>
          <w:szCs w:val="24"/>
        </w:rPr>
      </w:pPr>
      <w:r>
        <w:rPr>
          <w:rFonts w:hint="eastAsia" w:ascii="Times New Roman" w:hAnsi="Times New Roman" w:eastAsia="宋体"/>
          <w:sz w:val="24"/>
          <w:szCs w:val="24"/>
          <w:lang w:eastAsia="zh-CN"/>
        </w:rPr>
        <w:t>（</w:t>
      </w:r>
      <w:r>
        <w:rPr>
          <w:rFonts w:hint="eastAsia" w:ascii="Times New Roman" w:hAnsi="Times New Roman" w:eastAsia="宋体"/>
          <w:sz w:val="24"/>
          <w:szCs w:val="24"/>
          <w:lang w:val="en-US" w:eastAsia="zh-CN"/>
        </w:rPr>
        <w:t>4</w:t>
      </w:r>
      <w:r>
        <w:rPr>
          <w:rFonts w:hint="eastAsia" w:ascii="Times New Roman" w:hAnsi="Times New Roman" w:eastAsia="宋体"/>
          <w:sz w:val="24"/>
          <w:szCs w:val="24"/>
          <w:lang w:eastAsia="zh-CN"/>
        </w:rPr>
        <w:t>）</w:t>
      </w:r>
      <w:r>
        <w:rPr>
          <w:rFonts w:hint="eastAsia" w:ascii="Times New Roman" w:hAnsi="Times New Roman" w:eastAsia="宋体"/>
          <w:sz w:val="24"/>
          <w:szCs w:val="24"/>
        </w:rPr>
        <w:t>对事故后果进行评估，并制定防止类似事件发生的措施。</w:t>
      </w:r>
    </w:p>
    <w:p>
      <w:pPr>
        <w:pStyle w:val="17"/>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rPr>
        <w:t>（5）如果自身力量无法应对污染事故，应立即请求社会应急力量协助处理</w:t>
      </w:r>
      <w:r>
        <w:rPr>
          <w:rFonts w:hint="eastAsia" w:ascii="Times New Roman" w:hAnsi="Times New Roman" w:eastAsia="宋体"/>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10</w:t>
      </w:r>
      <w:r>
        <w:rPr>
          <w:b/>
          <w:bCs/>
          <w:color w:val="auto"/>
          <w:sz w:val="28"/>
          <w:szCs w:val="28"/>
        </w:rPr>
        <w:t xml:space="preserve"> </w:t>
      </w:r>
      <w:r>
        <w:rPr>
          <w:rFonts w:hint="eastAsia"/>
          <w:b/>
          <w:bCs/>
          <w:color w:val="auto"/>
          <w:sz w:val="28"/>
          <w:szCs w:val="28"/>
        </w:rPr>
        <w:t>小结</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sz w:val="24"/>
          <w:szCs w:val="24"/>
        </w:rPr>
      </w:pPr>
      <w:r>
        <w:rPr>
          <w:rFonts w:hint="eastAsia" w:ascii="Times New Roman" w:hAnsi="Times New Roman"/>
          <w:sz w:val="24"/>
          <w:szCs w:val="24"/>
        </w:rPr>
        <w:t>（1）根据《环境影响评价技术导则－地下水环境》（HJ610-2016）要求，确定本次地下水环境影响评价工作等级确定为</w:t>
      </w:r>
      <w:r>
        <w:rPr>
          <w:rFonts w:hint="eastAsia" w:ascii="Times New Roman" w:hAnsi="Times New Roman"/>
          <w:sz w:val="24"/>
          <w:szCs w:val="24"/>
          <w:lang w:val="en-US" w:eastAsia="zh-CN"/>
        </w:rPr>
        <w:t>三</w:t>
      </w:r>
      <w:r>
        <w:rPr>
          <w:rFonts w:hint="eastAsia" w:ascii="Times New Roman" w:hAnsi="Times New Roman"/>
          <w:sz w:val="24"/>
          <w:szCs w:val="24"/>
        </w:rPr>
        <w:t xml:space="preserve">级。 </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sz w:val="24"/>
          <w:szCs w:val="24"/>
        </w:rPr>
      </w:pPr>
      <w:r>
        <w:rPr>
          <w:rFonts w:hint="eastAsia" w:ascii="Times New Roman" w:hAnsi="Times New Roman"/>
          <w:sz w:val="24"/>
          <w:szCs w:val="24"/>
        </w:rPr>
        <w:t>（2）本次模拟按在正常工况和非正常工况状态下两种情形下的污水泄漏对地下水的污染情况进行预测，从预测结果看，正常情况下和非正常工况状态下污染泄漏对地下水环境造成了一定的影响，但影响范围在可控制之内，未造成下游村庄地下水污染。但由于地下水一旦污染就很难恢复，因此，项目建设前，应对污水处理构筑物、事故水池等设施采取严格的防腐防渗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rPr>
        <w:t>综上所述，</w:t>
      </w:r>
      <w:r>
        <w:rPr>
          <w:rFonts w:hint="eastAsia" w:ascii="Times New Roman" w:hAnsi="Times New Roman"/>
          <w:sz w:val="24"/>
          <w:szCs w:val="24"/>
          <w:lang w:val="en-US" w:eastAsia="zh-CN"/>
        </w:rPr>
        <w:t>本</w:t>
      </w:r>
      <w:r>
        <w:rPr>
          <w:rFonts w:hint="eastAsia" w:ascii="Times New Roman" w:hAnsi="Times New Roman"/>
          <w:sz w:val="24"/>
          <w:szCs w:val="24"/>
        </w:rPr>
        <w:t>项目通过严格落实各项环保治理措施，对场区输水管网、污水处理设施进行防渗漏处理，杜绝各种污水下渗对地下水造成的污染，综合考虑水文地质条件、地下水保护目标等因素，从水文地质角度分析，该项目建设可行。</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32" w:name="_Toc26878"/>
      <w:bookmarkStart w:id="33" w:name="_Toc7917"/>
      <w:r>
        <w:rPr>
          <w:rFonts w:hint="eastAsia" w:ascii="Times New Roman" w:hAnsi="Times New Roman" w:eastAsia="宋体" w:cs="Times New Roman"/>
          <w:lang w:val="en-US" w:eastAsia="zh-CN"/>
        </w:rPr>
        <w:t>6</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4</w:t>
      </w:r>
      <w:r>
        <w:rPr>
          <w:rFonts w:hint="eastAsia" w:ascii="宋体" w:hAnsi="宋体" w:eastAsia="宋体" w:cs="宋体"/>
          <w:lang w:val="en-US" w:eastAsia="zh-CN"/>
        </w:rPr>
        <w:t>噪声环境影响预测与评价</w:t>
      </w:r>
      <w:bookmarkEnd w:id="32"/>
      <w:bookmarkEnd w:id="33"/>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eastAsia="宋体"/>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4</w:t>
      </w:r>
      <w:r>
        <w:rPr>
          <w:rFonts w:hint="default" w:ascii="Times New Roman" w:hAnsi="Times New Roman" w:cs="Times New Roman"/>
          <w:b/>
          <w:bCs/>
          <w:color w:val="auto"/>
          <w:sz w:val="28"/>
          <w:szCs w:val="28"/>
        </w:rPr>
        <w:t>.1</w:t>
      </w:r>
      <w:r>
        <w:rPr>
          <w:b/>
          <w:bCs/>
          <w:color w:val="auto"/>
          <w:sz w:val="28"/>
          <w:szCs w:val="28"/>
        </w:rPr>
        <w:t xml:space="preserve"> </w:t>
      </w:r>
      <w:r>
        <w:rPr>
          <w:rFonts w:hint="eastAsia"/>
          <w:b/>
          <w:bCs/>
          <w:color w:val="auto"/>
          <w:sz w:val="28"/>
          <w:szCs w:val="28"/>
          <w:lang w:val="en-US" w:eastAsia="zh-CN"/>
        </w:rPr>
        <w:t>噪声源分析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b w:val="0"/>
          <w:bCs w:val="0"/>
          <w:sz w:val="24"/>
          <w:szCs w:val="24"/>
          <w:highlight w:val="none"/>
          <w:lang w:val="en-US" w:eastAsia="zh-CN"/>
        </w:rPr>
      </w:pPr>
      <w:r>
        <w:rPr>
          <w:rFonts w:hint="eastAsia" w:ascii="Times New Roman" w:hAnsi="Times New Roman" w:cs="Times New Roman"/>
          <w:b w:val="0"/>
          <w:bCs w:val="0"/>
          <w:sz w:val="24"/>
          <w:szCs w:val="24"/>
          <w:highlight w:val="none"/>
          <w:lang w:val="en-US" w:eastAsia="zh-CN"/>
        </w:rPr>
        <w:t>各噪声源到各预测点距离见表6.4-1。</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0" w:firstLineChars="0"/>
        <w:jc w:val="center"/>
        <w:textAlignment w:val="auto"/>
        <w:rPr>
          <w:rFonts w:hint="eastAsia" w:cs="Times New Roman"/>
          <w:b/>
          <w:bCs/>
          <w:color w:val="auto"/>
          <w:sz w:val="24"/>
          <w:szCs w:val="24"/>
          <w:lang w:val="en-US" w:eastAsia="zh-CN"/>
        </w:rPr>
      </w:pPr>
      <w:r>
        <w:rPr>
          <w:rFonts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lang w:val="en-US" w:eastAsia="zh-CN"/>
        </w:rPr>
        <w:t>6.</w:t>
      </w:r>
      <w:r>
        <w:rPr>
          <w:rFonts w:hint="eastAsia" w:ascii="Times New Roman" w:hAnsi="Times New Roman" w:cs="Times New Roman"/>
          <w:b/>
          <w:bCs/>
          <w:color w:val="auto"/>
          <w:sz w:val="24"/>
          <w:szCs w:val="24"/>
          <w:lang w:val="en-US" w:eastAsia="zh-CN"/>
        </w:rPr>
        <w:t>4</w:t>
      </w:r>
      <w:r>
        <w:rPr>
          <w:rFonts w:hint="default" w:ascii="Times New Roman" w:hAnsi="Times New Roman" w:eastAsia="宋体" w:cs="Times New Roman"/>
          <w:b/>
          <w:bCs/>
          <w:color w:val="auto"/>
          <w:sz w:val="24"/>
          <w:szCs w:val="24"/>
        </w:rPr>
        <w:t>-</w:t>
      </w:r>
      <w:r>
        <w:rPr>
          <w:rFonts w:hint="eastAsia" w:ascii="Times New Roman" w:hAnsi="Times New Roman" w:cs="Times New Roman"/>
          <w:b/>
          <w:bCs/>
          <w:color w:val="auto"/>
          <w:sz w:val="24"/>
          <w:szCs w:val="24"/>
          <w:lang w:val="en-US" w:eastAsia="zh-CN"/>
        </w:rPr>
        <w:t>1</w:t>
      </w:r>
      <w:r>
        <w:rPr>
          <w:rFonts w:ascii="Times New Roman" w:hAnsi="Times New Roman" w:eastAsia="宋体" w:cs="Times New Roman"/>
          <w:b/>
          <w:bCs/>
          <w:color w:val="auto"/>
          <w:sz w:val="24"/>
          <w:szCs w:val="24"/>
        </w:rPr>
        <w:t xml:space="preserve"> </w:t>
      </w:r>
      <w:r>
        <w:rPr>
          <w:rFonts w:cs="Times New Roman"/>
          <w:b/>
          <w:bCs/>
          <w:color w:val="auto"/>
          <w:sz w:val="24"/>
          <w:szCs w:val="24"/>
        </w:rPr>
        <w:t xml:space="preserve"> </w:t>
      </w:r>
      <w:r>
        <w:rPr>
          <w:rFonts w:hint="eastAsia" w:cs="Times New Roman"/>
          <w:b/>
          <w:bCs/>
          <w:color w:val="auto"/>
          <w:sz w:val="24"/>
          <w:szCs w:val="24"/>
          <w:lang w:val="en-US" w:eastAsia="zh-CN"/>
        </w:rPr>
        <w:t>各噪声源到各预测点位的距离 单位：</w:t>
      </w:r>
      <w:r>
        <w:rPr>
          <w:rFonts w:hint="default" w:ascii="Times New Roman" w:hAnsi="Times New Roman" w:cs="Times New Roman"/>
          <w:b/>
          <w:bCs/>
          <w:color w:val="auto"/>
          <w:sz w:val="24"/>
          <w:szCs w:val="24"/>
          <w:lang w:val="en-US" w:eastAsia="zh-CN"/>
        </w:rPr>
        <w:t>m</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噪声源</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位置</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东厂界</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西厂界</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北厂界</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 xml:space="preserve">南厂界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木片筛</w:t>
            </w:r>
          </w:p>
        </w:tc>
        <w:tc>
          <w:tcPr>
            <w:tcW w:w="1420"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备料车间</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142</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58</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100</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再碎机</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141</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55</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102</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木片洗涤机</w:t>
            </w:r>
          </w:p>
        </w:tc>
        <w:tc>
          <w:tcPr>
            <w:tcW w:w="1420"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化机浆车间</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166</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34</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130</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磨浆机</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167</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33</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132</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卸料螺旋</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166</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35</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135</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喂料螺旋</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165</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33</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136</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压力筛</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159</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34</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140</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旋风分离器</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165</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36</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141</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旋风压榨机</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166</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35</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135</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泵</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168</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35</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140</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离心机</w:t>
            </w:r>
          </w:p>
        </w:tc>
        <w:tc>
          <w:tcPr>
            <w:tcW w:w="1420"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MVR系统</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143</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50</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72</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过滤机</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141</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48</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70</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各类泵</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142</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51</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75</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885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vertAlign w:val="baseline"/>
                <w:lang w:val="en-US" w:eastAsia="zh-CN"/>
              </w:rPr>
              <w:t>风机</w:t>
            </w:r>
          </w:p>
        </w:tc>
        <w:tc>
          <w:tcPr>
            <w:tcW w:w="1420"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RTO系统</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146</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56</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27</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vertAlign w:val="baseline"/>
                <w:lang w:val="en-US" w:eastAsia="zh-CN"/>
              </w:rPr>
              <w:t>阻风箱</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145</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56</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25</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965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20" w:type="dxa"/>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vertAlign w:val="baseline"/>
                <w:lang w:val="en-US" w:eastAsia="zh-CN"/>
              </w:rPr>
              <w:t>各类泵</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145</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55</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26</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950</w:t>
            </w:r>
          </w:p>
        </w:tc>
      </w:tr>
    </w:tbl>
    <w:p>
      <w:pPr>
        <w:pStyle w:val="2"/>
        <w:keepNext w:val="0"/>
        <w:keepLines w:val="0"/>
        <w:pageBreakBefore w:val="0"/>
        <w:widowControl w:val="0"/>
        <w:kinsoku/>
        <w:wordWrap/>
        <w:overflowPunct/>
        <w:topLinePunct w:val="0"/>
        <w:autoSpaceDE/>
        <w:autoSpaceDN/>
        <w:bidi w:val="0"/>
        <w:adjustRightInd/>
        <w:snapToGrid w:val="0"/>
        <w:spacing w:before="157" w:beforeLines="50" w:line="360" w:lineRule="auto"/>
        <w:ind w:left="0" w:leftChars="0" w:firstLine="0" w:firstLineChars="0"/>
        <w:textAlignment w:val="auto"/>
        <w:rPr>
          <w:rFonts w:hint="default" w:eastAsia="宋体"/>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4</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b/>
          <w:bCs/>
          <w:color w:val="auto"/>
          <w:sz w:val="28"/>
          <w:szCs w:val="28"/>
        </w:rPr>
        <w:t xml:space="preserve"> </w:t>
      </w:r>
      <w:r>
        <w:rPr>
          <w:rFonts w:hint="eastAsia"/>
          <w:b/>
          <w:bCs/>
          <w:color w:val="auto"/>
          <w:sz w:val="28"/>
          <w:szCs w:val="28"/>
          <w:lang w:val="en-US" w:eastAsia="zh-CN"/>
        </w:rPr>
        <w:t>噪声影响预测模式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b w:val="0"/>
          <w:bCs w:val="0"/>
          <w:sz w:val="24"/>
          <w:szCs w:val="24"/>
          <w:highlight w:val="none"/>
          <w:lang w:val="en-US" w:eastAsia="zh-CN"/>
        </w:rPr>
      </w:pPr>
      <w:r>
        <w:rPr>
          <w:rFonts w:hint="eastAsia" w:ascii="Times New Roman" w:hAnsi="Times New Roman" w:eastAsia="宋体" w:cs="Times New Roman"/>
          <w:b w:val="0"/>
          <w:bCs w:val="0"/>
          <w:sz w:val="24"/>
          <w:szCs w:val="24"/>
          <w:highlight w:val="none"/>
          <w:lang w:val="en-US" w:eastAsia="zh-CN"/>
        </w:rPr>
        <w:t>按照《环境影响评价技术导则 声环境》（HJ2.4-2009）中推荐的模式进行预测，预测模式如下：</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单个室外的点声源在预测点产生的声级计算基本公式。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（1）如已知声源的倍频带声功率级（从63Hz到8KHz 标称频带中心频率的8个倍频带），预测点位置的倍频带声压级L</w:t>
      </w:r>
      <w:r>
        <w:rPr>
          <w:rFonts w:hint="default" w:ascii="Times New Roman" w:hAnsi="Times New Roman" w:eastAsia="宋体"/>
          <w:sz w:val="24"/>
          <w:szCs w:val="24"/>
          <w:vertAlign w:val="subscript"/>
          <w:lang w:val="en-US" w:eastAsia="zh-CN"/>
        </w:rPr>
        <w:t xml:space="preserve">P </w:t>
      </w:r>
      <w:r>
        <w:rPr>
          <w:rFonts w:hint="default" w:ascii="Times New Roman" w:hAnsi="Times New Roman" w:eastAsia="宋体"/>
          <w:sz w:val="24"/>
          <w:szCs w:val="24"/>
          <w:lang w:val="en-US" w:eastAsia="zh-CN"/>
        </w:rPr>
        <w:t>(r)可按公式（A.1）计算：</w:t>
      </w:r>
    </w:p>
    <w:p>
      <w:pPr>
        <w:pStyle w:val="2"/>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lang w:val="en-US" w:eastAsia="zh-CN"/>
        </w:rPr>
        <w:t xml:space="preserve">              </w:t>
      </w:r>
      <w:r>
        <w:rPr>
          <w:rFonts w:hint="default" w:ascii="Times New Roman" w:hAnsi="Times New Roman" w:eastAsia="宋体"/>
          <w:position w:val="-14"/>
          <w:lang w:val="en-US" w:eastAsia="zh-CN"/>
        </w:rPr>
        <w:object>
          <v:shape id="_x0000_i1036" o:spt="75" type="#_x0000_t75" style="height:19pt;width:96pt;" o:ole="t" filled="f" o:preferrelative="t" stroked="f" coordsize="21600,21600">
            <v:path/>
            <v:fill on="f" focussize="0,0"/>
            <v:stroke on="f"/>
            <v:imagedata r:id="rId131" o:title=""/>
            <o:lock v:ext="edit" aspectratio="t"/>
            <w10:wrap type="none"/>
            <w10:anchorlock/>
          </v:shape>
          <o:OLEObject Type="Embed" ProgID="Equation.KSEE3" ShapeID="_x0000_i1036" DrawAspect="Content" ObjectID="_1468075736" r:id="rId130">
            <o:LockedField>false</o:LockedField>
          </o:OLEObject>
        </w:object>
      </w:r>
      <w:r>
        <w:rPr>
          <w:rFonts w:hint="eastAsia" w:ascii="Times New Roman" w:hAnsi="Times New Roman" w:eastAsia="宋体"/>
          <w:lang w:val="en-US" w:eastAsia="zh-CN"/>
        </w:rPr>
        <w:t xml:space="preserve">           </w:t>
      </w:r>
      <w:r>
        <w:rPr>
          <w:rFonts w:hint="default" w:ascii="Times New Roman" w:hAnsi="Times New Roman" w:eastAsia="宋体" w:cs="Times New Roman"/>
          <w:lang w:val="en-US" w:eastAsia="zh-CN"/>
        </w:rPr>
        <w:t>（</w:t>
      </w:r>
      <w:r>
        <w:rPr>
          <w:rFonts w:hint="default" w:ascii="Times New Roman" w:hAnsi="Times New Roman" w:eastAsia="宋体" w:cs="Times New Roman"/>
          <w:sz w:val="24"/>
          <w:szCs w:val="24"/>
          <w:lang w:val="en-US" w:eastAsia="zh-CN"/>
        </w:rPr>
        <w:t>A.1</w:t>
      </w:r>
      <w:r>
        <w:rPr>
          <w:rFonts w:hint="default" w:ascii="Times New Roman" w:hAnsi="Times New Roman" w:eastAsia="宋体" w:cs="Times New Roman"/>
          <w:lang w:val="en-US" w:eastAsia="zh-CN"/>
        </w:rPr>
        <w:t>）</w:t>
      </w:r>
      <w:r>
        <w:rPr>
          <w:rFonts w:hint="default" w:ascii="Times New Roman" w:hAnsi="Times New Roman" w:eastAsia="宋体" w:cs="Times New Roman"/>
          <w:sz w:val="24"/>
          <w:szCs w:val="24"/>
          <w:lang w:val="en-US" w:eastAsia="zh-CN"/>
        </w:rPr>
        <w:t xml:space="preserve"> </w:t>
      </w:r>
    </w:p>
    <w:p>
      <w:pPr>
        <w:pStyle w:val="17"/>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lang w:val="en-US" w:eastAsia="zh-CN"/>
        </w:rPr>
      </w:pPr>
      <w:r>
        <w:rPr>
          <w:rFonts w:hint="default" w:ascii="Times New Roman" w:hAnsi="Times New Roman" w:eastAsia="宋体"/>
          <w:position w:val="-14"/>
          <w:lang w:val="en-US" w:eastAsia="zh-CN"/>
        </w:rPr>
        <w:object>
          <v:shape id="_x0000_i1037" o:spt="75" type="#_x0000_t75" style="height:19pt;width:159pt;" o:ole="t" filled="f" o:preferrelative="t" stroked="f" coordsize="21600,21600">
            <v:path/>
            <v:fill on="f" focussize="0,0"/>
            <v:stroke on="f"/>
            <v:imagedata r:id="rId133" o:title=""/>
            <o:lock v:ext="edit" aspectratio="t"/>
            <w10:wrap type="none"/>
            <w10:anchorlock/>
          </v:shape>
          <o:OLEObject Type="Embed" ProgID="Equation.KSEE3" ShapeID="_x0000_i1037" DrawAspect="Content" ObjectID="_1468075737" r:id="rId132">
            <o:LockedField>false</o:LockedField>
          </o:OLEObject>
        </w:objec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ascii="Times New Roman" w:hAnsi="Times New Roman" w:eastAsia="宋体"/>
        </w:rPr>
      </w:pPr>
      <w:r>
        <w:rPr>
          <w:rFonts w:hint="eastAsia" w:ascii="Times New Roman" w:hAnsi="Times New Roman" w:eastAsia="宋体" w:cs="宋体"/>
          <w:color w:val="000000"/>
          <w:kern w:val="0"/>
          <w:sz w:val="24"/>
          <w:szCs w:val="24"/>
          <w:lang w:val="en-US" w:eastAsia="zh-CN" w:bidi="ar"/>
        </w:rPr>
        <w:t xml:space="preserve">式中：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ascii="Times New Roman" w:hAnsi="Times New Roman" w:eastAsia="宋体"/>
          <w:sz w:val="24"/>
          <w:szCs w:val="24"/>
        </w:rPr>
      </w:pPr>
      <w:r>
        <w:rPr>
          <w:rFonts w:ascii="Times New Roman" w:hAnsi="Times New Roman" w:eastAsia="宋体" w:cs="Italic"/>
          <w:i/>
          <w:color w:val="000000"/>
          <w:kern w:val="0"/>
          <w:sz w:val="24"/>
          <w:szCs w:val="24"/>
          <w:lang w:val="en-US" w:eastAsia="zh-CN" w:bidi="ar"/>
        </w:rPr>
        <w:t>L</w:t>
      </w:r>
      <w:r>
        <w:rPr>
          <w:rFonts w:hint="default" w:ascii="Times New Roman" w:hAnsi="Times New Roman" w:eastAsia="宋体" w:cs="Italic"/>
          <w:i/>
          <w:color w:val="000000"/>
          <w:kern w:val="0"/>
          <w:sz w:val="24"/>
          <w:szCs w:val="24"/>
          <w:lang w:val="en-US" w:eastAsia="zh-CN" w:bidi="ar"/>
        </w:rPr>
        <w:t xml:space="preserve">w </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宋体"/>
          <w:color w:val="000000"/>
          <w:kern w:val="0"/>
          <w:sz w:val="24"/>
          <w:szCs w:val="24"/>
          <w:lang w:val="en-US" w:eastAsia="zh-CN" w:bidi="ar"/>
        </w:rPr>
        <w:t>倍频带声功率级，</w:t>
      </w:r>
      <w:r>
        <w:rPr>
          <w:rFonts w:hint="default" w:ascii="Times New Roman" w:hAnsi="Times New Roman" w:eastAsia="宋体" w:cs="Times New Roman"/>
          <w:color w:val="000000"/>
          <w:kern w:val="0"/>
          <w:sz w:val="24"/>
          <w:szCs w:val="24"/>
          <w:lang w:val="en-US" w:eastAsia="zh-CN" w:bidi="ar"/>
        </w:rPr>
        <w:t>dB</w:t>
      </w:r>
      <w:r>
        <w:rPr>
          <w:rFonts w:hint="eastAsia" w:ascii="Times New Roman" w:hAnsi="Times New Roman"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both"/>
        <w:textAlignment w:val="auto"/>
        <w:rPr>
          <w:rFonts w:ascii="Times New Roman" w:hAnsi="Times New Roman" w:eastAsia="宋体"/>
          <w:sz w:val="24"/>
          <w:szCs w:val="24"/>
        </w:rPr>
      </w:pPr>
      <w:r>
        <w:rPr>
          <w:rFonts w:hint="default" w:ascii="Times New Roman" w:hAnsi="Times New Roman" w:eastAsia="宋体" w:cs="Italic"/>
          <w:i/>
          <w:color w:val="000000"/>
          <w:kern w:val="0"/>
          <w:sz w:val="24"/>
          <w:szCs w:val="24"/>
          <w:lang w:val="en-US" w:eastAsia="zh-CN" w:bidi="ar"/>
        </w:rPr>
        <w:t xml:space="preserve">Dc </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宋体"/>
          <w:color w:val="000000"/>
          <w:kern w:val="0"/>
          <w:sz w:val="24"/>
          <w:szCs w:val="24"/>
          <w:lang w:val="en-US" w:eastAsia="zh-CN" w:bidi="ar"/>
        </w:rPr>
        <w:t>指向性校正，</w:t>
      </w:r>
      <w:r>
        <w:rPr>
          <w:rFonts w:hint="default" w:ascii="Times New Roman" w:hAnsi="Times New Roman" w:eastAsia="宋体" w:cs="Times New Roman"/>
          <w:color w:val="000000"/>
          <w:kern w:val="0"/>
          <w:sz w:val="24"/>
          <w:szCs w:val="24"/>
          <w:lang w:val="en-US" w:eastAsia="zh-CN" w:bidi="ar"/>
        </w:rPr>
        <w:t>dB</w:t>
      </w:r>
      <w:r>
        <w:rPr>
          <w:rFonts w:hint="eastAsia" w:ascii="Times New Roman" w:hAnsi="Times New Roman" w:eastAsia="宋体" w:cs="宋体"/>
          <w:color w:val="000000"/>
          <w:kern w:val="0"/>
          <w:sz w:val="24"/>
          <w:szCs w:val="24"/>
          <w:lang w:val="en-US" w:eastAsia="zh-CN" w:bidi="ar"/>
        </w:rPr>
        <w:t>；它描述点声源的等效连续声压级与产生声功率级</w:t>
      </w:r>
      <w:r>
        <w:rPr>
          <w:rFonts w:hint="default" w:ascii="Times New Roman" w:hAnsi="Times New Roman" w:eastAsia="宋体" w:cs="Italic"/>
          <w:i/>
          <w:color w:val="000000"/>
          <w:kern w:val="0"/>
          <w:sz w:val="24"/>
          <w:szCs w:val="24"/>
          <w:lang w:val="en-US" w:eastAsia="zh-CN" w:bidi="ar"/>
        </w:rPr>
        <w:t>L</w:t>
      </w:r>
      <w:r>
        <w:rPr>
          <w:rFonts w:hint="default" w:ascii="Times New Roman" w:hAnsi="Times New Roman" w:eastAsia="宋体" w:cs="Italic"/>
          <w:i/>
          <w:color w:val="000000"/>
          <w:kern w:val="0"/>
          <w:sz w:val="24"/>
          <w:szCs w:val="24"/>
          <w:vertAlign w:val="subscript"/>
          <w:lang w:val="en-US" w:eastAsia="zh-CN" w:bidi="ar"/>
        </w:rPr>
        <w:t>w</w:t>
      </w:r>
      <w:r>
        <w:rPr>
          <w:rFonts w:hint="default" w:ascii="Times New Roman" w:hAnsi="Times New Roman" w:eastAsia="宋体" w:cs="Italic"/>
          <w:i/>
          <w:color w:val="000000"/>
          <w:kern w:val="0"/>
          <w:sz w:val="24"/>
          <w:szCs w:val="24"/>
          <w:lang w:val="en-US" w:eastAsia="zh-CN" w:bidi="ar"/>
        </w:rPr>
        <w:t xml:space="preserve"> </w:t>
      </w:r>
      <w:r>
        <w:rPr>
          <w:rFonts w:hint="eastAsia" w:ascii="Times New Roman" w:hAnsi="Times New Roman" w:eastAsia="宋体" w:cs="宋体"/>
          <w:color w:val="000000"/>
          <w:kern w:val="0"/>
          <w:sz w:val="24"/>
          <w:szCs w:val="24"/>
          <w:lang w:val="en-US" w:eastAsia="zh-CN" w:bidi="ar"/>
        </w:rPr>
        <w:t>的全向点声源在规定方向的级的偏差程度。指向性校正等于点声源的指向性指数</w:t>
      </w:r>
      <w:r>
        <w:rPr>
          <w:rFonts w:hint="default" w:ascii="Times New Roman" w:hAnsi="Times New Roman" w:eastAsia="宋体" w:cs="Italic"/>
          <w:i/>
          <w:color w:val="000000"/>
          <w:kern w:val="0"/>
          <w:sz w:val="24"/>
          <w:szCs w:val="24"/>
          <w:lang w:val="en-US" w:eastAsia="zh-CN" w:bidi="ar"/>
        </w:rPr>
        <w:t>DI</w:t>
      </w:r>
      <w:r>
        <w:rPr>
          <w:rFonts w:hint="eastAsia" w:ascii="Times New Roman" w:hAnsi="Times New Roman" w:eastAsia="宋体" w:cs="宋体"/>
          <w:color w:val="000000"/>
          <w:kern w:val="0"/>
          <w:sz w:val="24"/>
          <w:szCs w:val="24"/>
          <w:lang w:val="en-US" w:eastAsia="zh-CN" w:bidi="ar"/>
        </w:rPr>
        <w:t>加上计到小于</w:t>
      </w:r>
      <w:r>
        <w:rPr>
          <w:rFonts w:hint="default" w:ascii="Times New Roman" w:hAnsi="Times New Roman" w:eastAsia="宋体" w:cs="Times New Roman"/>
          <w:color w:val="000000"/>
          <w:kern w:val="0"/>
          <w:sz w:val="24"/>
          <w:szCs w:val="24"/>
          <w:lang w:val="en-US" w:eastAsia="zh-CN" w:bidi="ar"/>
        </w:rPr>
        <w:t>4π</w:t>
      </w:r>
      <w:r>
        <w:rPr>
          <w:rFonts w:hint="eastAsia" w:ascii="Times New Roman" w:hAnsi="Times New Roman" w:eastAsia="宋体" w:cs="宋体"/>
          <w:color w:val="000000"/>
          <w:kern w:val="0"/>
          <w:sz w:val="24"/>
          <w:szCs w:val="24"/>
          <w:lang w:val="en-US" w:eastAsia="zh-CN" w:bidi="ar"/>
        </w:rPr>
        <w:t>球面度</w:t>
      </w:r>
      <w:r>
        <w:rPr>
          <w:rFonts w:hint="default" w:ascii="Times New Roman" w:hAnsi="Times New Roman" w:eastAsia="宋体" w:cs="Times New Roman"/>
          <w:color w:val="000000"/>
          <w:kern w:val="0"/>
          <w:sz w:val="24"/>
          <w:szCs w:val="24"/>
          <w:lang w:val="en-US" w:eastAsia="zh-CN" w:bidi="ar"/>
        </w:rPr>
        <w:t>(sr)</w:t>
      </w:r>
      <w:r>
        <w:rPr>
          <w:rFonts w:hint="eastAsia" w:ascii="Times New Roman" w:hAnsi="Times New Roman" w:eastAsia="宋体" w:cs="宋体"/>
          <w:color w:val="000000"/>
          <w:kern w:val="0"/>
          <w:sz w:val="24"/>
          <w:szCs w:val="24"/>
          <w:lang w:val="en-US" w:eastAsia="zh-CN" w:bidi="ar"/>
        </w:rPr>
        <w:t>立体角内的声传播指数</w:t>
      </w:r>
      <w:r>
        <w:rPr>
          <w:rFonts w:hint="default" w:ascii="Times New Roman" w:hAnsi="Times New Roman" w:eastAsia="宋体" w:cs="Italic"/>
          <w:i/>
          <w:color w:val="000000"/>
          <w:kern w:val="0"/>
          <w:sz w:val="24"/>
          <w:szCs w:val="24"/>
          <w:lang w:val="en-US" w:eastAsia="zh-CN" w:bidi="ar"/>
        </w:rPr>
        <w:t>D</w:t>
      </w:r>
      <w:r>
        <w:rPr>
          <w:rFonts w:ascii="Times New Roman" w:hAnsi="Times New Roman" w:eastAsia="宋体" w:cs="Symbol"/>
          <w:color w:val="000000"/>
          <w:kern w:val="0"/>
          <w:sz w:val="24"/>
          <w:szCs w:val="24"/>
          <w:vertAlign w:val="subscript"/>
          <w:lang w:val="en-US" w:eastAsia="zh-CN" w:bidi="ar"/>
        </w:rPr>
        <w:t>Ω</w:t>
      </w:r>
      <w:r>
        <w:rPr>
          <w:rFonts w:hint="eastAsia" w:ascii="Times New Roman" w:hAnsi="Times New Roman" w:eastAsia="宋体" w:cs="宋体"/>
          <w:color w:val="000000"/>
          <w:kern w:val="0"/>
          <w:sz w:val="24"/>
          <w:szCs w:val="24"/>
          <w:lang w:val="en-US" w:eastAsia="zh-CN" w:bidi="ar"/>
        </w:rPr>
        <w:t xml:space="preserve">。对辐射到自由空间的全向点声源， </w:t>
      </w:r>
      <w:r>
        <w:rPr>
          <w:rFonts w:hint="default" w:ascii="Times New Roman" w:hAnsi="Times New Roman" w:eastAsia="宋体" w:cs="Italic"/>
          <w:i/>
          <w:color w:val="000000"/>
          <w:kern w:val="0"/>
          <w:sz w:val="24"/>
          <w:szCs w:val="24"/>
          <w:lang w:val="en-US" w:eastAsia="zh-CN" w:bidi="ar"/>
        </w:rPr>
        <w:t>D</w:t>
      </w:r>
      <w:r>
        <w:rPr>
          <w:rFonts w:hint="default" w:ascii="Times New Roman" w:hAnsi="Times New Roman" w:eastAsia="宋体" w:cs="Italic"/>
          <w:i/>
          <w:color w:val="000000"/>
          <w:kern w:val="0"/>
          <w:sz w:val="24"/>
          <w:szCs w:val="24"/>
          <w:vertAlign w:val="subscript"/>
          <w:lang w:val="en-US" w:eastAsia="zh-CN" w:bidi="ar"/>
        </w:rPr>
        <w:t>c</w:t>
      </w:r>
      <w:r>
        <w:rPr>
          <w:rFonts w:hint="default" w:ascii="Times New Roman" w:hAnsi="Times New Roman" w:eastAsia="宋体" w:cs="Italic"/>
          <w:i/>
          <w:color w:val="000000"/>
          <w:kern w:val="0"/>
          <w:sz w:val="24"/>
          <w:szCs w:val="24"/>
          <w:lang w:val="en-US" w:eastAsia="zh-CN" w:bidi="ar"/>
        </w:rPr>
        <w:t xml:space="preserve"> </w:t>
      </w:r>
      <w:r>
        <w:rPr>
          <w:rFonts w:hint="default" w:ascii="Times New Roman" w:hAnsi="Times New Roman" w:eastAsia="宋体" w:cs="Symbol"/>
          <w:color w:val="000000"/>
          <w:kern w:val="0"/>
          <w:sz w:val="24"/>
          <w:szCs w:val="24"/>
          <w:lang w:val="en-US" w:eastAsia="zh-CN" w:bidi="ar"/>
        </w:rPr>
        <w:t xml:space="preserve">= </w:t>
      </w:r>
      <w:r>
        <w:rPr>
          <w:rFonts w:hint="default" w:ascii="Times New Roman" w:hAnsi="Times New Roman" w:eastAsia="宋体" w:cs="Italic"/>
          <w:i/>
          <w:color w:val="000000"/>
          <w:kern w:val="0"/>
          <w:sz w:val="24"/>
          <w:szCs w:val="24"/>
          <w:lang w:val="en-US" w:eastAsia="zh-CN" w:bidi="ar"/>
        </w:rPr>
        <w:t xml:space="preserve">0dB </w:t>
      </w:r>
      <w:r>
        <w:rPr>
          <w:rFonts w:hint="eastAsia" w:ascii="Times New Roman" w:hAnsi="Times New Roman"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ascii="Times New Roman" w:hAnsi="Times New Roman" w:eastAsia="宋体"/>
          <w:sz w:val="24"/>
          <w:szCs w:val="24"/>
        </w:rPr>
      </w:pPr>
      <w:r>
        <w:rPr>
          <w:rFonts w:hint="default" w:ascii="Times New Roman" w:hAnsi="Times New Roman" w:eastAsia="宋体" w:cs="Italic"/>
          <w:i/>
          <w:color w:val="000000"/>
          <w:kern w:val="0"/>
          <w:sz w:val="24"/>
          <w:szCs w:val="24"/>
          <w:lang w:val="en-US" w:eastAsia="zh-CN" w:bidi="ar"/>
        </w:rPr>
        <w:t xml:space="preserve">A </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宋体"/>
          <w:color w:val="000000"/>
          <w:kern w:val="0"/>
          <w:sz w:val="24"/>
          <w:szCs w:val="24"/>
          <w:lang w:val="en-US" w:eastAsia="zh-CN" w:bidi="ar"/>
        </w:rPr>
        <w:t>倍频带衰减，</w:t>
      </w:r>
      <w:r>
        <w:rPr>
          <w:rFonts w:hint="default" w:ascii="Times New Roman" w:hAnsi="Times New Roman" w:eastAsia="宋体" w:cs="Times New Roman"/>
          <w:color w:val="000000"/>
          <w:kern w:val="0"/>
          <w:sz w:val="24"/>
          <w:szCs w:val="24"/>
          <w:lang w:val="en-US" w:eastAsia="zh-CN" w:bidi="ar"/>
        </w:rPr>
        <w:t>dB</w:t>
      </w:r>
      <w:r>
        <w:rPr>
          <w:rFonts w:hint="eastAsia" w:ascii="Times New Roman" w:hAnsi="Times New Roman"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ascii="Times New Roman" w:hAnsi="Times New Roman" w:eastAsia="宋体"/>
          <w:sz w:val="24"/>
          <w:szCs w:val="24"/>
        </w:rPr>
      </w:pPr>
      <w:r>
        <w:rPr>
          <w:rFonts w:hint="default" w:ascii="Times New Roman" w:hAnsi="Times New Roman" w:eastAsia="宋体" w:cs="Italic"/>
          <w:i/>
          <w:color w:val="000000"/>
          <w:kern w:val="0"/>
          <w:sz w:val="24"/>
          <w:szCs w:val="24"/>
          <w:lang w:val="en-US" w:eastAsia="zh-CN" w:bidi="ar"/>
        </w:rPr>
        <w:t>A</w:t>
      </w:r>
      <w:r>
        <w:rPr>
          <w:rFonts w:hint="default" w:ascii="Times New Roman" w:hAnsi="Times New Roman" w:eastAsia="宋体" w:cs="Italic"/>
          <w:i/>
          <w:color w:val="000000"/>
          <w:kern w:val="0"/>
          <w:sz w:val="24"/>
          <w:szCs w:val="24"/>
          <w:vertAlign w:val="subscript"/>
          <w:lang w:val="en-US" w:eastAsia="zh-CN" w:bidi="ar"/>
        </w:rPr>
        <w:t>div</w:t>
      </w:r>
      <w:r>
        <w:rPr>
          <w:rFonts w:hint="default" w:ascii="Times New Roman" w:hAnsi="Times New Roman" w:eastAsia="宋体" w:cs="Italic"/>
          <w:i/>
          <w:color w:val="000000"/>
          <w:kern w:val="0"/>
          <w:sz w:val="24"/>
          <w:szCs w:val="24"/>
          <w:lang w:val="en-US" w:eastAsia="zh-CN" w:bidi="ar"/>
        </w:rPr>
        <w:t xml:space="preserve"> </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宋体"/>
          <w:color w:val="000000"/>
          <w:kern w:val="0"/>
          <w:sz w:val="24"/>
          <w:szCs w:val="24"/>
          <w:lang w:val="en-US" w:eastAsia="zh-CN" w:bidi="ar"/>
        </w:rPr>
        <w:t>几何发散引起的倍频带衰减，</w:t>
      </w:r>
      <w:r>
        <w:rPr>
          <w:rFonts w:hint="default" w:ascii="Times New Roman" w:hAnsi="Times New Roman" w:eastAsia="宋体" w:cs="Times New Roman"/>
          <w:color w:val="000000"/>
          <w:kern w:val="0"/>
          <w:sz w:val="24"/>
          <w:szCs w:val="24"/>
          <w:lang w:val="en-US" w:eastAsia="zh-CN" w:bidi="ar"/>
        </w:rPr>
        <w:t>dB</w:t>
      </w:r>
      <w:r>
        <w:rPr>
          <w:rFonts w:hint="eastAsia" w:ascii="Times New Roman" w:hAnsi="Times New Roman"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ascii="Times New Roman" w:hAnsi="Times New Roman" w:eastAsia="宋体"/>
          <w:sz w:val="24"/>
          <w:szCs w:val="24"/>
        </w:rPr>
      </w:pPr>
      <w:r>
        <w:rPr>
          <w:rFonts w:hint="default" w:ascii="Times New Roman" w:hAnsi="Times New Roman" w:eastAsia="宋体" w:cs="Italic"/>
          <w:i/>
          <w:color w:val="000000"/>
          <w:kern w:val="0"/>
          <w:sz w:val="24"/>
          <w:szCs w:val="24"/>
          <w:lang w:val="en-US" w:eastAsia="zh-CN" w:bidi="ar"/>
        </w:rPr>
        <w:t>A</w:t>
      </w:r>
      <w:r>
        <w:rPr>
          <w:rFonts w:hint="default" w:ascii="Times New Roman" w:hAnsi="Times New Roman" w:eastAsia="宋体" w:cs="Italic"/>
          <w:i/>
          <w:color w:val="000000"/>
          <w:kern w:val="0"/>
          <w:sz w:val="24"/>
          <w:szCs w:val="24"/>
          <w:vertAlign w:val="subscript"/>
          <w:lang w:val="en-US" w:eastAsia="zh-CN" w:bidi="ar"/>
        </w:rPr>
        <w:t>atm</w:t>
      </w:r>
      <w:r>
        <w:rPr>
          <w:rFonts w:hint="default" w:ascii="Times New Roman" w:hAnsi="Times New Roman" w:eastAsia="宋体" w:cs="Italic"/>
          <w:i/>
          <w:color w:val="000000"/>
          <w:kern w:val="0"/>
          <w:sz w:val="24"/>
          <w:szCs w:val="24"/>
          <w:lang w:val="en-US" w:eastAsia="zh-CN" w:bidi="ar"/>
        </w:rPr>
        <w:t xml:space="preserve"> </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宋体"/>
          <w:color w:val="000000"/>
          <w:kern w:val="0"/>
          <w:sz w:val="24"/>
          <w:szCs w:val="24"/>
          <w:lang w:val="en-US" w:eastAsia="zh-CN" w:bidi="ar"/>
        </w:rPr>
        <w:t>大气吸收引起的倍频带衰减，</w:t>
      </w:r>
      <w:r>
        <w:rPr>
          <w:rFonts w:hint="default" w:ascii="Times New Roman" w:hAnsi="Times New Roman" w:eastAsia="宋体" w:cs="Times New Roman"/>
          <w:color w:val="000000"/>
          <w:kern w:val="0"/>
          <w:sz w:val="24"/>
          <w:szCs w:val="24"/>
          <w:lang w:val="en-US" w:eastAsia="zh-CN" w:bidi="ar"/>
        </w:rPr>
        <w:t>dB</w:t>
      </w:r>
      <w:r>
        <w:rPr>
          <w:rFonts w:hint="eastAsia" w:ascii="Times New Roman" w:hAnsi="Times New Roman"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ascii="Times New Roman" w:hAnsi="Times New Roman" w:eastAsia="宋体"/>
          <w:sz w:val="24"/>
          <w:szCs w:val="24"/>
        </w:rPr>
      </w:pPr>
      <w:r>
        <w:rPr>
          <w:rFonts w:hint="default" w:ascii="Times New Roman" w:hAnsi="Times New Roman" w:eastAsia="宋体" w:cs="Italic"/>
          <w:i/>
          <w:color w:val="000000"/>
          <w:kern w:val="0"/>
          <w:sz w:val="24"/>
          <w:szCs w:val="24"/>
          <w:lang w:val="en-US" w:eastAsia="zh-CN" w:bidi="ar"/>
        </w:rPr>
        <w:t>A</w:t>
      </w:r>
      <w:r>
        <w:rPr>
          <w:rFonts w:hint="default" w:ascii="Times New Roman" w:hAnsi="Times New Roman" w:eastAsia="宋体" w:cs="Italic"/>
          <w:i/>
          <w:color w:val="000000"/>
          <w:kern w:val="0"/>
          <w:sz w:val="24"/>
          <w:szCs w:val="24"/>
          <w:vertAlign w:val="subscript"/>
          <w:lang w:val="en-US" w:eastAsia="zh-CN" w:bidi="ar"/>
        </w:rPr>
        <w:t>gr</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宋体"/>
          <w:color w:val="000000"/>
          <w:kern w:val="0"/>
          <w:sz w:val="24"/>
          <w:szCs w:val="24"/>
          <w:lang w:val="en-US" w:eastAsia="zh-CN" w:bidi="ar"/>
        </w:rPr>
        <w:t>地面效应引起的倍频带衰减，</w:t>
      </w:r>
      <w:r>
        <w:rPr>
          <w:rFonts w:hint="default" w:ascii="Times New Roman" w:hAnsi="Times New Roman" w:eastAsia="宋体" w:cs="Times New Roman"/>
          <w:color w:val="000000"/>
          <w:kern w:val="0"/>
          <w:sz w:val="24"/>
          <w:szCs w:val="24"/>
          <w:lang w:val="en-US" w:eastAsia="zh-CN" w:bidi="ar"/>
        </w:rPr>
        <w:t>dB</w:t>
      </w:r>
      <w:r>
        <w:rPr>
          <w:rFonts w:hint="eastAsia" w:ascii="Times New Roman" w:hAnsi="Times New Roman"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ascii="Times New Roman" w:hAnsi="Times New Roman" w:eastAsia="宋体"/>
          <w:sz w:val="24"/>
          <w:szCs w:val="24"/>
        </w:rPr>
      </w:pPr>
      <w:r>
        <w:rPr>
          <w:rFonts w:hint="default" w:ascii="Times New Roman" w:hAnsi="Times New Roman" w:eastAsia="宋体" w:cs="Italic"/>
          <w:i/>
          <w:color w:val="000000"/>
          <w:kern w:val="0"/>
          <w:sz w:val="24"/>
          <w:szCs w:val="24"/>
          <w:lang w:val="en-US" w:eastAsia="zh-CN" w:bidi="ar"/>
        </w:rPr>
        <w:t>A</w:t>
      </w:r>
      <w:r>
        <w:rPr>
          <w:rFonts w:hint="default" w:ascii="Times New Roman" w:hAnsi="Times New Roman" w:eastAsia="宋体" w:cs="Italic"/>
          <w:i/>
          <w:color w:val="000000"/>
          <w:kern w:val="0"/>
          <w:sz w:val="24"/>
          <w:szCs w:val="24"/>
          <w:vertAlign w:val="subscript"/>
          <w:lang w:val="en-US" w:eastAsia="zh-CN" w:bidi="ar"/>
        </w:rPr>
        <w:t>bar</w:t>
      </w:r>
      <w:r>
        <w:rPr>
          <w:rFonts w:hint="default" w:ascii="Times New Roman" w:hAnsi="Times New Roman" w:eastAsia="宋体" w:cs="Italic"/>
          <w:i/>
          <w:color w:val="000000"/>
          <w:kern w:val="0"/>
          <w:sz w:val="24"/>
          <w:szCs w:val="24"/>
          <w:lang w:val="en-US" w:eastAsia="zh-CN" w:bidi="ar"/>
        </w:rPr>
        <w:t>—</w:t>
      </w:r>
      <w:r>
        <w:rPr>
          <w:rFonts w:hint="eastAsia" w:ascii="Times New Roman" w:hAnsi="Times New Roman" w:eastAsia="宋体" w:cs="宋体"/>
          <w:color w:val="000000"/>
          <w:kern w:val="0"/>
          <w:sz w:val="24"/>
          <w:szCs w:val="24"/>
          <w:lang w:val="en-US" w:eastAsia="zh-CN" w:bidi="ar"/>
        </w:rPr>
        <w:t>声屏障引起的倍频带衰减，</w:t>
      </w:r>
      <w:r>
        <w:rPr>
          <w:rFonts w:hint="default" w:ascii="Times New Roman" w:hAnsi="Times New Roman" w:eastAsia="宋体" w:cs="Times New Roman"/>
          <w:color w:val="000000"/>
          <w:kern w:val="0"/>
          <w:sz w:val="24"/>
          <w:szCs w:val="24"/>
          <w:lang w:val="en-US" w:eastAsia="zh-CN" w:bidi="ar"/>
        </w:rPr>
        <w:t>dB</w:t>
      </w:r>
      <w:r>
        <w:rPr>
          <w:rFonts w:hint="eastAsia" w:ascii="Times New Roman" w:hAnsi="Times New Roman"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ascii="Times New Roman" w:hAnsi="Times New Roman" w:eastAsia="宋体"/>
        </w:rPr>
      </w:pPr>
      <w:r>
        <w:rPr>
          <w:rFonts w:hint="default" w:ascii="Times New Roman" w:hAnsi="Times New Roman" w:eastAsia="宋体" w:cs="Italic"/>
          <w:i/>
          <w:color w:val="000000"/>
          <w:kern w:val="0"/>
          <w:sz w:val="24"/>
          <w:szCs w:val="24"/>
          <w:lang w:val="en-US" w:eastAsia="zh-CN" w:bidi="ar"/>
        </w:rPr>
        <w:t>A</w:t>
      </w:r>
      <w:r>
        <w:rPr>
          <w:rFonts w:hint="default" w:ascii="Times New Roman" w:hAnsi="Times New Roman" w:eastAsia="宋体" w:cs="Italic"/>
          <w:i/>
          <w:color w:val="000000"/>
          <w:kern w:val="0"/>
          <w:sz w:val="24"/>
          <w:szCs w:val="24"/>
          <w:vertAlign w:val="subscript"/>
          <w:lang w:val="en-US" w:eastAsia="zh-CN" w:bidi="ar"/>
        </w:rPr>
        <w:t xml:space="preserve">misc </w:t>
      </w:r>
      <w:r>
        <w:rPr>
          <w:rFonts w:hint="default" w:ascii="Times New Roman" w:hAnsi="Times New Roman" w:eastAsia="宋体" w:cs="Times New Roman"/>
          <w:color w:val="000000"/>
          <w:kern w:val="0"/>
          <w:sz w:val="24"/>
          <w:szCs w:val="24"/>
          <w:lang w:val="en-US" w:eastAsia="zh-CN" w:bidi="ar"/>
        </w:rPr>
        <w:t xml:space="preserve">— </w:t>
      </w:r>
      <w:r>
        <w:rPr>
          <w:rFonts w:hint="eastAsia" w:ascii="Times New Roman" w:hAnsi="Times New Roman" w:eastAsia="宋体" w:cs="宋体"/>
          <w:color w:val="000000"/>
          <w:kern w:val="0"/>
          <w:sz w:val="24"/>
          <w:szCs w:val="24"/>
          <w:lang w:val="en-US" w:eastAsia="zh-CN" w:bidi="ar"/>
        </w:rPr>
        <w:t>其他多方面效应引起的倍频带衰减，</w:t>
      </w:r>
      <w:r>
        <w:rPr>
          <w:rFonts w:hint="default" w:ascii="Times New Roman" w:hAnsi="Times New Roman" w:eastAsia="宋体" w:cs="Times New Roman"/>
          <w:color w:val="000000"/>
          <w:kern w:val="0"/>
          <w:sz w:val="24"/>
          <w:szCs w:val="24"/>
          <w:lang w:val="en-US" w:eastAsia="zh-CN" w:bidi="ar"/>
        </w:rPr>
        <w:t>dB</w:t>
      </w:r>
      <w:r>
        <w:rPr>
          <w:rFonts w:hint="eastAsia" w:ascii="Times New Roman" w:hAnsi="Times New Roman" w:eastAsia="宋体" w:cs="宋体"/>
          <w:color w:val="000000"/>
          <w:kern w:val="0"/>
          <w:sz w:val="24"/>
          <w:szCs w:val="24"/>
          <w:lang w:val="en-US" w:eastAsia="zh-CN" w:bidi="ar"/>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ascii="Times New Roman" w:hAnsi="Times New Roman" w:eastAsia="宋体"/>
          <w:sz w:val="24"/>
          <w:szCs w:val="24"/>
        </w:rPr>
      </w:pPr>
      <w:r>
        <w:rPr>
          <w:rFonts w:hint="eastAsia" w:ascii="Times New Roman" w:hAnsi="Times New Roman" w:eastAsia="宋体"/>
          <w:sz w:val="24"/>
          <w:szCs w:val="24"/>
          <w:lang w:val="en-US" w:eastAsia="zh-CN"/>
        </w:rPr>
        <w:t>（</w:t>
      </w:r>
      <w:r>
        <w:rPr>
          <w:rFonts w:hint="default" w:ascii="Times New Roman" w:hAnsi="Times New Roman" w:eastAsia="宋体"/>
          <w:sz w:val="24"/>
          <w:szCs w:val="24"/>
          <w:lang w:val="en-US" w:eastAsia="zh-CN"/>
        </w:rPr>
        <w:t>2</w:t>
      </w:r>
      <w:r>
        <w:rPr>
          <w:rFonts w:hint="eastAsia" w:ascii="Times New Roman" w:hAnsi="Times New Roman" w:eastAsia="宋体"/>
          <w:sz w:val="24"/>
          <w:szCs w:val="24"/>
          <w:lang w:val="en-US" w:eastAsia="zh-CN"/>
        </w:rPr>
        <w:t>）如已知靠近声源处某点的倍频带声压级</w:t>
      </w:r>
      <w:r>
        <w:rPr>
          <w:rFonts w:hint="default" w:ascii="Times New Roman" w:hAnsi="Times New Roman" w:eastAsia="宋体"/>
          <w:sz w:val="24"/>
          <w:szCs w:val="24"/>
          <w:lang w:val="en-US" w:eastAsia="zh-CN"/>
        </w:rPr>
        <w:t>L</w:t>
      </w:r>
      <w:r>
        <w:rPr>
          <w:rFonts w:hint="eastAsia" w:ascii="Times New Roman" w:hAnsi="Times New Roman" w:eastAsia="宋体"/>
          <w:sz w:val="24"/>
          <w:szCs w:val="24"/>
          <w:vertAlign w:val="subscript"/>
          <w:lang w:val="en-US" w:eastAsia="zh-CN"/>
        </w:rPr>
        <w:t>p</w:t>
      </w:r>
      <w:r>
        <w:rPr>
          <w:rFonts w:hint="default" w:ascii="Times New Roman" w:hAnsi="Times New Roman" w:eastAsia="宋体"/>
          <w:sz w:val="24"/>
          <w:szCs w:val="24"/>
          <w:lang w:val="en-US" w:eastAsia="zh-CN"/>
        </w:rPr>
        <w:t>(r</w:t>
      </w:r>
      <w:r>
        <w:rPr>
          <w:rFonts w:hint="default" w:ascii="Times New Roman" w:hAnsi="Times New Roman" w:eastAsia="宋体"/>
          <w:sz w:val="24"/>
          <w:szCs w:val="24"/>
          <w:vertAlign w:val="subscript"/>
          <w:lang w:val="en-US" w:eastAsia="zh-CN"/>
        </w:rPr>
        <w:t>0</w:t>
      </w:r>
      <w:r>
        <w:rPr>
          <w:rFonts w:hint="default" w:ascii="Times New Roman" w:hAnsi="Times New Roman" w:eastAsia="宋体"/>
          <w:sz w:val="24"/>
          <w:szCs w:val="24"/>
          <w:lang w:val="en-US" w:eastAsia="zh-CN"/>
        </w:rPr>
        <w:t xml:space="preserve"> )</w:t>
      </w:r>
      <w:r>
        <w:rPr>
          <w:rFonts w:hint="eastAsia" w:ascii="Times New Roman" w:hAnsi="Times New Roman" w:eastAsia="宋体"/>
          <w:sz w:val="24"/>
          <w:szCs w:val="24"/>
          <w:lang w:val="en-US" w:eastAsia="zh-CN"/>
        </w:rPr>
        <w:t>时，相同方向预测点位置的倍频带声压级</w:t>
      </w:r>
      <w:r>
        <w:rPr>
          <w:rFonts w:hint="default" w:ascii="Times New Roman" w:hAnsi="Times New Roman" w:eastAsia="宋体"/>
          <w:sz w:val="24"/>
          <w:szCs w:val="24"/>
          <w:lang w:val="en-US" w:eastAsia="zh-CN"/>
        </w:rPr>
        <w:t>L</w:t>
      </w:r>
      <w:r>
        <w:rPr>
          <w:rFonts w:hint="eastAsia" w:ascii="Times New Roman" w:hAnsi="Times New Roman" w:eastAsia="宋体"/>
          <w:sz w:val="24"/>
          <w:szCs w:val="24"/>
          <w:vertAlign w:val="subscript"/>
          <w:lang w:val="en-US" w:eastAsia="zh-CN"/>
        </w:rPr>
        <w:t>p</w:t>
      </w:r>
      <w:r>
        <w:rPr>
          <w:rFonts w:hint="default" w:ascii="Times New Roman" w:hAnsi="Times New Roman" w:eastAsia="宋体"/>
          <w:sz w:val="24"/>
          <w:szCs w:val="24"/>
          <w:lang w:val="en-US" w:eastAsia="zh-CN"/>
        </w:rPr>
        <w:t>(r)</w:t>
      </w:r>
      <w:r>
        <w:rPr>
          <w:rFonts w:hint="eastAsia" w:ascii="Times New Roman" w:hAnsi="Times New Roman" w:eastAsia="宋体"/>
          <w:sz w:val="24"/>
          <w:szCs w:val="24"/>
          <w:lang w:val="en-US" w:eastAsia="zh-CN"/>
        </w:rPr>
        <w:t>可按公式（</w:t>
      </w:r>
      <w:r>
        <w:rPr>
          <w:rFonts w:hint="default" w:ascii="Times New Roman" w:hAnsi="Times New Roman" w:eastAsia="宋体"/>
          <w:sz w:val="24"/>
          <w:szCs w:val="24"/>
          <w:lang w:val="en-US" w:eastAsia="zh-CN"/>
        </w:rPr>
        <w:t>A.2</w:t>
      </w:r>
      <w:r>
        <w:rPr>
          <w:rFonts w:hint="eastAsia" w:ascii="Times New Roman" w:hAnsi="Times New Roman" w:eastAsia="宋体"/>
          <w:sz w:val="24"/>
          <w:szCs w:val="24"/>
          <w:lang w:val="en-US" w:eastAsia="zh-CN"/>
        </w:rPr>
        <w:t>）计算：</w:t>
      </w:r>
    </w:p>
    <w:p>
      <w:pPr>
        <w:bidi w:val="0"/>
        <w:jc w:val="center"/>
        <w:rPr>
          <w:rFonts w:hint="default" w:ascii="Times New Roman" w:hAnsi="Times New Roman" w:eastAsia="宋体" w:cs="Times New Roman"/>
          <w:sz w:val="24"/>
          <w:szCs w:val="24"/>
          <w:lang w:val="en-US" w:eastAsia="zh-CN"/>
        </w:rPr>
      </w:pPr>
      <w:r>
        <w:rPr>
          <w:rFonts w:hint="default" w:ascii="Times New Roman" w:hAnsi="Times New Roman" w:eastAsia="宋体"/>
          <w:position w:val="-14"/>
          <w:lang w:val="en-US" w:eastAsia="zh-CN"/>
        </w:rPr>
        <w:object>
          <v:shape id="_x0000_i1038" o:spt="75" type="#_x0000_t75" style="height:19pt;width:88pt;" o:ole="t" filled="f" o:preferrelative="t" stroked="f" coordsize="21600,21600">
            <v:path/>
            <v:fill on="f" focussize="0,0"/>
            <v:stroke on="f"/>
            <v:imagedata r:id="rId135" o:title=""/>
            <o:lock v:ext="edit" aspectratio="t"/>
            <w10:wrap type="none"/>
            <w10:anchorlock/>
          </v:shape>
          <o:OLEObject Type="Embed" ProgID="Equation.KSEE3" ShapeID="_x0000_i1038" DrawAspect="Content" ObjectID="_1468075738" r:id="rId134">
            <o:LockedField>false</o:LockedField>
          </o:OLEObject>
        </w:object>
      </w:r>
      <w:r>
        <w:rPr>
          <w:rFonts w:hint="eastAsia" w:ascii="Times New Roman" w:hAnsi="Times New Roman" w:eastAsia="宋体"/>
          <w:lang w:val="en-US" w:eastAsia="zh-CN"/>
        </w:rPr>
        <w:t xml:space="preserve">      </w:t>
      </w:r>
      <w:r>
        <w:rPr>
          <w:rFonts w:hint="default" w:ascii="Times New Roman" w:hAnsi="Times New Roman" w:eastAsia="宋体" w:cs="Times New Roman"/>
          <w:sz w:val="24"/>
          <w:szCs w:val="24"/>
          <w:lang w:val="en-US" w:eastAsia="zh-CN"/>
        </w:rPr>
        <w:t>（A.2）</w:t>
      </w:r>
    </w:p>
    <w:p>
      <w:pPr>
        <w:bidi w:val="0"/>
        <w:ind w:firstLine="480" w:firstLineChars="200"/>
        <w:jc w:val="both"/>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预测点的A声级LA (r)，可利用8个倍频带的声压级按公式（A.3）计算：</w:t>
      </w:r>
    </w:p>
    <w:p>
      <w:pPr>
        <w:bidi w:val="0"/>
        <w:jc w:val="center"/>
        <w:rPr>
          <w:rFonts w:hint="default" w:ascii="Times New Roman" w:hAnsi="Times New Roman" w:eastAsia="宋体"/>
          <w:lang w:val="en-US" w:eastAsia="zh-CN"/>
        </w:rPr>
      </w:pPr>
      <w:r>
        <w:rPr>
          <w:rFonts w:hint="default" w:ascii="Times New Roman" w:hAnsi="Times New Roman" w:eastAsia="宋体"/>
          <w:position w:val="-30"/>
          <w:lang w:val="en-US" w:eastAsia="zh-CN"/>
        </w:rPr>
        <w:object>
          <v:shape id="_x0000_i1039" o:spt="75" type="#_x0000_t75" style="height:36pt;width:147pt;" o:ole="t" filled="f" o:preferrelative="t" stroked="f" coordsize="21600,21600">
            <v:path/>
            <v:fill on="f" focussize="0,0"/>
            <v:stroke on="f"/>
            <v:imagedata r:id="rId137" o:title=""/>
            <o:lock v:ext="edit" aspectratio="t"/>
            <w10:wrap type="none"/>
            <w10:anchorlock/>
          </v:shape>
          <o:OLEObject Type="Embed" ProgID="Equation.KSEE3" ShapeID="_x0000_i1039" DrawAspect="Content" ObjectID="_1468075739" r:id="rId136">
            <o:LockedField>false</o:LockedField>
          </o:OLEObject>
        </w:object>
      </w:r>
      <w:r>
        <w:rPr>
          <w:rFonts w:hint="eastAsia" w:ascii="Times New Roman" w:hAnsi="Times New Roman" w:eastAsia="宋体"/>
          <w:lang w:val="en-US" w:eastAsia="zh-CN"/>
        </w:rPr>
        <w:t xml:space="preserve">   </w:t>
      </w:r>
      <w:r>
        <w:rPr>
          <w:rFonts w:hint="default" w:ascii="Times New Roman" w:hAnsi="Times New Roman" w:eastAsia="宋体" w:cs="Times New Roman"/>
          <w:sz w:val="24"/>
          <w:szCs w:val="24"/>
          <w:lang w:val="en-US" w:eastAsia="zh-CN"/>
        </w:rPr>
        <w:t>（A.</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式中：</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L</w:t>
      </w:r>
      <w:r>
        <w:rPr>
          <w:rFonts w:hint="default" w:ascii="Times New Roman" w:hAnsi="Times New Roman" w:eastAsia="宋体"/>
          <w:sz w:val="24"/>
          <w:szCs w:val="24"/>
          <w:vertAlign w:val="subscript"/>
          <w:lang w:val="en-US" w:eastAsia="zh-CN"/>
        </w:rPr>
        <w:t>Pi</w:t>
      </w:r>
      <w:r>
        <w:rPr>
          <w:rFonts w:hint="default" w:ascii="Times New Roman" w:hAnsi="Times New Roman" w:eastAsia="宋体"/>
          <w:sz w:val="24"/>
          <w:szCs w:val="24"/>
          <w:lang w:val="en-US" w:eastAsia="zh-CN"/>
        </w:rPr>
        <w:t>(r)</w:t>
      </w:r>
      <w:r>
        <w:rPr>
          <w:rFonts w:hint="eastAsia" w:ascii="Times New Roman" w:hAnsi="Times New Roman" w:eastAsia="宋体"/>
          <w:sz w:val="24"/>
          <w:szCs w:val="24"/>
          <w:lang w:val="en-US" w:eastAsia="zh-CN"/>
        </w:rPr>
        <w:t xml:space="preserve"> </w:t>
      </w:r>
      <w:r>
        <w:rPr>
          <w:rFonts w:hint="default" w:ascii="Times New Roman" w:hAnsi="Times New Roman" w:eastAsia="宋体"/>
          <w:sz w:val="24"/>
          <w:szCs w:val="24"/>
          <w:lang w:val="en-US" w:eastAsia="zh-CN"/>
        </w:rPr>
        <w:t>—预测点（r）处，第i倍频带声压级，dB；</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lang w:val="en-US" w:eastAsia="zh-CN"/>
        </w:rPr>
      </w:pPr>
      <w:r>
        <w:rPr>
          <w:rFonts w:hint="default" w:ascii="Times New Roman" w:hAnsi="Times New Roman" w:eastAsia="宋体"/>
          <w:sz w:val="24"/>
          <w:szCs w:val="24"/>
          <w:lang w:val="en-US" w:eastAsia="zh-CN"/>
        </w:rPr>
        <w:t>Δ</w:t>
      </w:r>
      <w:r>
        <w:rPr>
          <w:rFonts w:hint="default" w:ascii="Times New Roman" w:hAnsi="Times New Roman" w:eastAsia="宋体"/>
          <w:sz w:val="24"/>
          <w:szCs w:val="24"/>
          <w:vertAlign w:val="baseline"/>
          <w:lang w:val="en-US" w:eastAsia="zh-CN"/>
        </w:rPr>
        <w:t>L</w:t>
      </w:r>
      <w:r>
        <w:rPr>
          <w:rFonts w:hint="default" w:ascii="Times New Roman" w:hAnsi="Times New Roman" w:eastAsia="宋体"/>
          <w:sz w:val="24"/>
          <w:szCs w:val="24"/>
          <w:vertAlign w:val="subscript"/>
          <w:lang w:val="en-US" w:eastAsia="zh-CN"/>
        </w:rPr>
        <w:t>i</w:t>
      </w:r>
      <w:r>
        <w:rPr>
          <w:rFonts w:hint="default" w:ascii="Times New Roman" w:hAnsi="Times New Roman" w:eastAsia="宋体"/>
          <w:sz w:val="24"/>
          <w:szCs w:val="24"/>
          <w:lang w:val="en-US" w:eastAsia="zh-CN"/>
        </w:rPr>
        <w:t>—i倍频带A计权网络修正值，dB（见附录B）。</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（3）在不能取得声源倍频带声功率级或倍频带声压级，只能获得A声功率级或某点的A声级时，可按公式（A.4）和（A.5）作近似计算：</w:t>
      </w:r>
    </w:p>
    <w:p>
      <w:pPr>
        <w:pStyle w:val="17"/>
        <w:keepNext w:val="0"/>
        <w:keepLines w:val="0"/>
        <w:pageBreakBefore w:val="0"/>
        <w:widowControl w:val="0"/>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sz w:val="24"/>
          <w:szCs w:val="24"/>
          <w:lang w:val="en-US" w:eastAsia="zh-CN"/>
        </w:rPr>
      </w:pPr>
      <w:r>
        <w:rPr>
          <w:rFonts w:hint="eastAsia" w:ascii="Times New Roman" w:hAnsi="Times New Roman" w:eastAsia="宋体"/>
          <w:sz w:val="24"/>
          <w:szCs w:val="24"/>
          <w:lang w:val="en-US" w:eastAsia="zh-CN"/>
        </w:rPr>
        <w:t xml:space="preserve">       </w:t>
      </w:r>
      <w:r>
        <w:rPr>
          <w:rFonts w:hint="default" w:ascii="Times New Roman" w:hAnsi="Times New Roman" w:eastAsia="宋体"/>
          <w:position w:val="-12"/>
          <w:sz w:val="24"/>
          <w:szCs w:val="24"/>
          <w:lang w:val="en-US" w:eastAsia="zh-CN"/>
        </w:rPr>
        <w:object>
          <v:shape id="_x0000_i1040" o:spt="75" type="#_x0000_t75" style="height:18pt;width:105pt;" o:ole="t" filled="f" o:preferrelative="t" stroked="f" coordsize="21600,21600">
            <v:path/>
            <v:fill on="f" focussize="0,0"/>
            <v:stroke on="f"/>
            <v:imagedata r:id="rId139" o:title=""/>
            <o:lock v:ext="edit" aspectratio="t"/>
            <w10:wrap type="none"/>
            <w10:anchorlock/>
          </v:shape>
          <o:OLEObject Type="Embed" ProgID="Equation.KSEE3" ShapeID="_x0000_i1040" DrawAspect="Content" ObjectID="_1468075740" r:id="rId138">
            <o:LockedField>false</o:LockedField>
          </o:OLEObject>
        </w:object>
      </w:r>
      <w:r>
        <w:rPr>
          <w:rFonts w:hint="eastAsia" w:ascii="Times New Roman" w:hAnsi="Times New Roman" w:eastAsia="宋体"/>
          <w:sz w:val="24"/>
          <w:szCs w:val="24"/>
          <w:lang w:val="en-US" w:eastAsia="zh-CN"/>
        </w:rPr>
        <w:t xml:space="preserve">        </w:t>
      </w:r>
      <w:r>
        <w:rPr>
          <w:rFonts w:hint="default" w:ascii="Times New Roman" w:hAnsi="Times New Roman" w:eastAsia="宋体"/>
          <w:sz w:val="24"/>
          <w:szCs w:val="24"/>
          <w:lang w:val="en-US" w:eastAsia="zh-CN"/>
        </w:rPr>
        <w:t>（A.4）</w:t>
      </w:r>
    </w:p>
    <w:p>
      <w:pPr>
        <w:jc w:val="center"/>
        <w:rPr>
          <w:rFonts w:hint="default" w:ascii="Times New Roman" w:hAnsi="Times New Roman" w:eastAsia="宋体"/>
          <w:lang w:val="en-US" w:eastAsia="zh-CN"/>
        </w:rPr>
      </w:pPr>
      <w:r>
        <w:rPr>
          <w:rFonts w:hint="eastAsia" w:ascii="Times New Roman" w:hAnsi="Times New Roman" w:eastAsia="宋体"/>
          <w:lang w:val="en-US" w:eastAsia="zh-CN"/>
        </w:rPr>
        <w:t xml:space="preserve">  </w:t>
      </w:r>
      <w:r>
        <w:rPr>
          <w:rFonts w:hint="eastAsia" w:ascii="Times New Roman" w:hAnsi="Times New Roman" w:eastAsia="宋体"/>
          <w:sz w:val="24"/>
          <w:szCs w:val="24"/>
          <w:lang w:val="en-US" w:eastAsia="zh-CN"/>
        </w:rPr>
        <w:t>或</w:t>
      </w:r>
      <w:r>
        <w:rPr>
          <w:rFonts w:hint="eastAsia" w:ascii="Times New Roman" w:hAnsi="Times New Roman" w:eastAsia="宋体"/>
          <w:lang w:val="en-US" w:eastAsia="zh-CN"/>
        </w:rPr>
        <w:t xml:space="preserve">  </w:t>
      </w:r>
      <w:r>
        <w:rPr>
          <w:rFonts w:hint="eastAsia" w:ascii="Times New Roman" w:hAnsi="Times New Roman" w:eastAsia="宋体"/>
          <w:position w:val="-12"/>
          <w:lang w:val="en-US" w:eastAsia="zh-CN"/>
        </w:rPr>
        <w:object>
          <v:shape id="_x0000_i1041" o:spt="75" type="#_x0000_t75" style="height:18pt;width:88pt;" o:ole="t" filled="f" o:preferrelative="t" stroked="f" coordsize="21600,21600">
            <v:path/>
            <v:fill on="f" focussize="0,0"/>
            <v:stroke on="f"/>
            <v:imagedata r:id="rId141" o:title=""/>
            <o:lock v:ext="edit" aspectratio="t"/>
            <w10:wrap type="none"/>
            <w10:anchorlock/>
          </v:shape>
          <o:OLEObject Type="Embed" ProgID="Equation.KSEE3" ShapeID="_x0000_i1041" DrawAspect="Content" ObjectID="_1468075741" r:id="rId140">
            <o:LockedField>false</o:LockedField>
          </o:OLEObject>
        </w:object>
      </w:r>
      <w:r>
        <w:rPr>
          <w:rFonts w:hint="eastAsia" w:ascii="Times New Roman" w:hAnsi="Times New Roman" w:eastAsia="宋体"/>
          <w:lang w:val="en-US" w:eastAsia="zh-CN"/>
        </w:rPr>
        <w:t xml:space="preserve">     </w:t>
      </w:r>
      <w:r>
        <w:rPr>
          <w:rFonts w:hint="default" w:ascii="Times New Roman" w:hAnsi="Times New Roman" w:eastAsia="宋体"/>
          <w:sz w:val="24"/>
          <w:szCs w:val="24"/>
          <w:lang w:val="en-US" w:eastAsia="zh-CN"/>
        </w:rPr>
        <w:t>（A.5）</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A可选择对A声级影响最大的倍频带计算，一般可选中心频率为500Hz的倍频带作估算。</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室内声源等效室外声源声功率级计算方法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声源位于室内，室内声源可采用等效室外声源声功率级法进行计算。设靠近开口处（或窗户）室内、室外某倍频带的声压级分别为L</w:t>
      </w:r>
      <w:r>
        <w:rPr>
          <w:rFonts w:hint="default" w:ascii="Times New Roman" w:hAnsi="Times New Roman" w:eastAsia="宋体"/>
          <w:sz w:val="24"/>
          <w:szCs w:val="24"/>
          <w:vertAlign w:val="subscript"/>
          <w:lang w:val="en-US" w:eastAsia="zh-CN"/>
        </w:rPr>
        <w:t>p1</w:t>
      </w:r>
      <w:r>
        <w:rPr>
          <w:rFonts w:hint="default" w:ascii="Times New Roman" w:hAnsi="Times New Roman" w:eastAsia="宋体"/>
          <w:sz w:val="24"/>
          <w:szCs w:val="24"/>
          <w:lang w:val="en-US" w:eastAsia="zh-CN"/>
        </w:rPr>
        <w:t>和L</w:t>
      </w:r>
      <w:r>
        <w:rPr>
          <w:rFonts w:hint="default" w:ascii="Times New Roman" w:hAnsi="Times New Roman" w:eastAsia="宋体"/>
          <w:sz w:val="24"/>
          <w:szCs w:val="24"/>
          <w:vertAlign w:val="subscript"/>
          <w:lang w:val="en-US" w:eastAsia="zh-CN"/>
        </w:rPr>
        <w:t>p2</w:t>
      </w:r>
      <w:r>
        <w:rPr>
          <w:rFonts w:hint="default" w:ascii="Times New Roman" w:hAnsi="Times New Roman" w:eastAsia="宋体"/>
          <w:sz w:val="24"/>
          <w:szCs w:val="24"/>
          <w:lang w:val="en-US" w:eastAsia="zh-CN"/>
        </w:rPr>
        <w:t xml:space="preserve"> 。若声源所在室内声场为近似扩散声场，则室外的倍频带声压级可按公式（A.6）近似求出：</w:t>
      </w:r>
    </w:p>
    <w:p>
      <w:pPr>
        <w:pStyle w:val="2"/>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sz w:val="24"/>
          <w:szCs w:val="24"/>
          <w:lang w:val="en-US" w:eastAsia="zh-CN"/>
        </w:rPr>
      </w:pPr>
      <w:r>
        <w:rPr>
          <w:rFonts w:hint="default" w:ascii="Times New Roman" w:hAnsi="Times New Roman" w:eastAsia="宋体"/>
          <w:position w:val="-14"/>
          <w:sz w:val="24"/>
          <w:szCs w:val="24"/>
          <w:lang w:val="en-US" w:eastAsia="zh-CN"/>
        </w:rPr>
        <w:object>
          <v:shape id="_x0000_i1042" o:spt="75" type="#_x0000_t75" style="height:19pt;width:95pt;" o:ole="t" filled="f" o:preferrelative="t" stroked="f" coordsize="21600,21600">
            <v:path/>
            <v:fill on="f" focussize="0,0"/>
            <v:stroke on="f"/>
            <v:imagedata r:id="rId143" o:title=""/>
            <o:lock v:ext="edit" aspectratio="t"/>
            <w10:wrap type="none"/>
            <w10:anchorlock/>
          </v:shape>
          <o:OLEObject Type="Embed" ProgID="Equation.KSEE3" ShapeID="_x0000_i1042" DrawAspect="Content" ObjectID="_1468075742" r:id="rId142">
            <o:LockedField>false</o:LockedField>
          </o:OLEObject>
        </w:object>
      </w:r>
      <w:r>
        <w:rPr>
          <w:rFonts w:hint="eastAsia" w:ascii="Times New Roman" w:hAnsi="Times New Roman" w:eastAsia="宋体"/>
          <w:sz w:val="24"/>
          <w:szCs w:val="24"/>
          <w:lang w:val="en-US" w:eastAsia="zh-CN"/>
        </w:rPr>
        <w:t xml:space="preserve">       </w:t>
      </w:r>
      <w:r>
        <w:rPr>
          <w:rFonts w:hint="default" w:ascii="Times New Roman" w:hAnsi="Times New Roman" w:eastAsia="宋体" w:cs="Times New Roman"/>
          <w:sz w:val="24"/>
          <w:szCs w:val="24"/>
          <w:lang w:val="en-US" w:eastAsia="zh-CN"/>
        </w:rPr>
        <w:t>（A.6）</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firstLine="720" w:firstLineChars="3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式中：</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firstLine="720" w:firstLineChars="3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 xml:space="preserve">TL—隔墙（或窗户）倍频带的隔声量，dB </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firstLine="720" w:firstLineChars="3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也可按公式（A.7）计算某一室内声源靠近围护结构处产生的倍频带声压级：</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lang w:val="en-US" w:eastAsia="zh-CN"/>
        </w:rPr>
      </w:pPr>
      <w:r>
        <w:rPr>
          <w:rFonts w:hint="default" w:ascii="Times New Roman" w:hAnsi="Times New Roman" w:eastAsia="宋体"/>
          <w:position w:val="-28"/>
          <w:lang w:val="en-US" w:eastAsia="zh-CN"/>
        </w:rPr>
        <w:object>
          <v:shape id="_x0000_i1043" o:spt="75" type="#_x0000_t75" style="height:34pt;width:135pt;" o:ole="t" filled="f" o:preferrelative="t" stroked="f" coordsize="21600,21600">
            <v:path/>
            <v:fill on="f" focussize="0,0"/>
            <v:stroke on="f"/>
            <v:imagedata r:id="rId145" o:title=""/>
            <o:lock v:ext="edit" aspectratio="t"/>
            <w10:wrap type="none"/>
            <w10:anchorlock/>
          </v:shape>
          <o:OLEObject Type="Embed" ProgID="Equation.KSEE3" ShapeID="_x0000_i1043" DrawAspect="Content" ObjectID="_1468075743" r:id="rId144">
            <o:LockedField>false</o:LockedField>
          </o:OLEObject>
        </w:object>
      </w:r>
      <w:r>
        <w:rPr>
          <w:rFonts w:hint="eastAsia" w:ascii="Times New Roman" w:hAnsi="Times New Roman" w:eastAsia="宋体"/>
          <w:lang w:val="en-US" w:eastAsia="zh-CN"/>
        </w:rPr>
        <w:t xml:space="preserve">       </w:t>
      </w:r>
      <w:r>
        <w:rPr>
          <w:rFonts w:hint="default" w:ascii="Times New Roman" w:hAnsi="Times New Roman" w:eastAsia="宋体"/>
          <w:sz w:val="24"/>
          <w:szCs w:val="24"/>
          <w:lang w:val="en-US" w:eastAsia="zh-CN"/>
        </w:rPr>
        <w:t>（A.7）</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式中：</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Q—指向性因数；通常对无指向性声源，当声源放在房间中心时，Q=1；当放在一面墙的中心时，Q=2；当放在两面墙夹角处时，Q=4；当放在三面墙夹角处时，Q=8。</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R—房间常数；R = Sα /(1-α )，S为房间内表面面积，m</w:t>
      </w:r>
      <w:r>
        <w:rPr>
          <w:rFonts w:hint="default" w:ascii="Times New Roman" w:hAnsi="Times New Roman" w:eastAsia="宋体"/>
          <w:sz w:val="24"/>
          <w:szCs w:val="24"/>
          <w:vertAlign w:val="superscript"/>
          <w:lang w:val="en-US" w:eastAsia="zh-CN"/>
        </w:rPr>
        <w:t>2</w:t>
      </w:r>
      <w:r>
        <w:rPr>
          <w:rFonts w:hint="default" w:ascii="Times New Roman" w:hAnsi="Times New Roman" w:eastAsia="宋体"/>
          <w:sz w:val="24"/>
          <w:szCs w:val="24"/>
          <w:lang w:val="en-US" w:eastAsia="zh-CN"/>
        </w:rPr>
        <w:t>；α为平均吸声系数。</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r—声源到靠近围护结构某点处的距离，m。</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然后按公式（A.8）计算出所有室内声源在围护结构处产生的i倍频带叠加声压级：</w:t>
      </w:r>
    </w:p>
    <w:p>
      <w:pPr>
        <w:pStyle w:val="17"/>
        <w:keepNext w:val="0"/>
        <w:keepLines w:val="0"/>
        <w:pageBreakBefore w:val="0"/>
        <w:widowControl w:val="0"/>
        <w:kinsoku/>
        <w:wordWrap/>
        <w:overflowPunct/>
        <w:topLinePunct w:val="0"/>
        <w:autoSpaceDE/>
        <w:autoSpaceDN/>
        <w:bidi w:val="0"/>
        <w:adjustRightInd/>
        <w:snapToGrid w:val="0"/>
        <w:spacing w:after="0" w:line="360" w:lineRule="auto"/>
        <w:jc w:val="center"/>
        <w:textAlignment w:val="auto"/>
        <w:rPr>
          <w:rFonts w:hint="default" w:ascii="Times New Roman" w:hAnsi="Times New Roman" w:eastAsia="宋体"/>
          <w:lang w:val="en-US" w:eastAsia="zh-CN"/>
        </w:rPr>
      </w:pPr>
      <w:r>
        <w:rPr>
          <w:rFonts w:hint="default" w:ascii="Times New Roman" w:hAnsi="Times New Roman" w:eastAsia="宋体"/>
          <w:position w:val="-32"/>
          <w:lang w:val="en-US" w:eastAsia="zh-CN"/>
        </w:rPr>
        <w:object>
          <v:shape id="_x0000_i1044" o:spt="75" type="#_x0000_t75" style="height:38pt;width:131pt;" o:ole="t" filled="f" o:preferrelative="t" stroked="f" coordsize="21600,21600">
            <v:path/>
            <v:fill on="f" focussize="0,0"/>
            <v:stroke on="f"/>
            <v:imagedata r:id="rId147" o:title=""/>
            <o:lock v:ext="edit" aspectratio="t"/>
            <w10:wrap type="none"/>
            <w10:anchorlock/>
          </v:shape>
          <o:OLEObject Type="Embed" ProgID="Equation.KSEE3" ShapeID="_x0000_i1044" DrawAspect="Content" ObjectID="_1468075744" r:id="rId146">
            <o:LockedField>false</o:LockedField>
          </o:OLEObject>
        </w:object>
      </w:r>
      <w:r>
        <w:rPr>
          <w:rFonts w:hint="eastAsia" w:ascii="Times New Roman" w:hAnsi="Times New Roman" w:eastAsia="宋体"/>
          <w:lang w:val="en-US" w:eastAsia="zh-CN"/>
        </w:rPr>
        <w:t xml:space="preserve">    </w:t>
      </w:r>
      <w:r>
        <w:rPr>
          <w:rFonts w:hint="default" w:ascii="Times New Roman" w:hAnsi="Times New Roman" w:eastAsia="宋体"/>
          <w:sz w:val="24"/>
          <w:szCs w:val="24"/>
          <w:lang w:val="en-US" w:eastAsia="zh-CN"/>
        </w:rPr>
        <w:t>（A.8）</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式中：</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L</w:t>
      </w:r>
      <w:r>
        <w:rPr>
          <w:rFonts w:hint="default" w:ascii="Times New Roman" w:hAnsi="Times New Roman" w:eastAsia="宋体"/>
          <w:sz w:val="24"/>
          <w:szCs w:val="24"/>
          <w:vertAlign w:val="subscript"/>
          <w:lang w:val="en-US" w:eastAsia="zh-CN"/>
        </w:rPr>
        <w:t>P1i</w:t>
      </w:r>
      <w:r>
        <w:rPr>
          <w:rFonts w:hint="default" w:ascii="Times New Roman" w:hAnsi="Times New Roman" w:eastAsia="宋体"/>
          <w:sz w:val="24"/>
          <w:szCs w:val="24"/>
          <w:lang w:val="en-US" w:eastAsia="zh-CN"/>
        </w:rPr>
        <w:t xml:space="preserve"> (T)</w:t>
      </w:r>
      <w:r>
        <w:rPr>
          <w:rFonts w:hint="eastAsia" w:ascii="Times New Roman" w:hAnsi="Times New Roman" w:eastAsia="宋体"/>
          <w:sz w:val="24"/>
          <w:szCs w:val="24"/>
          <w:lang w:val="en-US" w:eastAsia="zh-CN"/>
        </w:rPr>
        <w:t xml:space="preserve"> </w:t>
      </w:r>
      <w:r>
        <w:rPr>
          <w:rFonts w:hint="default" w:ascii="Times New Roman" w:hAnsi="Times New Roman" w:eastAsia="宋体"/>
          <w:sz w:val="24"/>
          <w:szCs w:val="24"/>
          <w:lang w:val="en-US" w:eastAsia="zh-CN"/>
        </w:rPr>
        <w:t>—靠近围护结构处室内N个声源i倍频带的叠加声压级，dB；</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L</w:t>
      </w:r>
      <w:r>
        <w:rPr>
          <w:rFonts w:hint="default" w:ascii="Times New Roman" w:hAnsi="Times New Roman" w:eastAsia="宋体"/>
          <w:sz w:val="24"/>
          <w:szCs w:val="24"/>
          <w:vertAlign w:val="subscript"/>
          <w:lang w:val="en-US" w:eastAsia="zh-CN"/>
        </w:rPr>
        <w:t>P1ij</w:t>
      </w:r>
      <w:r>
        <w:rPr>
          <w:rFonts w:hint="default" w:ascii="Times New Roman" w:hAnsi="Times New Roman" w:eastAsia="宋体"/>
          <w:sz w:val="24"/>
          <w:szCs w:val="24"/>
          <w:lang w:val="en-US" w:eastAsia="zh-CN"/>
        </w:rPr>
        <w:t xml:space="preserve"> —室内j声源i倍频带的声压级，dB；</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N—室内声源总数。</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在室内近似为扩散声场时，按公式（A.9）计算出靠近室外围护结构处的声压级：</w:t>
      </w:r>
    </w:p>
    <w:p>
      <w:pPr>
        <w:pStyle w:val="2"/>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lang w:val="en-US" w:eastAsia="zh-CN"/>
        </w:rPr>
      </w:pPr>
      <w:r>
        <w:rPr>
          <w:rFonts w:hint="default" w:ascii="Times New Roman" w:hAnsi="Times New Roman" w:eastAsia="宋体"/>
          <w:position w:val="-12"/>
          <w:lang w:val="en-US" w:eastAsia="zh-CN"/>
        </w:rPr>
        <w:object>
          <v:shape id="_x0000_i1045" o:spt="75" type="#_x0000_t75" style="height:18pt;width:131pt;" o:ole="t" filled="f" o:preferrelative="t" stroked="f" coordsize="21600,21600">
            <v:path/>
            <v:fill on="f" focussize="0,0"/>
            <v:stroke on="f"/>
            <v:imagedata r:id="rId149" o:title=""/>
            <o:lock v:ext="edit" aspectratio="t"/>
            <w10:wrap type="none"/>
            <w10:anchorlock/>
          </v:shape>
          <o:OLEObject Type="Embed" ProgID="Equation.KSEE3" ShapeID="_x0000_i1045" DrawAspect="Content" ObjectID="_1468075745" r:id="rId148">
            <o:LockedField>false</o:LockedField>
          </o:OLEObject>
        </w:object>
      </w:r>
      <w:r>
        <w:rPr>
          <w:rFonts w:hint="eastAsia" w:ascii="Times New Roman" w:hAnsi="Times New Roman" w:eastAsia="宋体"/>
          <w:lang w:val="en-US" w:eastAsia="zh-CN"/>
        </w:rPr>
        <w:t xml:space="preserve">       </w:t>
      </w:r>
      <w:r>
        <w:rPr>
          <w:rFonts w:hint="default" w:ascii="Times New Roman" w:hAnsi="Times New Roman" w:eastAsia="宋体" w:cs="Times New Roman"/>
          <w:sz w:val="24"/>
          <w:szCs w:val="24"/>
          <w:lang w:val="en-US" w:eastAsia="zh-CN"/>
        </w:rPr>
        <w:t>（A.9）</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式中：</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L</w:t>
      </w:r>
      <w:r>
        <w:rPr>
          <w:rFonts w:hint="default" w:ascii="Times New Roman" w:hAnsi="Times New Roman" w:eastAsia="宋体"/>
          <w:sz w:val="24"/>
          <w:szCs w:val="24"/>
          <w:vertAlign w:val="subscript"/>
          <w:lang w:val="en-US" w:eastAsia="zh-CN"/>
        </w:rPr>
        <w:t xml:space="preserve">P2i </w:t>
      </w:r>
      <w:r>
        <w:rPr>
          <w:rFonts w:hint="default" w:ascii="Times New Roman" w:hAnsi="Times New Roman" w:eastAsia="宋体"/>
          <w:sz w:val="24"/>
          <w:szCs w:val="24"/>
          <w:lang w:val="en-US" w:eastAsia="zh-CN"/>
        </w:rPr>
        <w:t>(T)</w:t>
      </w:r>
      <w:r>
        <w:rPr>
          <w:rFonts w:hint="eastAsia" w:ascii="Times New Roman" w:hAnsi="Times New Roman" w:eastAsia="宋体"/>
          <w:sz w:val="24"/>
          <w:szCs w:val="24"/>
          <w:lang w:val="en-US" w:eastAsia="zh-CN"/>
        </w:rPr>
        <w:t xml:space="preserve"> </w:t>
      </w:r>
      <w:r>
        <w:rPr>
          <w:rFonts w:hint="default" w:ascii="Times New Roman" w:hAnsi="Times New Roman" w:eastAsia="宋体"/>
          <w:sz w:val="24"/>
          <w:szCs w:val="24"/>
          <w:lang w:val="en-US" w:eastAsia="zh-CN"/>
        </w:rPr>
        <w:t>—靠近围护结构处室外N个声源i倍频带的叠加声压级，dB；</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T</w:t>
      </w:r>
      <w:r>
        <w:rPr>
          <w:rFonts w:hint="default" w:ascii="Times New Roman" w:hAnsi="Times New Roman" w:eastAsia="宋体"/>
          <w:sz w:val="24"/>
          <w:szCs w:val="24"/>
          <w:vertAlign w:val="subscript"/>
          <w:lang w:val="en-US" w:eastAsia="zh-CN"/>
        </w:rPr>
        <w:t xml:space="preserve">Li </w:t>
      </w:r>
      <w:r>
        <w:rPr>
          <w:rFonts w:hint="default" w:ascii="Times New Roman" w:hAnsi="Times New Roman" w:eastAsia="宋体"/>
          <w:sz w:val="24"/>
          <w:szCs w:val="24"/>
          <w:lang w:val="en-US" w:eastAsia="zh-CN"/>
        </w:rPr>
        <w:t>—</w:t>
      </w:r>
      <w:r>
        <w:rPr>
          <w:rFonts w:hint="eastAsia" w:ascii="Times New Roman" w:hAnsi="Times New Roman" w:eastAsia="宋体"/>
          <w:sz w:val="24"/>
          <w:szCs w:val="24"/>
          <w:lang w:val="en-US" w:eastAsia="zh-CN"/>
        </w:rPr>
        <w:t xml:space="preserve"> </w:t>
      </w:r>
      <w:r>
        <w:rPr>
          <w:rFonts w:hint="default" w:ascii="Times New Roman" w:hAnsi="Times New Roman" w:eastAsia="宋体"/>
          <w:sz w:val="24"/>
          <w:szCs w:val="24"/>
          <w:lang w:val="en-US" w:eastAsia="zh-CN"/>
        </w:rPr>
        <w:t>围护结构i倍频带的隔声量，dB。</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然后按公式（A.10）将室外声源的声压级和透过面积换算成等效的室外声源，计算出中心位置位于透声面积（S）处的等效声源的倍频带声功率级。</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sz w:val="24"/>
          <w:szCs w:val="24"/>
          <w:lang w:val="en-US" w:eastAsia="zh-CN"/>
        </w:rPr>
      </w:pPr>
      <w:r>
        <w:rPr>
          <w:rFonts w:hint="default" w:ascii="Times New Roman" w:hAnsi="Times New Roman" w:eastAsia="宋体"/>
          <w:position w:val="-12"/>
          <w:sz w:val="24"/>
          <w:szCs w:val="24"/>
          <w:lang w:val="en-US" w:eastAsia="zh-CN"/>
        </w:rPr>
        <w:object>
          <v:shape id="_x0000_i1046" o:spt="75" type="#_x0000_t75" style="height:18pt;width:101pt;" o:ole="t" filled="f" o:preferrelative="t" stroked="f" coordsize="21600,21600">
            <v:path/>
            <v:fill on="f" focussize="0,0"/>
            <v:stroke on="f"/>
            <v:imagedata r:id="rId151" o:title=""/>
            <o:lock v:ext="edit" aspectratio="t"/>
            <w10:wrap type="none"/>
            <w10:anchorlock/>
          </v:shape>
          <o:OLEObject Type="Embed" ProgID="Equation.KSEE3" ShapeID="_x0000_i1046" DrawAspect="Content" ObjectID="_1468075746" r:id="rId150">
            <o:LockedField>false</o:LockedField>
          </o:OLEObject>
        </w:object>
      </w:r>
      <w:r>
        <w:rPr>
          <w:rFonts w:hint="eastAsia" w:ascii="Times New Roman" w:hAnsi="Times New Roman" w:eastAsia="宋体"/>
          <w:sz w:val="24"/>
          <w:szCs w:val="24"/>
          <w:lang w:val="en-US" w:eastAsia="zh-CN"/>
        </w:rPr>
        <w:t xml:space="preserve">     </w:t>
      </w:r>
      <w:r>
        <w:rPr>
          <w:rFonts w:hint="default" w:ascii="Times New Roman" w:hAnsi="Times New Roman" w:eastAsia="宋体"/>
          <w:sz w:val="24"/>
          <w:szCs w:val="24"/>
          <w:lang w:val="en-US" w:eastAsia="zh-CN"/>
        </w:rPr>
        <w:t>（A.10）</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然后按室外声源预测方法计算预测点处的</w:t>
      </w:r>
      <w:r>
        <w:rPr>
          <w:rFonts w:hint="default" w:ascii="Times New Roman" w:hAnsi="Times New Roman" w:eastAsia="宋体" w:cs="Times New Roman"/>
          <w:sz w:val="24"/>
          <w:szCs w:val="24"/>
          <w:lang w:val="en-US" w:eastAsia="zh-CN"/>
        </w:rPr>
        <w:t>A</w:t>
      </w:r>
      <w:r>
        <w:rPr>
          <w:rFonts w:hint="default" w:ascii="Times New Roman" w:hAnsi="Times New Roman" w:eastAsia="宋体"/>
          <w:sz w:val="24"/>
          <w:szCs w:val="24"/>
          <w:lang w:val="en-US" w:eastAsia="zh-CN"/>
        </w:rPr>
        <w:t>声级。</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sz w:val="24"/>
          <w:szCs w:val="24"/>
          <w:lang w:val="en-US" w:eastAsia="zh-CN"/>
        </w:rPr>
      </w:pPr>
      <w:r>
        <w:rPr>
          <w:rFonts w:hint="default" w:ascii="Times New Roman" w:hAnsi="Times New Roman" w:eastAsia="宋体"/>
          <w:sz w:val="24"/>
          <w:szCs w:val="24"/>
          <w:lang w:val="en-US" w:eastAsia="zh-CN"/>
        </w:rPr>
        <w:t>靠近声源处的预测点噪声预测模式</w:t>
      </w:r>
      <w:r>
        <w:rPr>
          <w:rFonts w:hint="eastAsia" w:ascii="Times New Roman" w:hAnsi="Times New Roman" w:eastAsia="宋体"/>
          <w:sz w:val="24"/>
          <w:szCs w:val="24"/>
          <w:lang w:val="en-US" w:eastAsia="zh-CN"/>
        </w:rPr>
        <w:t>：</w:t>
      </w:r>
      <w:r>
        <w:rPr>
          <w:rFonts w:hint="default" w:ascii="Times New Roman" w:hAnsi="Times New Roman" w:eastAsia="宋体"/>
          <w:sz w:val="24"/>
          <w:szCs w:val="24"/>
          <w:lang w:val="en-US" w:eastAsia="zh-CN"/>
        </w:rPr>
        <w:t>如预测点在靠近声源处，但不能满足点声源条件时，需按线声源或面声源模式计算</w:t>
      </w:r>
      <w:r>
        <w:rPr>
          <w:rFonts w:hint="eastAsia" w:ascii="Times New Roman" w:hAnsi="Times New Roman" w:eastAsia="宋体"/>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eastAsia="宋体"/>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4</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b/>
          <w:bCs/>
          <w:color w:val="auto"/>
          <w:sz w:val="28"/>
          <w:szCs w:val="28"/>
        </w:rPr>
        <w:t xml:space="preserve"> </w:t>
      </w:r>
      <w:r>
        <w:rPr>
          <w:rFonts w:hint="eastAsia"/>
          <w:b/>
          <w:bCs/>
          <w:color w:val="auto"/>
          <w:sz w:val="28"/>
          <w:szCs w:val="28"/>
          <w:lang w:val="en-US" w:eastAsia="zh-CN"/>
        </w:rPr>
        <w:t>噪声影响预测结果</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sz w:val="24"/>
          <w:szCs w:val="24"/>
          <w:lang w:val="en-US" w:eastAsia="zh-CN"/>
        </w:rPr>
      </w:pPr>
      <w:r>
        <w:rPr>
          <w:rFonts w:hint="default"/>
          <w:sz w:val="24"/>
          <w:szCs w:val="24"/>
          <w:lang w:val="en-US" w:eastAsia="zh-CN"/>
        </w:rPr>
        <w:t>扩建项目厂界噪声贡献值预测见表</w:t>
      </w:r>
      <w:r>
        <w:rPr>
          <w:rFonts w:hint="eastAsia" w:ascii="Times New Roman" w:hAnsi="Times New Roman" w:cs="Times New Roman"/>
          <w:sz w:val="24"/>
          <w:szCs w:val="24"/>
          <w:lang w:val="en-US" w:eastAsia="zh-CN"/>
        </w:rPr>
        <w:t>6.4</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2</w:t>
      </w:r>
      <w:r>
        <w:rPr>
          <w:rFonts w:hint="default"/>
          <w:sz w:val="24"/>
          <w:szCs w:val="24"/>
          <w:lang w:val="en-US" w:eastAsia="zh-CN"/>
        </w:rPr>
        <w:t>，评价结果表间</w:t>
      </w:r>
      <w:r>
        <w:rPr>
          <w:rFonts w:hint="eastAsia" w:ascii="Times New Roman" w:hAnsi="Times New Roman" w:cs="Times New Roman"/>
          <w:sz w:val="24"/>
          <w:szCs w:val="24"/>
          <w:lang w:val="en-US" w:eastAsia="zh-CN"/>
        </w:rPr>
        <w:t>6.4</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3</w:t>
      </w:r>
      <w:r>
        <w:rPr>
          <w:rFonts w:hint="default"/>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afterLines="50"/>
        <w:jc w:val="center"/>
        <w:textAlignment w:val="auto"/>
        <w:rPr>
          <w:rFonts w:hint="eastAsia" w:ascii="Times New Roman" w:hAnsi="Times New Roman" w:eastAsia="宋体"/>
          <w:lang w:val="en-US" w:eastAsia="zh-CN"/>
        </w:rPr>
      </w:pPr>
      <w:r>
        <w:rPr>
          <w:rFonts w:hint="eastAsia" w:ascii="Times New Roman" w:hAnsi="Times New Roman" w:eastAsia="宋体"/>
          <w:b/>
          <w:bCs/>
          <w:sz w:val="24"/>
          <w:szCs w:val="24"/>
          <w:lang w:val="en-US" w:eastAsia="zh-CN"/>
        </w:rPr>
        <w:t xml:space="preserve">表6.4-2 </w:t>
      </w:r>
      <w:r>
        <w:rPr>
          <w:rFonts w:hint="eastAsia" w:ascii="Times New Roman" w:hAnsi="Times New Roman" w:eastAsia="宋体"/>
          <w:b/>
          <w:bCs/>
          <w:sz w:val="24"/>
          <w:szCs w:val="24"/>
          <w:highlight w:val="none"/>
          <w:lang w:val="en-US" w:eastAsia="zh-CN"/>
        </w:rPr>
        <w:t>主要噪声污染源一</w:t>
      </w:r>
      <w:r>
        <w:rPr>
          <w:rFonts w:hint="eastAsia" w:ascii="Times New Roman" w:hAnsi="Times New Roman" w:eastAsia="宋体"/>
          <w:b/>
          <w:bCs/>
          <w:sz w:val="24"/>
          <w:szCs w:val="24"/>
          <w:lang w:val="en-US" w:eastAsia="zh-CN"/>
        </w:rPr>
        <w:t>览表  单位：dB(A)</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3"/>
        <w:gridCol w:w="2305"/>
        <w:gridCol w:w="2129"/>
        <w:gridCol w:w="21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51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噪声源</w:t>
            </w:r>
          </w:p>
        </w:tc>
        <w:tc>
          <w:tcPr>
            <w:tcW w:w="230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测点编号</w:t>
            </w:r>
          </w:p>
        </w:tc>
        <w:tc>
          <w:tcPr>
            <w:tcW w:w="21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昼间</w:t>
            </w:r>
          </w:p>
        </w:tc>
        <w:tc>
          <w:tcPr>
            <w:tcW w:w="21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1513"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化机浆车间+备料车间+MVR系统+RTO系统</w:t>
            </w:r>
          </w:p>
        </w:tc>
        <w:tc>
          <w:tcPr>
            <w:tcW w:w="230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东厂界</w:t>
            </w:r>
          </w:p>
        </w:tc>
        <w:tc>
          <w:tcPr>
            <w:tcW w:w="21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22</w:t>
            </w:r>
          </w:p>
        </w:tc>
        <w:tc>
          <w:tcPr>
            <w:tcW w:w="21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513"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sz w:val="21"/>
                <w:szCs w:val="21"/>
                <w:vertAlign w:val="baseline"/>
                <w:lang w:val="en-US" w:eastAsia="zh-CN"/>
              </w:rPr>
            </w:pPr>
          </w:p>
        </w:tc>
        <w:tc>
          <w:tcPr>
            <w:tcW w:w="230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西厂界</w:t>
            </w:r>
          </w:p>
        </w:tc>
        <w:tc>
          <w:tcPr>
            <w:tcW w:w="21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35.68</w:t>
            </w:r>
          </w:p>
        </w:tc>
        <w:tc>
          <w:tcPr>
            <w:tcW w:w="21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35.68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513"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sz w:val="21"/>
                <w:szCs w:val="21"/>
                <w:vertAlign w:val="baseline"/>
                <w:lang w:val="en-US" w:eastAsia="zh-CN"/>
              </w:rPr>
            </w:pPr>
          </w:p>
        </w:tc>
        <w:tc>
          <w:tcPr>
            <w:tcW w:w="230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南厂界</w:t>
            </w:r>
          </w:p>
        </w:tc>
        <w:tc>
          <w:tcPr>
            <w:tcW w:w="21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14.5</w:t>
            </w:r>
          </w:p>
        </w:tc>
        <w:tc>
          <w:tcPr>
            <w:tcW w:w="21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513"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ascii="Times New Roman" w:hAnsi="Times New Roman" w:eastAsia="宋体"/>
                <w:sz w:val="21"/>
                <w:szCs w:val="21"/>
                <w:vertAlign w:val="baseline"/>
                <w:lang w:val="en-US" w:eastAsia="zh-CN"/>
              </w:rPr>
            </w:pPr>
          </w:p>
        </w:tc>
        <w:tc>
          <w:tcPr>
            <w:tcW w:w="2305"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北厂界</w:t>
            </w:r>
          </w:p>
        </w:tc>
        <w:tc>
          <w:tcPr>
            <w:tcW w:w="21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25.65</w:t>
            </w:r>
          </w:p>
        </w:tc>
        <w:tc>
          <w:tcPr>
            <w:tcW w:w="21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25.65</w:t>
            </w:r>
          </w:p>
        </w:tc>
      </w:tr>
    </w:tbl>
    <w:p>
      <w:pPr>
        <w:keepNext w:val="0"/>
        <w:keepLines w:val="0"/>
        <w:pageBreakBefore w:val="0"/>
        <w:widowControl w:val="0"/>
        <w:kinsoku/>
        <w:wordWrap/>
        <w:overflowPunct/>
        <w:topLinePunct w:val="0"/>
        <w:autoSpaceDE/>
        <w:autoSpaceDN/>
        <w:bidi w:val="0"/>
        <w:adjustRightInd/>
        <w:snapToGrid/>
        <w:spacing w:beforeLines="50" w:afterLines="50"/>
        <w:jc w:val="center"/>
        <w:textAlignment w:val="auto"/>
        <w:rPr>
          <w:rFonts w:hint="eastAsia" w:ascii="Times New Roman" w:hAnsi="Times New Roman" w:eastAsia="宋体"/>
          <w:lang w:val="en-US" w:eastAsia="zh-CN"/>
        </w:rPr>
      </w:pPr>
      <w:r>
        <w:rPr>
          <w:rFonts w:hint="eastAsia" w:ascii="Times New Roman" w:hAnsi="Times New Roman" w:eastAsia="宋体"/>
          <w:b/>
          <w:bCs/>
          <w:sz w:val="24"/>
          <w:szCs w:val="24"/>
          <w:lang w:val="en-US" w:eastAsia="zh-CN"/>
        </w:rPr>
        <w:t xml:space="preserve">表6.4-4 </w:t>
      </w:r>
      <w:r>
        <w:rPr>
          <w:rFonts w:hint="eastAsia" w:ascii="Times New Roman" w:hAnsi="Times New Roman" w:eastAsia="宋体"/>
          <w:b/>
          <w:bCs/>
          <w:sz w:val="24"/>
          <w:szCs w:val="24"/>
          <w:highlight w:val="none"/>
          <w:lang w:val="en-US" w:eastAsia="zh-CN"/>
        </w:rPr>
        <w:t>厂界噪声环境影响评价结果表  单位</w:t>
      </w:r>
      <w:r>
        <w:rPr>
          <w:rFonts w:hint="eastAsia" w:ascii="Times New Roman" w:hAnsi="Times New Roman" w:eastAsia="宋体"/>
          <w:b/>
          <w:bCs/>
          <w:sz w:val="24"/>
          <w:szCs w:val="24"/>
          <w:lang w:val="en-US" w:eastAsia="zh-CN"/>
        </w:rPr>
        <w:t>：dB(A)</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4"/>
        <w:gridCol w:w="969"/>
        <w:gridCol w:w="968"/>
        <w:gridCol w:w="1052"/>
        <w:gridCol w:w="1105"/>
        <w:gridCol w:w="1268"/>
        <w:gridCol w:w="1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8046" w:type="dxa"/>
            <w:gridSpan w:val="7"/>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444"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测点编号</w:t>
            </w:r>
          </w:p>
        </w:tc>
        <w:tc>
          <w:tcPr>
            <w:tcW w:w="96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预测值</w:t>
            </w:r>
          </w:p>
        </w:tc>
        <w:tc>
          <w:tcPr>
            <w:tcW w:w="96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现状值</w:t>
            </w:r>
          </w:p>
        </w:tc>
        <w:tc>
          <w:tcPr>
            <w:tcW w:w="105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叠加值</w:t>
            </w:r>
          </w:p>
        </w:tc>
        <w:tc>
          <w:tcPr>
            <w:tcW w:w="110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标准值</w:t>
            </w:r>
          </w:p>
        </w:tc>
        <w:tc>
          <w:tcPr>
            <w:tcW w:w="126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超标值</w:t>
            </w:r>
          </w:p>
        </w:tc>
        <w:tc>
          <w:tcPr>
            <w:tcW w:w="124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144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东厂界</w:t>
            </w:r>
          </w:p>
        </w:tc>
        <w:tc>
          <w:tcPr>
            <w:tcW w:w="96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22</w:t>
            </w:r>
          </w:p>
        </w:tc>
        <w:tc>
          <w:tcPr>
            <w:tcW w:w="96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56.2</w:t>
            </w:r>
          </w:p>
        </w:tc>
        <w:tc>
          <w:tcPr>
            <w:tcW w:w="105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56.2</w:t>
            </w:r>
          </w:p>
        </w:tc>
        <w:tc>
          <w:tcPr>
            <w:tcW w:w="110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65</w:t>
            </w:r>
          </w:p>
        </w:tc>
        <w:tc>
          <w:tcPr>
            <w:tcW w:w="126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-8.8</w:t>
            </w:r>
          </w:p>
        </w:tc>
        <w:tc>
          <w:tcPr>
            <w:tcW w:w="124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44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西厂界</w:t>
            </w:r>
          </w:p>
        </w:tc>
        <w:tc>
          <w:tcPr>
            <w:tcW w:w="96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35.68</w:t>
            </w:r>
          </w:p>
        </w:tc>
        <w:tc>
          <w:tcPr>
            <w:tcW w:w="96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59.5</w:t>
            </w:r>
          </w:p>
        </w:tc>
        <w:tc>
          <w:tcPr>
            <w:tcW w:w="105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59.52</w:t>
            </w:r>
          </w:p>
        </w:tc>
        <w:tc>
          <w:tcPr>
            <w:tcW w:w="1105"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65</w:t>
            </w:r>
          </w:p>
        </w:tc>
        <w:tc>
          <w:tcPr>
            <w:tcW w:w="1268"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-5.48</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44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南厂界</w:t>
            </w:r>
          </w:p>
        </w:tc>
        <w:tc>
          <w:tcPr>
            <w:tcW w:w="96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14.5</w:t>
            </w:r>
          </w:p>
        </w:tc>
        <w:tc>
          <w:tcPr>
            <w:tcW w:w="96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59.5</w:t>
            </w:r>
          </w:p>
        </w:tc>
        <w:tc>
          <w:tcPr>
            <w:tcW w:w="105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59.5</w:t>
            </w:r>
          </w:p>
        </w:tc>
        <w:tc>
          <w:tcPr>
            <w:tcW w:w="1105"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65</w:t>
            </w:r>
          </w:p>
        </w:tc>
        <w:tc>
          <w:tcPr>
            <w:tcW w:w="1268"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-5.5</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44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北厂界</w:t>
            </w:r>
          </w:p>
        </w:tc>
        <w:tc>
          <w:tcPr>
            <w:tcW w:w="96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25.65</w:t>
            </w:r>
          </w:p>
        </w:tc>
        <w:tc>
          <w:tcPr>
            <w:tcW w:w="96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55.7</w:t>
            </w:r>
          </w:p>
        </w:tc>
        <w:tc>
          <w:tcPr>
            <w:tcW w:w="105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55.7</w:t>
            </w:r>
          </w:p>
        </w:tc>
        <w:tc>
          <w:tcPr>
            <w:tcW w:w="1105"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65</w:t>
            </w:r>
          </w:p>
        </w:tc>
        <w:tc>
          <w:tcPr>
            <w:tcW w:w="1268"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-9.3</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8046" w:type="dxa"/>
            <w:gridSpan w:val="7"/>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44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东厂界</w:t>
            </w:r>
          </w:p>
        </w:tc>
        <w:tc>
          <w:tcPr>
            <w:tcW w:w="96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22</w:t>
            </w:r>
          </w:p>
        </w:tc>
        <w:tc>
          <w:tcPr>
            <w:tcW w:w="96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44.2</w:t>
            </w:r>
          </w:p>
        </w:tc>
        <w:tc>
          <w:tcPr>
            <w:tcW w:w="105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44.2</w:t>
            </w:r>
          </w:p>
        </w:tc>
        <w:tc>
          <w:tcPr>
            <w:tcW w:w="110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55</w:t>
            </w:r>
          </w:p>
        </w:tc>
        <w:tc>
          <w:tcPr>
            <w:tcW w:w="1268"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-10.8</w:t>
            </w:r>
          </w:p>
        </w:tc>
        <w:tc>
          <w:tcPr>
            <w:tcW w:w="124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44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西厂界</w:t>
            </w:r>
          </w:p>
        </w:tc>
        <w:tc>
          <w:tcPr>
            <w:tcW w:w="96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35.68</w:t>
            </w:r>
          </w:p>
        </w:tc>
        <w:tc>
          <w:tcPr>
            <w:tcW w:w="968"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54.4</w:t>
            </w:r>
          </w:p>
        </w:tc>
        <w:tc>
          <w:tcPr>
            <w:tcW w:w="105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54.42</w:t>
            </w:r>
          </w:p>
        </w:tc>
        <w:tc>
          <w:tcPr>
            <w:tcW w:w="1105"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55</w:t>
            </w:r>
          </w:p>
        </w:tc>
        <w:tc>
          <w:tcPr>
            <w:tcW w:w="1268"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-0.58</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44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南厂界</w:t>
            </w:r>
          </w:p>
        </w:tc>
        <w:tc>
          <w:tcPr>
            <w:tcW w:w="96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14.5</w:t>
            </w:r>
          </w:p>
        </w:tc>
        <w:tc>
          <w:tcPr>
            <w:tcW w:w="968"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53.2</w:t>
            </w:r>
          </w:p>
        </w:tc>
        <w:tc>
          <w:tcPr>
            <w:tcW w:w="105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53.2</w:t>
            </w:r>
          </w:p>
        </w:tc>
        <w:tc>
          <w:tcPr>
            <w:tcW w:w="1105"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55</w:t>
            </w:r>
          </w:p>
        </w:tc>
        <w:tc>
          <w:tcPr>
            <w:tcW w:w="1268"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444"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北厂界</w:t>
            </w:r>
          </w:p>
        </w:tc>
        <w:tc>
          <w:tcPr>
            <w:tcW w:w="96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25.65</w:t>
            </w:r>
          </w:p>
        </w:tc>
        <w:tc>
          <w:tcPr>
            <w:tcW w:w="968"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46.0</w:t>
            </w:r>
          </w:p>
        </w:tc>
        <w:tc>
          <w:tcPr>
            <w:tcW w:w="105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46.0</w:t>
            </w:r>
          </w:p>
        </w:tc>
        <w:tc>
          <w:tcPr>
            <w:tcW w:w="1105"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55</w:t>
            </w:r>
          </w:p>
        </w:tc>
        <w:tc>
          <w:tcPr>
            <w:tcW w:w="1268" w:type="dxa"/>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240"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达标</w:t>
            </w:r>
          </w:p>
        </w:tc>
      </w:tr>
    </w:tbl>
    <w:p>
      <w:pPr>
        <w:pStyle w:val="17"/>
        <w:keepNext w:val="0"/>
        <w:keepLines w:val="0"/>
        <w:pageBreakBefore w:val="0"/>
        <w:widowControl w:val="0"/>
        <w:kinsoku/>
        <w:wordWrap/>
        <w:overflowPunct/>
        <w:topLinePunct w:val="0"/>
        <w:autoSpaceDE/>
        <w:autoSpaceDN/>
        <w:bidi w:val="0"/>
        <w:adjustRightInd/>
        <w:snapToGrid w:val="0"/>
        <w:spacing w:beforeLines="50" w:after="0" w:line="360" w:lineRule="auto"/>
        <w:ind w:left="0" w:leftChars="0" w:firstLine="480" w:firstLineChars="200"/>
        <w:textAlignment w:val="auto"/>
        <w:rPr>
          <w:rFonts w:hint="default" w:ascii="Times New Roman" w:hAnsi="Times New Roman"/>
          <w:b w:val="0"/>
          <w:bCs w:val="0"/>
          <w:sz w:val="24"/>
          <w:szCs w:val="24"/>
          <w:lang w:val="en-US" w:eastAsia="zh-CN"/>
        </w:rPr>
      </w:pPr>
      <w:r>
        <w:rPr>
          <w:rFonts w:hint="default"/>
          <w:sz w:val="24"/>
          <w:szCs w:val="24"/>
          <w:lang w:val="en-US" w:eastAsia="zh-CN"/>
        </w:rPr>
        <w:t>由表</w:t>
      </w:r>
      <w:r>
        <w:rPr>
          <w:rFonts w:hint="default" w:ascii="Times New Roman" w:hAnsi="Times New Roman" w:cs="Times New Roman"/>
          <w:sz w:val="24"/>
          <w:szCs w:val="24"/>
          <w:lang w:val="en-US" w:eastAsia="zh-CN"/>
        </w:rPr>
        <w:t>6.4-4</w:t>
      </w:r>
      <w:r>
        <w:rPr>
          <w:rFonts w:hint="default"/>
          <w:sz w:val="24"/>
          <w:szCs w:val="24"/>
          <w:lang w:val="en-US" w:eastAsia="zh-CN"/>
        </w:rPr>
        <w:t>可见，项目投入运行后，与现状值叠加后，各厂界满足《工业企业厂界环境噪声排放标准》</w:t>
      </w:r>
      <w:r>
        <w:rPr>
          <w:rFonts w:hint="default" w:ascii="Times New Roman" w:hAnsi="Times New Roman" w:cs="Times New Roman"/>
          <w:sz w:val="24"/>
          <w:szCs w:val="24"/>
          <w:lang w:val="en-US" w:eastAsia="zh-CN"/>
        </w:rPr>
        <w:t>(GB12348-2008)中3</w:t>
      </w:r>
      <w:r>
        <w:rPr>
          <w:rFonts w:hint="default"/>
          <w:sz w:val="24"/>
          <w:szCs w:val="24"/>
          <w:lang w:val="en-US" w:eastAsia="zh-CN"/>
        </w:rPr>
        <w:t>类标准的要求。</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eastAsia="宋体"/>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4</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2</w:t>
      </w:r>
      <w:r>
        <w:rPr>
          <w:b/>
          <w:bCs/>
          <w:color w:val="auto"/>
          <w:sz w:val="28"/>
          <w:szCs w:val="28"/>
        </w:rPr>
        <w:t xml:space="preserve"> </w:t>
      </w:r>
      <w:r>
        <w:rPr>
          <w:rFonts w:hint="eastAsia"/>
          <w:b/>
          <w:bCs/>
          <w:color w:val="auto"/>
          <w:sz w:val="28"/>
          <w:szCs w:val="28"/>
          <w:lang w:val="en-US" w:eastAsia="zh-CN"/>
        </w:rPr>
        <w:t>噪声源的治理措施分析</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项目的噪声源主要为</w:t>
      </w:r>
      <w:r>
        <w:rPr>
          <w:rFonts w:hint="eastAsia"/>
          <w:sz w:val="24"/>
          <w:szCs w:val="24"/>
          <w:lang w:val="en-US" w:eastAsia="zh-CN"/>
        </w:rPr>
        <w:t>各类</w:t>
      </w:r>
      <w:r>
        <w:rPr>
          <w:rFonts w:hint="default"/>
          <w:sz w:val="24"/>
          <w:szCs w:val="24"/>
          <w:lang w:val="en-US" w:eastAsia="zh-CN"/>
        </w:rPr>
        <w:t>设备噪声</w:t>
      </w:r>
      <w:r>
        <w:rPr>
          <w:rFonts w:hint="eastAsia"/>
          <w:sz w:val="24"/>
          <w:szCs w:val="24"/>
          <w:lang w:val="en-US" w:eastAsia="zh-CN"/>
        </w:rPr>
        <w:t>。</w:t>
      </w:r>
      <w:r>
        <w:rPr>
          <w:rFonts w:hint="default"/>
          <w:sz w:val="24"/>
          <w:szCs w:val="24"/>
          <w:lang w:val="en-US" w:eastAsia="zh-CN"/>
        </w:rPr>
        <w:t>利用隔声、吸声、共振等声学原理，利用外隔、内吸以及安装消声器等方法进行综合治理，能够使受其影响的厂界噪声得到有效控制。</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sz w:val="24"/>
          <w:szCs w:val="24"/>
          <w:u w:val="none"/>
        </w:rPr>
      </w:pPr>
      <w:r>
        <w:rPr>
          <w:rFonts w:hint="default" w:ascii="Times New Roman" w:hAnsi="Times New Roman" w:eastAsia="宋体" w:cs="Times New Roman"/>
          <w:color w:val="000000"/>
          <w:kern w:val="0"/>
          <w:sz w:val="24"/>
          <w:szCs w:val="24"/>
          <w:u w:val="none"/>
          <w:lang w:val="en-US" w:eastAsia="zh-CN" w:bidi="ar"/>
        </w:rPr>
        <w:t>1</w:t>
      </w:r>
      <w:r>
        <w:rPr>
          <w:rFonts w:hint="eastAsia" w:ascii="宋体" w:hAnsi="宋体" w:eastAsia="宋体" w:cs="宋体"/>
          <w:color w:val="000000"/>
          <w:kern w:val="0"/>
          <w:sz w:val="24"/>
          <w:szCs w:val="24"/>
          <w:u w:val="none"/>
          <w:lang w:val="en-US" w:eastAsia="zh-CN" w:bidi="ar"/>
        </w:rPr>
        <w:t xml:space="preserve">、从整体上控制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）合理的布置空间，将</w:t>
      </w:r>
      <w:r>
        <w:rPr>
          <w:rFonts w:hint="eastAsia" w:ascii="宋体" w:hAnsi="宋体" w:cs="宋体"/>
          <w:color w:val="000000"/>
          <w:kern w:val="0"/>
          <w:sz w:val="24"/>
          <w:szCs w:val="24"/>
          <w:lang w:val="en-US" w:eastAsia="zh-CN" w:bidi="ar"/>
        </w:rPr>
        <w:t>切断机</w:t>
      </w:r>
      <w:r>
        <w:rPr>
          <w:rFonts w:hint="eastAsia" w:ascii="宋体" w:hAnsi="宋体" w:eastAsia="宋体" w:cs="宋体"/>
          <w:color w:val="000000"/>
          <w:kern w:val="0"/>
          <w:sz w:val="24"/>
          <w:szCs w:val="24"/>
          <w:lang w:val="en-US" w:eastAsia="zh-CN" w:bidi="ar"/>
        </w:rPr>
        <w:t xml:space="preserve">等高噪声的设备放在相近的位置，用仓库、围墙等不敏感的建筑物做屏障隔绝噪声。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 xml:space="preserve">）提高厂房维护结构的隔声效果，车间安装高噪声设备选用双层门窗，如果厂房临近厂界，要将靠厂界一侧布置为全封闭；处理好门、窗的接缝和孔洞；房间内尽量设置吸声材料。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sz w:val="24"/>
          <w:szCs w:val="24"/>
        </w:rPr>
      </w:pPr>
      <w:r>
        <w:rPr>
          <w:rFonts w:hint="default" w:ascii="Times New Roman" w:hAnsi="Times New Roman" w:eastAsia="宋体" w:cs="Times New Roman"/>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 xml:space="preserve">、对机器的控制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 xml:space="preserve">首先，在采购设备时要求的厂家制造的设备噪声值必须小于设计标准值。在设备安装时完全按照安装要求进行，避免设备的重心偏移和安装间隙，减少不必要的噪声。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 xml:space="preserve">其次，对于设备因运行产生的噪声，根据噪声的性质，进行如下处理：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 xml:space="preserve">）空气动力性噪声：空气动力性噪声可以通过安装消声器来消除。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 xml:space="preserve">）机械噪声：对设备产生的机械噪声，可以采用建隔声室或隔声罩进行控制。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宋体" w:hAnsi="宋体" w:eastAsia="宋体" w:cs="宋体"/>
          <w:color w:val="000000"/>
          <w:kern w:val="0"/>
          <w:sz w:val="24"/>
          <w:szCs w:val="24"/>
          <w:lang w:val="en-US" w:eastAsia="zh-CN" w:bidi="ar"/>
        </w:rPr>
        <w:t xml:space="preserve">）振动辐射的固体声：对设备采用柔性连接代替机器与基座之间的钢性连接，可以减少基础振动辐射的固体声和电动机噪声。 </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sz w:val="24"/>
          <w:szCs w:val="24"/>
          <w:lang w:val="en-US" w:eastAsia="zh-CN"/>
        </w:rPr>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w:t>
      </w:r>
      <w:r>
        <w:rPr>
          <w:rFonts w:hint="eastAsia" w:ascii="宋体" w:hAnsi="宋体" w:eastAsia="宋体" w:cs="宋体"/>
          <w:color w:val="000000"/>
          <w:kern w:val="0"/>
          <w:sz w:val="24"/>
          <w:szCs w:val="24"/>
          <w:lang w:val="en-US" w:eastAsia="zh-CN" w:bidi="ar"/>
        </w:rPr>
        <w:t xml:space="preserve">）在厂房建筑设计中将值班室与噪声源隔离，值班室墙壁应采取隔音处理，采用符合国家标准的隔声门，双层玻璃的隔声窗。使值班室的噪声不要超过 </w:t>
      </w:r>
      <w:r>
        <w:rPr>
          <w:rFonts w:hint="default" w:ascii="Times New Roman" w:hAnsi="Times New Roman" w:eastAsia="宋体" w:cs="Times New Roman"/>
          <w:color w:val="000000"/>
          <w:kern w:val="0"/>
          <w:sz w:val="24"/>
          <w:szCs w:val="24"/>
          <w:lang w:val="en-US" w:eastAsia="zh-CN" w:bidi="ar"/>
        </w:rPr>
        <w:t>75dB(A)</w:t>
      </w:r>
      <w:r>
        <w:rPr>
          <w:rFonts w:hint="eastAsia" w:ascii="宋体" w:hAnsi="宋体" w:eastAsia="宋体" w:cs="宋体"/>
          <w:color w:val="000000"/>
          <w:kern w:val="0"/>
          <w:sz w:val="24"/>
          <w:szCs w:val="24"/>
          <w:lang w:val="en-US" w:eastAsia="zh-CN" w:bidi="ar"/>
        </w:rPr>
        <w:t>，使其满足《工业企业设计卫生标准》（</w:t>
      </w:r>
      <w:r>
        <w:rPr>
          <w:rFonts w:hint="default" w:ascii="Times New Roman" w:hAnsi="Times New Roman" w:eastAsia="宋体" w:cs="Times New Roman"/>
          <w:color w:val="000000"/>
          <w:kern w:val="0"/>
          <w:sz w:val="24"/>
          <w:szCs w:val="24"/>
          <w:lang w:val="en-US" w:eastAsia="zh-CN" w:bidi="ar"/>
        </w:rPr>
        <w:t>GBZ1-2002</w:t>
      </w:r>
      <w:r>
        <w:rPr>
          <w:rFonts w:hint="eastAsia" w:ascii="宋体" w:hAnsi="宋体" w:eastAsia="宋体" w:cs="宋体"/>
          <w:color w:val="000000"/>
          <w:kern w:val="0"/>
          <w:sz w:val="24"/>
          <w:szCs w:val="24"/>
          <w:lang w:val="en-US" w:eastAsia="zh-CN" w:bidi="ar"/>
        </w:rPr>
        <w:t>）噪声车间办公室声环境质量的要求，以保护操作控制人员的身心健康。</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color w:val="auto"/>
          <w:sz w:val="28"/>
          <w:szCs w:val="28"/>
          <w:lang w:val="en-US" w:eastAsia="zh-CN"/>
        </w:rPr>
        <w:t>6</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4</w:t>
      </w:r>
      <w:r>
        <w:rPr>
          <w:rFonts w:hint="default" w:ascii="Times New Roman" w:hAnsi="Times New Roman" w:cs="Times New Roman"/>
          <w:b/>
          <w:bCs/>
          <w:color w:val="auto"/>
          <w:sz w:val="28"/>
          <w:szCs w:val="28"/>
        </w:rPr>
        <w:t>.</w:t>
      </w:r>
      <w:r>
        <w:rPr>
          <w:rFonts w:hint="eastAsia" w:ascii="Times New Roman" w:hAnsi="Times New Roman" w:cs="Times New Roman"/>
          <w:b/>
          <w:bCs/>
          <w:color w:val="auto"/>
          <w:sz w:val="28"/>
          <w:szCs w:val="28"/>
          <w:lang w:val="en-US" w:eastAsia="zh-CN"/>
        </w:rPr>
        <w:t>3</w:t>
      </w:r>
      <w:r>
        <w:rPr>
          <w:b/>
          <w:bCs/>
          <w:color w:val="auto"/>
          <w:sz w:val="28"/>
          <w:szCs w:val="28"/>
        </w:rPr>
        <w:t xml:space="preserve"> </w:t>
      </w:r>
      <w:r>
        <w:rPr>
          <w:rFonts w:hint="eastAsia"/>
          <w:b/>
          <w:bCs/>
          <w:color w:val="auto"/>
          <w:sz w:val="28"/>
          <w:szCs w:val="28"/>
          <w:lang w:val="en-US" w:eastAsia="zh-CN"/>
        </w:rPr>
        <w:t>小结</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（1）根据声环境现状监测，本项目厂界昼夜间噪声现状监测值均能达到《声环境质量标准》（GB3096-2008）</w:t>
      </w:r>
      <w:r>
        <w:rPr>
          <w:rFonts w:hint="eastAsia" w:ascii="Times New Roman" w:hAnsi="Times New Roman" w:cs="Times New Roman"/>
          <w:color w:val="auto"/>
          <w:sz w:val="24"/>
          <w:szCs w:val="32"/>
          <w:highlight w:val="none"/>
          <w:lang w:val="en-US" w:eastAsia="zh-CN"/>
        </w:rPr>
        <w:t>3</w:t>
      </w:r>
      <w:r>
        <w:rPr>
          <w:rFonts w:hint="default" w:ascii="Times New Roman" w:hAnsi="Times New Roman" w:cs="Times New Roman"/>
          <w:color w:val="auto"/>
          <w:sz w:val="24"/>
          <w:szCs w:val="32"/>
          <w:highlight w:val="none"/>
        </w:rPr>
        <w:t>类标准要求。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32"/>
          <w:highlight w:val="none"/>
        </w:rPr>
        <w:sectPr>
          <w:headerReference r:id="rId52" w:type="default"/>
          <w:footerReference r:id="rId5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sz w:val="24"/>
          <w:szCs w:val="32"/>
          <w:highlight w:val="none"/>
        </w:rPr>
        <w:t>（</w:t>
      </w:r>
      <w:r>
        <w:rPr>
          <w:rFonts w:hint="default" w:ascii="Times New Roman" w:hAnsi="Times New Roman" w:cs="Times New Roman"/>
          <w:color w:val="auto"/>
          <w:sz w:val="24"/>
          <w:szCs w:val="32"/>
          <w:highlight w:val="none"/>
          <w:lang w:val="en-US" w:eastAsia="zh-CN"/>
        </w:rPr>
        <w:t>2</w:t>
      </w:r>
      <w:r>
        <w:rPr>
          <w:rFonts w:hint="default" w:ascii="Times New Roman" w:hAnsi="Times New Roman" w:cs="Times New Roman"/>
          <w:color w:val="auto"/>
          <w:sz w:val="24"/>
          <w:szCs w:val="32"/>
          <w:highlight w:val="none"/>
        </w:rPr>
        <w:t>）为了确保厂界噪声达标，尽量选用低噪声设备，在噪声级较高的设备上加装消音、隔声装置；对强度较大的噪声源采取减振措施；墙壁设置吸声材料，降低室内混响，增大隔声量。通过落实这些措施可以做到厂界达标。</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ascii="Times New Roman" w:hAnsi="Times New Roman"/>
          <w:b/>
          <w:bCs/>
          <w:color w:val="auto"/>
          <w:sz w:val="30"/>
          <w:szCs w:val="30"/>
        </w:rPr>
      </w:pPr>
      <w:bookmarkStart w:id="34" w:name="_Toc9195"/>
      <w:bookmarkStart w:id="35" w:name="_Toc25010"/>
      <w:bookmarkStart w:id="36" w:name="_Toc809"/>
      <w:r>
        <w:rPr>
          <w:rFonts w:hint="eastAsia" w:ascii="Times New Roman" w:hAnsi="Times New Roman"/>
          <w:b/>
          <w:bCs/>
          <w:color w:val="auto"/>
          <w:sz w:val="30"/>
          <w:szCs w:val="30"/>
          <w:lang w:val="en-US" w:eastAsia="zh-CN"/>
        </w:rPr>
        <w:t>6.5</w:t>
      </w:r>
      <w:r>
        <w:rPr>
          <w:rFonts w:ascii="Times New Roman" w:hAnsi="Times New Roman"/>
          <w:b/>
          <w:bCs/>
          <w:color w:val="auto"/>
          <w:sz w:val="30"/>
          <w:szCs w:val="30"/>
        </w:rPr>
        <w:t xml:space="preserve"> </w:t>
      </w:r>
      <w:r>
        <w:rPr>
          <w:rFonts w:hint="eastAsia" w:ascii="Times New Roman" w:hAnsi="Times New Roman"/>
          <w:b/>
          <w:bCs/>
          <w:color w:val="auto"/>
          <w:sz w:val="30"/>
          <w:szCs w:val="30"/>
        </w:rPr>
        <w:t>固体废物环境影响分析</w:t>
      </w:r>
      <w:bookmarkEnd w:id="34"/>
      <w:bookmarkEnd w:id="35"/>
      <w:bookmarkEnd w:id="36"/>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rFonts w:ascii="Times New Roman" w:hAnsi="Times New Roman"/>
          <w:b/>
          <w:bCs/>
          <w:color w:val="auto"/>
          <w:sz w:val="28"/>
          <w:szCs w:val="28"/>
        </w:rPr>
      </w:pPr>
      <w:r>
        <w:rPr>
          <w:rFonts w:hint="eastAsia" w:ascii="Times New Roman" w:hAnsi="Times New Roman"/>
          <w:b/>
          <w:bCs/>
          <w:color w:val="auto"/>
          <w:sz w:val="28"/>
          <w:szCs w:val="28"/>
          <w:lang w:val="en-US" w:eastAsia="zh-CN"/>
        </w:rPr>
        <w:t>6.5</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1</w:t>
      </w:r>
      <w:r>
        <w:rPr>
          <w:rFonts w:ascii="Times New Roman" w:hAnsi="Times New Roman"/>
          <w:b/>
          <w:bCs/>
          <w:color w:val="auto"/>
          <w:sz w:val="28"/>
          <w:szCs w:val="28"/>
        </w:rPr>
        <w:t xml:space="preserve"> </w:t>
      </w:r>
      <w:r>
        <w:rPr>
          <w:rFonts w:hint="eastAsia" w:ascii="Times New Roman" w:hAnsi="Times New Roman"/>
          <w:b/>
          <w:bCs/>
          <w:color w:val="auto"/>
          <w:sz w:val="28"/>
          <w:szCs w:val="28"/>
        </w:rPr>
        <w:t>固体废物处置原则</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为防止固体废物污染环境，保障人体健康，对固体废物的处置首先考虑合理使用资源，充分回收，尽可能减少固体废物产生量，其次考虑对其安全、合理、卫生的处置，力图以最经济和可靠的方式将废物量最小化、无害化和资源化，最大限度降低对环境的不利影响。</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rFonts w:ascii="Times New Roman" w:hAnsi="Times New Roman"/>
          <w:b/>
          <w:bCs/>
          <w:color w:val="auto"/>
          <w:sz w:val="28"/>
          <w:szCs w:val="28"/>
        </w:rPr>
      </w:pPr>
      <w:r>
        <w:rPr>
          <w:rFonts w:hint="eastAsia" w:ascii="Times New Roman" w:hAnsi="Times New Roman"/>
          <w:b/>
          <w:bCs/>
          <w:color w:val="auto"/>
          <w:sz w:val="28"/>
          <w:szCs w:val="28"/>
          <w:lang w:val="en-US" w:eastAsia="zh-CN"/>
        </w:rPr>
        <w:t>6.5</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2</w:t>
      </w:r>
      <w:r>
        <w:rPr>
          <w:rFonts w:ascii="Times New Roman" w:hAnsi="Times New Roman"/>
          <w:b/>
          <w:bCs/>
          <w:color w:val="auto"/>
          <w:sz w:val="28"/>
          <w:szCs w:val="28"/>
        </w:rPr>
        <w:t xml:space="preserve"> </w:t>
      </w:r>
      <w:r>
        <w:rPr>
          <w:rFonts w:hint="eastAsia" w:ascii="Times New Roman" w:hAnsi="Times New Roman"/>
          <w:b/>
          <w:bCs/>
          <w:color w:val="auto"/>
          <w:sz w:val="28"/>
          <w:szCs w:val="28"/>
        </w:rPr>
        <w:t>固体废物产生及处置情况</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6.5</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2.1</w:t>
      </w:r>
      <w:r>
        <w:rPr>
          <w:rFonts w:hint="eastAsia" w:ascii="Times New Roman" w:hAnsi="Times New Roman"/>
          <w:b/>
          <w:bCs/>
          <w:sz w:val="24"/>
          <w:szCs w:val="24"/>
          <w:highlight w:val="none"/>
          <w:lang w:val="en-US" w:eastAsia="zh-CN"/>
        </w:rPr>
        <w:t>固体废物的产生情况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sz w:val="24"/>
          <w:szCs w:val="24"/>
          <w:lang w:val="en-US" w:eastAsia="zh-CN"/>
        </w:rPr>
        <w:t>本</w:t>
      </w:r>
      <w:r>
        <w:rPr>
          <w:rFonts w:hint="default"/>
          <w:sz w:val="24"/>
          <w:szCs w:val="24"/>
          <w:lang w:val="en-US" w:eastAsia="zh-CN"/>
        </w:rPr>
        <w:t>项目固体废物产生情况见表</w:t>
      </w:r>
      <w:r>
        <w:rPr>
          <w:rFonts w:hint="eastAsia" w:ascii="Times New Roman" w:hAnsi="Times New Roman" w:cs="Times New Roman"/>
          <w:sz w:val="24"/>
          <w:szCs w:val="24"/>
          <w:lang w:val="en-US" w:eastAsia="zh-CN"/>
        </w:rPr>
        <w:t>6.5</w:t>
      </w:r>
      <w:r>
        <w:rPr>
          <w:rFonts w:hint="default" w:ascii="Times New Roman" w:hAnsi="Times New Roman" w:cs="Times New Roman"/>
          <w:sz w:val="24"/>
          <w:szCs w:val="24"/>
          <w:lang w:val="en-US" w:eastAsia="zh-CN"/>
        </w:rPr>
        <w:t>-1</w:t>
      </w:r>
      <w:r>
        <w:rPr>
          <w:rFonts w:hint="default"/>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hint="eastAsia"/>
          <w:b/>
          <w:bCs/>
          <w:sz w:val="24"/>
          <w:szCs w:val="24"/>
          <w:lang w:val="en-US" w:eastAsia="zh-CN"/>
        </w:rPr>
        <w:t>表</w:t>
      </w:r>
      <w:r>
        <w:rPr>
          <w:rFonts w:hint="default" w:ascii="Times New Roman" w:hAnsi="Times New Roman" w:cs="Times New Roman"/>
          <w:b/>
          <w:bCs/>
          <w:sz w:val="24"/>
          <w:szCs w:val="24"/>
          <w:lang w:val="en-US" w:eastAsia="zh-CN"/>
        </w:rPr>
        <w:t>6.5-1</w:t>
      </w:r>
      <w:r>
        <w:rPr>
          <w:rFonts w:hint="eastAsia"/>
          <w:b/>
          <w:bCs/>
          <w:sz w:val="24"/>
          <w:szCs w:val="24"/>
          <w:lang w:val="en-US" w:eastAsia="zh-CN"/>
        </w:rPr>
        <w:t xml:space="preserve"> </w:t>
      </w:r>
      <w:r>
        <w:rPr>
          <w:rFonts w:hint="eastAsia"/>
          <w:b/>
          <w:bCs/>
          <w:sz w:val="24"/>
          <w:szCs w:val="24"/>
          <w:highlight w:val="none"/>
          <w:lang w:val="en-US" w:eastAsia="zh-CN"/>
        </w:rPr>
        <w:t>扩建项目固体废物产生及处置措施一览表</w:t>
      </w:r>
    </w:p>
    <w:tbl>
      <w:tblPr>
        <w:tblStyle w:val="19"/>
        <w:tblW w:w="86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927"/>
        <w:gridCol w:w="1255"/>
        <w:gridCol w:w="899"/>
        <w:gridCol w:w="1301"/>
        <w:gridCol w:w="1250"/>
        <w:gridCol w:w="1063"/>
        <w:gridCol w:w="1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来源</w:t>
            </w:r>
          </w:p>
        </w:tc>
        <w:tc>
          <w:tcPr>
            <w:tcW w:w="9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固废名称</w:t>
            </w:r>
          </w:p>
        </w:tc>
        <w:tc>
          <w:tcPr>
            <w:tcW w:w="125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产生工序</w:t>
            </w:r>
          </w:p>
        </w:tc>
        <w:tc>
          <w:tcPr>
            <w:tcW w:w="89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产生量（t/a）</w:t>
            </w:r>
          </w:p>
        </w:tc>
        <w:tc>
          <w:tcPr>
            <w:tcW w:w="13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主要成分</w:t>
            </w:r>
          </w:p>
        </w:tc>
        <w:tc>
          <w:tcPr>
            <w:tcW w:w="12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代码</w:t>
            </w:r>
          </w:p>
        </w:tc>
        <w:tc>
          <w:tcPr>
            <w:tcW w:w="10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类别</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备料车间</w:t>
            </w:r>
          </w:p>
        </w:tc>
        <w:tc>
          <w:tcPr>
            <w:tcW w:w="9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木屑</w:t>
            </w:r>
          </w:p>
        </w:tc>
        <w:tc>
          <w:tcPr>
            <w:tcW w:w="125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木片筛选</w:t>
            </w:r>
          </w:p>
        </w:tc>
        <w:tc>
          <w:tcPr>
            <w:tcW w:w="89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15660</w:t>
            </w:r>
          </w:p>
        </w:tc>
        <w:tc>
          <w:tcPr>
            <w:tcW w:w="13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纤维、木质素</w:t>
            </w:r>
          </w:p>
        </w:tc>
        <w:tc>
          <w:tcPr>
            <w:tcW w:w="12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221-022-49</w:t>
            </w:r>
          </w:p>
        </w:tc>
        <w:tc>
          <w:tcPr>
            <w:tcW w:w="10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一般固废</w:t>
            </w:r>
          </w:p>
        </w:tc>
        <w:tc>
          <w:tcPr>
            <w:tcW w:w="1159"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送固体废物焚烧炉焚烧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793"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化机浆车间</w:t>
            </w:r>
          </w:p>
        </w:tc>
        <w:tc>
          <w:tcPr>
            <w:tcW w:w="9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浆渣</w:t>
            </w:r>
          </w:p>
        </w:tc>
        <w:tc>
          <w:tcPr>
            <w:tcW w:w="125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除渣系统、压力筛</w:t>
            </w:r>
          </w:p>
        </w:tc>
        <w:tc>
          <w:tcPr>
            <w:tcW w:w="89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6000</w:t>
            </w:r>
          </w:p>
        </w:tc>
        <w:tc>
          <w:tcPr>
            <w:tcW w:w="13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粗大纤维等轻质杂质</w:t>
            </w:r>
          </w:p>
        </w:tc>
        <w:tc>
          <w:tcPr>
            <w:tcW w:w="12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221-001-49</w:t>
            </w:r>
          </w:p>
        </w:tc>
        <w:tc>
          <w:tcPr>
            <w:tcW w:w="10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一般固废</w:t>
            </w:r>
          </w:p>
        </w:tc>
        <w:tc>
          <w:tcPr>
            <w:tcW w:w="115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79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9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废机油</w:t>
            </w:r>
          </w:p>
        </w:tc>
        <w:tc>
          <w:tcPr>
            <w:tcW w:w="125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设备维护</w:t>
            </w:r>
          </w:p>
        </w:tc>
        <w:tc>
          <w:tcPr>
            <w:tcW w:w="89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0.6</w:t>
            </w:r>
          </w:p>
        </w:tc>
        <w:tc>
          <w:tcPr>
            <w:tcW w:w="13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废矿物油</w:t>
            </w:r>
          </w:p>
        </w:tc>
        <w:tc>
          <w:tcPr>
            <w:tcW w:w="12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HW08 900-217-08</w:t>
            </w:r>
          </w:p>
        </w:tc>
        <w:tc>
          <w:tcPr>
            <w:tcW w:w="10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危险废物</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jc w:val="center"/>
        </w:trPr>
        <w:tc>
          <w:tcPr>
            <w:tcW w:w="793"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碱回收系统</w:t>
            </w:r>
          </w:p>
        </w:tc>
        <w:tc>
          <w:tcPr>
            <w:tcW w:w="9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石灰渣</w:t>
            </w:r>
          </w:p>
        </w:tc>
        <w:tc>
          <w:tcPr>
            <w:tcW w:w="125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苛化</w:t>
            </w:r>
          </w:p>
        </w:tc>
        <w:tc>
          <w:tcPr>
            <w:tcW w:w="89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803.3</w:t>
            </w:r>
          </w:p>
        </w:tc>
        <w:tc>
          <w:tcPr>
            <w:tcW w:w="13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CaCO</w:t>
            </w:r>
            <w:r>
              <w:rPr>
                <w:rFonts w:hint="default" w:ascii="Times New Roman" w:hAnsi="Times New Roman"/>
                <w:sz w:val="21"/>
                <w:szCs w:val="21"/>
                <w:vertAlign w:val="subscript"/>
                <w:lang w:val="en-US" w:eastAsia="zh-CN"/>
              </w:rPr>
              <w:t>3</w:t>
            </w:r>
            <w:r>
              <w:rPr>
                <w:rFonts w:hint="default" w:ascii="Times New Roman" w:hAnsi="Times New Roman"/>
                <w:sz w:val="21"/>
                <w:szCs w:val="21"/>
                <w:vertAlign w:val="baseline"/>
                <w:lang w:val="en-US" w:eastAsia="zh-CN"/>
              </w:rPr>
              <w:t>、CaSiO</w:t>
            </w:r>
            <w:r>
              <w:rPr>
                <w:rFonts w:hint="default" w:ascii="Times New Roman" w:hAnsi="Times New Roman"/>
                <w:sz w:val="21"/>
                <w:szCs w:val="21"/>
                <w:vertAlign w:val="subscript"/>
                <w:lang w:val="en-US" w:eastAsia="zh-CN"/>
              </w:rPr>
              <w:t>3</w:t>
            </w:r>
            <w:r>
              <w:rPr>
                <w:rFonts w:hint="default" w:ascii="Times New Roman" w:hAnsi="Times New Roman"/>
                <w:sz w:val="21"/>
                <w:szCs w:val="21"/>
                <w:vertAlign w:val="baseline"/>
                <w:lang w:val="en-US" w:eastAsia="zh-CN"/>
              </w:rPr>
              <w:t>等</w:t>
            </w:r>
          </w:p>
        </w:tc>
        <w:tc>
          <w:tcPr>
            <w:tcW w:w="12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cs="Times New Roman"/>
                <w:color w:val="000000"/>
                <w:kern w:val="0"/>
                <w:sz w:val="21"/>
                <w:szCs w:val="21"/>
                <w:lang w:val="en-US" w:eastAsia="zh-CN" w:bidi="ar"/>
              </w:rPr>
              <w:t>221-001-44</w:t>
            </w:r>
          </w:p>
        </w:tc>
        <w:tc>
          <w:tcPr>
            <w:tcW w:w="10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一般固废</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外卖建材企业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9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9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白泥</w:t>
            </w:r>
          </w:p>
        </w:tc>
        <w:tc>
          <w:tcPr>
            <w:tcW w:w="125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碱回收</w:t>
            </w:r>
          </w:p>
        </w:tc>
        <w:tc>
          <w:tcPr>
            <w:tcW w:w="89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12172</w:t>
            </w:r>
          </w:p>
        </w:tc>
        <w:tc>
          <w:tcPr>
            <w:tcW w:w="1301" w:type="dxa"/>
            <w:vAlign w:val="center"/>
          </w:tcPr>
          <w:p>
            <w:pPr>
              <w:keepNext w:val="0"/>
              <w:keepLines w:val="0"/>
              <w:widowControl/>
              <w:suppressLineNumbers w:val="0"/>
              <w:jc w:val="center"/>
              <w:rPr>
                <w:rFonts w:hint="default" w:ascii="Times New Roman" w:hAnsi="Times New Roman"/>
                <w:sz w:val="21"/>
                <w:szCs w:val="21"/>
                <w:vertAlign w:val="baseline"/>
                <w:lang w:val="en-US" w:eastAsia="zh-CN"/>
              </w:rPr>
            </w:pPr>
            <w:r>
              <w:rPr>
                <w:rFonts w:hint="default" w:ascii="Times New Roman" w:hAnsi="Times New Roman" w:eastAsia="宋体" w:cs="Times New Roman"/>
                <w:color w:val="000000"/>
                <w:kern w:val="0"/>
                <w:sz w:val="21"/>
                <w:szCs w:val="21"/>
                <w:lang w:val="en-US" w:eastAsia="zh-CN" w:bidi="ar"/>
              </w:rPr>
              <w:t>CaCO</w:t>
            </w:r>
            <w:r>
              <w:rPr>
                <w:rFonts w:hint="default" w:ascii="Times New Roman" w:hAnsi="Times New Roman" w:eastAsia="宋体" w:cs="Times New Roman"/>
                <w:color w:val="000000"/>
                <w:kern w:val="0"/>
                <w:sz w:val="13"/>
                <w:szCs w:val="13"/>
                <w:lang w:val="en-US" w:eastAsia="zh-CN" w:bidi="ar"/>
              </w:rPr>
              <w:t>3</w:t>
            </w:r>
          </w:p>
        </w:tc>
        <w:tc>
          <w:tcPr>
            <w:tcW w:w="1250" w:type="dxa"/>
            <w:vAlign w:val="center"/>
          </w:tcPr>
          <w:p>
            <w:pPr>
              <w:keepNext w:val="0"/>
              <w:keepLines w:val="0"/>
              <w:widowControl/>
              <w:suppressLineNumbers w:val="0"/>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cs="Times New Roman"/>
                <w:color w:val="000000"/>
                <w:kern w:val="0"/>
                <w:sz w:val="21"/>
                <w:szCs w:val="21"/>
                <w:lang w:val="en-US" w:eastAsia="zh-CN" w:bidi="ar"/>
              </w:rPr>
              <w:t>221-001-44</w:t>
            </w:r>
          </w:p>
        </w:tc>
        <w:tc>
          <w:tcPr>
            <w:tcW w:w="10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一般固废</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送石灰回收项目回收石灰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jc w:val="center"/>
        </w:trPr>
        <w:tc>
          <w:tcPr>
            <w:tcW w:w="79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9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收集粉尘</w:t>
            </w:r>
          </w:p>
        </w:tc>
        <w:tc>
          <w:tcPr>
            <w:tcW w:w="125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废气处理</w:t>
            </w:r>
          </w:p>
        </w:tc>
        <w:tc>
          <w:tcPr>
            <w:tcW w:w="89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2.16</w:t>
            </w:r>
          </w:p>
        </w:tc>
        <w:tc>
          <w:tcPr>
            <w:tcW w:w="13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CaO</w:t>
            </w:r>
          </w:p>
        </w:tc>
        <w:tc>
          <w:tcPr>
            <w:tcW w:w="12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221-001-49</w:t>
            </w:r>
          </w:p>
        </w:tc>
        <w:tc>
          <w:tcPr>
            <w:tcW w:w="10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一般固废</w:t>
            </w:r>
          </w:p>
        </w:tc>
        <w:tc>
          <w:tcPr>
            <w:tcW w:w="11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外卖建材企业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RTO系统</w:t>
            </w:r>
          </w:p>
        </w:tc>
        <w:tc>
          <w:tcPr>
            <w:tcW w:w="9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收集颗粒物</w:t>
            </w:r>
          </w:p>
        </w:tc>
        <w:tc>
          <w:tcPr>
            <w:tcW w:w="125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废气处理</w:t>
            </w:r>
          </w:p>
        </w:tc>
        <w:tc>
          <w:tcPr>
            <w:tcW w:w="89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4.86</w:t>
            </w:r>
          </w:p>
        </w:tc>
        <w:tc>
          <w:tcPr>
            <w:tcW w:w="13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烟尘</w:t>
            </w:r>
          </w:p>
        </w:tc>
        <w:tc>
          <w:tcPr>
            <w:tcW w:w="12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221-001-49</w:t>
            </w:r>
          </w:p>
        </w:tc>
        <w:tc>
          <w:tcPr>
            <w:tcW w:w="10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一般固废</w:t>
            </w:r>
          </w:p>
        </w:tc>
        <w:tc>
          <w:tcPr>
            <w:tcW w:w="1159"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环卫部门统一清运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jc w:val="center"/>
        </w:trPr>
        <w:tc>
          <w:tcPr>
            <w:tcW w:w="79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办公区</w:t>
            </w:r>
          </w:p>
        </w:tc>
        <w:tc>
          <w:tcPr>
            <w:tcW w:w="9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生活垃圾</w:t>
            </w:r>
          </w:p>
        </w:tc>
        <w:tc>
          <w:tcPr>
            <w:tcW w:w="125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职工生活</w:t>
            </w:r>
          </w:p>
        </w:tc>
        <w:tc>
          <w:tcPr>
            <w:tcW w:w="89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12</w:t>
            </w:r>
          </w:p>
        </w:tc>
        <w:tc>
          <w:tcPr>
            <w:tcW w:w="130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食品、果皮等</w:t>
            </w:r>
          </w:p>
        </w:tc>
        <w:tc>
          <w:tcPr>
            <w:tcW w:w="12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221-001-99</w:t>
            </w:r>
          </w:p>
        </w:tc>
        <w:tc>
          <w:tcPr>
            <w:tcW w:w="10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一般固废</w:t>
            </w:r>
          </w:p>
        </w:tc>
        <w:tc>
          <w:tcPr>
            <w:tcW w:w="1159"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r>
    </w:tbl>
    <w:p>
      <w:pPr>
        <w:pStyle w:val="2"/>
        <w:keepNext w:val="0"/>
        <w:keepLines w:val="0"/>
        <w:pageBreakBefore w:val="0"/>
        <w:widowControl w:val="0"/>
        <w:kinsoku/>
        <w:wordWrap/>
        <w:overflowPunct/>
        <w:topLinePunct w:val="0"/>
        <w:autoSpaceDE/>
        <w:autoSpaceDN/>
        <w:bidi w:val="0"/>
        <w:adjustRightInd/>
        <w:snapToGrid w:val="0"/>
        <w:spacing w:before="157" w:beforeLines="50" w:line="360" w:lineRule="auto"/>
        <w:ind w:left="0" w:leftChars="0" w:firstLine="0" w:firstLineChars="0"/>
        <w:jc w:val="both"/>
        <w:textAlignment w:val="auto"/>
        <w:rPr>
          <w:rFonts w:hint="eastAsia"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6.5</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2.2</w:t>
      </w:r>
      <w:r>
        <w:rPr>
          <w:rFonts w:hint="eastAsia" w:ascii="Times New Roman" w:hAnsi="Times New Roman"/>
          <w:b/>
          <w:bCs/>
          <w:sz w:val="24"/>
          <w:szCs w:val="24"/>
          <w:highlight w:val="none"/>
          <w:lang w:val="en-US" w:eastAsia="zh-CN"/>
        </w:rPr>
        <w:t>固体废物的贮存及处置方式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项目产生的木屑和浆渣，收集后送博汇纸业固体废物焚烧炉焚烧；废机油收集后，暂存危废间，委托有资质单位处理；石灰渣和碱回收系统收集粉尘收集后外卖建材企业；白泥收集后送石灰回收项目回收石灰；RTO系统收集颗粒物与生活垃圾收集后，由环卫部门统一清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本项目产生的固体废物均得到合理处理处置，不会对生态环境造成二次污染。</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ascii="Times New Roman" w:hAnsi="Times New Roman"/>
          <w:b/>
          <w:bCs/>
          <w:color w:val="auto"/>
          <w:sz w:val="30"/>
          <w:szCs w:val="30"/>
        </w:rPr>
      </w:pPr>
      <w:bookmarkStart w:id="37" w:name="_Toc15144"/>
      <w:bookmarkStart w:id="38" w:name="_Toc28483"/>
      <w:r>
        <w:rPr>
          <w:rFonts w:hint="eastAsia" w:ascii="Times New Roman" w:hAnsi="Times New Roman"/>
          <w:b/>
          <w:bCs/>
          <w:color w:val="auto"/>
          <w:sz w:val="30"/>
          <w:szCs w:val="30"/>
          <w:lang w:val="en-US" w:eastAsia="zh-CN"/>
        </w:rPr>
        <w:t>6.6</w:t>
      </w:r>
      <w:r>
        <w:rPr>
          <w:rFonts w:ascii="Times New Roman" w:hAnsi="Times New Roman"/>
          <w:b/>
          <w:bCs/>
          <w:color w:val="auto"/>
          <w:sz w:val="30"/>
          <w:szCs w:val="30"/>
        </w:rPr>
        <w:t xml:space="preserve"> </w:t>
      </w:r>
      <w:r>
        <w:rPr>
          <w:rFonts w:hint="eastAsia" w:ascii="Times New Roman" w:hAnsi="Times New Roman"/>
          <w:b/>
          <w:bCs/>
          <w:color w:val="auto"/>
          <w:sz w:val="30"/>
          <w:szCs w:val="30"/>
        </w:rPr>
        <w:t>环境风险评价</w:t>
      </w:r>
      <w:bookmarkEnd w:id="37"/>
      <w:bookmarkEnd w:id="38"/>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b/>
          <w:bCs/>
          <w:color w:val="auto"/>
          <w:sz w:val="28"/>
          <w:szCs w:val="28"/>
        </w:rPr>
      </w:pPr>
      <w:r>
        <w:rPr>
          <w:rFonts w:hint="eastAsia" w:ascii="Times New Roman" w:hAnsi="Times New Roman"/>
          <w:b/>
          <w:bCs/>
          <w:color w:val="auto"/>
          <w:sz w:val="28"/>
          <w:szCs w:val="28"/>
          <w:lang w:val="en-US" w:eastAsia="zh-CN"/>
        </w:rPr>
        <w:t>6.6</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1</w:t>
      </w:r>
      <w:r>
        <w:rPr>
          <w:rFonts w:ascii="Times New Roman" w:hAnsi="Times New Roman"/>
          <w:b/>
          <w:bCs/>
          <w:color w:val="auto"/>
          <w:sz w:val="28"/>
          <w:szCs w:val="28"/>
        </w:rPr>
        <w:t xml:space="preserve"> </w:t>
      </w:r>
      <w:r>
        <w:rPr>
          <w:rFonts w:hint="eastAsia" w:ascii="Times New Roman" w:hAnsi="Times New Roman"/>
          <w:b/>
          <w:bCs/>
          <w:color w:val="auto"/>
          <w:sz w:val="28"/>
          <w:szCs w:val="28"/>
        </w:rPr>
        <w:t>现有工程风险回顾性评价</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rPr>
      </w:pPr>
      <w:r>
        <w:rPr>
          <w:rFonts w:hint="eastAsia"/>
          <w:sz w:val="24"/>
          <w:szCs w:val="24"/>
        </w:rPr>
        <w:t>山东博汇纸业股份有限公司现有厂区主要产品为高档包装纸和石膏护面纸</w:t>
      </w:r>
      <w:r>
        <w:rPr>
          <w:rFonts w:hint="eastAsia"/>
          <w:sz w:val="24"/>
          <w:szCs w:val="24"/>
          <w:lang w:val="en-US" w:eastAsia="zh-CN"/>
        </w:rPr>
        <w:t>等产品</w:t>
      </w:r>
      <w:r>
        <w:rPr>
          <w:rFonts w:hint="eastAsia"/>
          <w:sz w:val="24"/>
          <w:szCs w:val="24"/>
        </w:rPr>
        <w:t>，主要原料为杨木、桉木和外购商品浆，辅助原料涉及双氧水等危险化学品。</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rPr>
      </w:pPr>
      <w:r>
        <w:rPr>
          <w:rFonts w:hint="eastAsia"/>
          <w:sz w:val="24"/>
          <w:szCs w:val="24"/>
          <w:lang w:val="en-US" w:eastAsia="zh-CN"/>
        </w:rPr>
        <w:t>本次评价</w:t>
      </w:r>
      <w:r>
        <w:rPr>
          <w:rFonts w:hint="eastAsia"/>
          <w:sz w:val="24"/>
          <w:szCs w:val="24"/>
        </w:rPr>
        <w:t>项目原料和产品属易燃物质，在运输、储存和使用的过程中容易发生火灾事故。辅料烧碱、双氧水等属于危险化学品，一旦发生事故将对周围环境及人群造成不利影响。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山东博汇纸业股份有限公司现有项目为：年产20万吨高档包装纸板项目、年产20万吨化机浆项目</w:t>
      </w:r>
      <w:r>
        <w:rPr>
          <w:rFonts w:hint="eastAsia" w:ascii="Times New Roman" w:hAnsi="Times New Roman"/>
          <w:sz w:val="24"/>
          <w:szCs w:val="24"/>
          <w:lang w:eastAsia="zh-CN"/>
        </w:rPr>
        <w:t>（</w:t>
      </w:r>
      <w:r>
        <w:rPr>
          <w:rFonts w:hint="eastAsia" w:ascii="Times New Roman" w:hAnsi="Times New Roman"/>
          <w:sz w:val="24"/>
          <w:szCs w:val="24"/>
          <w:lang w:val="en-US" w:eastAsia="zh-CN"/>
        </w:rPr>
        <w:t>1#</w:t>
      </w:r>
      <w:r>
        <w:rPr>
          <w:rFonts w:hint="eastAsia" w:ascii="Times New Roman" w:hAnsi="Times New Roman"/>
          <w:sz w:val="24"/>
          <w:szCs w:val="24"/>
          <w:lang w:eastAsia="zh-CN"/>
        </w:rPr>
        <w:t>）</w:t>
      </w:r>
      <w:r>
        <w:rPr>
          <w:rFonts w:hint="eastAsia" w:ascii="Times New Roman" w:hAnsi="Times New Roman"/>
          <w:sz w:val="24"/>
          <w:szCs w:val="24"/>
        </w:rPr>
        <w:t>、年产15万吨石膏护面纸技改工程、年产35万吨高档包装纸板项目、木托盘加工项目、年产150万吨高档包装纸板项目、年产25万吨重质碳酸钙研磨项目、年产40万吨碳酸钙研磨项目、化机浆废液蒸发处置项目、年产150万吨高档包装纸项目配套废塑料综合利用项目、化学奖臭气焚烧技改项目</w:t>
      </w:r>
      <w:r>
        <w:rPr>
          <w:rFonts w:hint="eastAsia" w:ascii="Times New Roman" w:hAnsi="Times New Roman"/>
          <w:sz w:val="24"/>
          <w:szCs w:val="24"/>
          <w:lang w:eastAsia="zh-CN"/>
        </w:rPr>
        <w:t>；</w:t>
      </w:r>
      <w:r>
        <w:rPr>
          <w:rFonts w:hint="eastAsia" w:ascii="Times New Roman" w:hAnsi="Times New Roman"/>
          <w:sz w:val="24"/>
          <w:szCs w:val="24"/>
        </w:rPr>
        <w:t>在建项目为年产45万吨高档信息用纸项目、年产20万吨化机浆项目</w:t>
      </w:r>
      <w:r>
        <w:rPr>
          <w:rFonts w:hint="eastAsia" w:ascii="Times New Roman" w:hAnsi="Times New Roman"/>
          <w:sz w:val="24"/>
          <w:szCs w:val="24"/>
          <w:lang w:eastAsia="zh-CN"/>
        </w:rPr>
        <w:t>（</w:t>
      </w:r>
      <w:r>
        <w:rPr>
          <w:rFonts w:hint="eastAsia" w:ascii="Times New Roman" w:hAnsi="Times New Roman"/>
          <w:sz w:val="24"/>
          <w:szCs w:val="24"/>
          <w:lang w:val="en-US" w:eastAsia="zh-CN"/>
        </w:rPr>
        <w:t>3#</w:t>
      </w:r>
      <w:r>
        <w:rPr>
          <w:rFonts w:hint="eastAsia" w:ascii="Times New Roman" w:hAnsi="Times New Roman"/>
          <w:sz w:val="24"/>
          <w:szCs w:val="24"/>
          <w:lang w:eastAsia="zh-CN"/>
        </w:rPr>
        <w:t>）、</w:t>
      </w:r>
      <w:r>
        <w:rPr>
          <w:rFonts w:hint="eastAsia" w:ascii="Times New Roman" w:hAnsi="Times New Roman"/>
          <w:sz w:val="24"/>
          <w:szCs w:val="24"/>
        </w:rPr>
        <w:t>固体废物焚烧处置项目、日产300吨石灰回收项目、</w:t>
      </w:r>
      <w:r>
        <w:rPr>
          <w:rFonts w:hint="eastAsia" w:ascii="Times New Roman" w:hAnsi="Times New Roman"/>
          <w:sz w:val="24"/>
          <w:szCs w:val="24"/>
          <w:lang w:val="en-US" w:eastAsia="zh-CN"/>
        </w:rPr>
        <w:t>年产150万吨高档包装纸项目配套废塑料综合利用项目、绿色环保能源综合利用之废水处理改造项目</w:t>
      </w:r>
      <w:r>
        <w:rPr>
          <w:rFonts w:hint="eastAsia" w:ascii="Times New Roman" w:hAnsi="Times New Roman"/>
          <w:sz w:val="24"/>
          <w:szCs w:val="24"/>
        </w:rPr>
        <w:t>。上述公司各现有工程均已验收或委托验收中，在建项目均取得环评批复。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博汇纸业201</w:t>
      </w:r>
      <w:r>
        <w:rPr>
          <w:rFonts w:hint="eastAsia" w:ascii="Times New Roman" w:hAnsi="Times New Roman"/>
          <w:sz w:val="24"/>
          <w:szCs w:val="24"/>
          <w:lang w:val="en-US" w:eastAsia="zh-CN"/>
        </w:rPr>
        <w:t>7</w:t>
      </w:r>
      <w:r>
        <w:rPr>
          <w:rFonts w:hint="eastAsia" w:ascii="Times New Roman" w:hAnsi="Times New Roman"/>
          <w:sz w:val="24"/>
          <w:szCs w:val="24"/>
        </w:rPr>
        <w:t>年编制了《山东博汇纸业股份有限公司突发环境事件应急预案》，并</w:t>
      </w:r>
      <w:r>
        <w:rPr>
          <w:rFonts w:hint="eastAsia" w:ascii="Times New Roman" w:hAnsi="Times New Roman"/>
          <w:sz w:val="24"/>
          <w:szCs w:val="24"/>
          <w:lang w:val="en-US" w:eastAsia="zh-CN"/>
        </w:rPr>
        <w:t>已</w:t>
      </w:r>
      <w:r>
        <w:rPr>
          <w:rFonts w:hint="eastAsia" w:ascii="Times New Roman" w:hAnsi="Times New Roman"/>
          <w:sz w:val="24"/>
          <w:szCs w:val="24"/>
        </w:rPr>
        <w:t>备案。20</w:t>
      </w:r>
      <w:r>
        <w:rPr>
          <w:rFonts w:hint="eastAsia" w:ascii="Times New Roman" w:hAnsi="Times New Roman"/>
          <w:sz w:val="24"/>
          <w:szCs w:val="24"/>
          <w:lang w:val="en-US" w:eastAsia="zh-CN"/>
        </w:rPr>
        <w:t>20</w:t>
      </w:r>
      <w:r>
        <w:rPr>
          <w:rFonts w:hint="eastAsia" w:ascii="Times New Roman" w:hAnsi="Times New Roman"/>
          <w:sz w:val="24"/>
          <w:szCs w:val="24"/>
        </w:rPr>
        <w:t>年公司重新编制了突发环境事件应急预案，已经上报县环保局审查备案。本次评价引用部分内容，给出现有厂区的应急预案。</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本次风险评价首先对现有工程开展回顾性评价，以风险评价导则，以及山东省相关环境风险防范文件为依据，找出现有工程在存在的环境风险问题，并提出整改措施；对</w:t>
      </w:r>
      <w:r>
        <w:rPr>
          <w:rFonts w:hint="eastAsia" w:ascii="Times New Roman" w:hAnsi="Times New Roman"/>
          <w:sz w:val="24"/>
          <w:szCs w:val="24"/>
          <w:lang w:val="en-US" w:eastAsia="zh-CN"/>
        </w:rPr>
        <w:t>本</w:t>
      </w:r>
      <w:r>
        <w:rPr>
          <w:rFonts w:hint="eastAsia" w:ascii="Times New Roman" w:hAnsi="Times New Roman"/>
          <w:sz w:val="24"/>
          <w:szCs w:val="24"/>
        </w:rPr>
        <w:t>项目提出切实可行的风险防范措施，并落实投入资金。</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ascii="Times New Roman" w:hAnsi="Times New Roman" w:eastAsia="宋体" w:cs="Times New Roman"/>
          <w:b/>
          <w:bCs/>
          <w:color w:val="auto"/>
          <w:sz w:val="24"/>
          <w:szCs w:val="24"/>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1.1</w:t>
      </w:r>
      <w:r>
        <w:rPr>
          <w:rFonts w:hint="eastAsia" w:ascii="Times New Roman" w:hAnsi="Times New Roman"/>
          <w:b/>
          <w:bCs/>
          <w:sz w:val="24"/>
          <w:szCs w:val="24"/>
          <w:highlight w:val="none"/>
          <w:lang w:val="en-US" w:eastAsia="zh-CN"/>
        </w:rPr>
        <w:t>功能单元划分</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rPr>
      </w:pPr>
      <w:r>
        <w:rPr>
          <w:rFonts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lang w:val="en-US" w:eastAsia="zh-CN"/>
        </w:rPr>
        <w:t>6.</w:t>
      </w:r>
      <w:r>
        <w:rPr>
          <w:rFonts w:hint="eastAsia" w:ascii="Times New Roman" w:hAnsi="Times New Roman" w:cs="Times New Roman"/>
          <w:b/>
          <w:bCs/>
          <w:color w:val="auto"/>
          <w:sz w:val="24"/>
          <w:szCs w:val="24"/>
          <w:lang w:val="en-US" w:eastAsia="zh-CN"/>
        </w:rPr>
        <w:t>6</w:t>
      </w:r>
      <w:r>
        <w:rPr>
          <w:rFonts w:hint="default" w:ascii="Times New Roman" w:hAnsi="Times New Roman" w:eastAsia="宋体" w:cs="Times New Roman"/>
          <w:b/>
          <w:bCs/>
          <w:color w:val="auto"/>
          <w:sz w:val="24"/>
          <w:szCs w:val="24"/>
        </w:rPr>
        <w:t>-</w:t>
      </w:r>
      <w:r>
        <w:rPr>
          <w:rFonts w:hint="eastAsia" w:ascii="Times New Roman" w:hAnsi="Times New Roman" w:cs="Times New Roman"/>
          <w:b/>
          <w:bCs/>
          <w:color w:val="auto"/>
          <w:sz w:val="24"/>
          <w:szCs w:val="24"/>
          <w:lang w:val="en-US" w:eastAsia="zh-CN"/>
        </w:rPr>
        <w:t>1</w:t>
      </w:r>
      <w:r>
        <w:rPr>
          <w:rFonts w:ascii="Times New Roman" w:hAnsi="Times New Roman" w:eastAsia="宋体" w:cs="Times New Roman"/>
          <w:b/>
          <w:bCs/>
          <w:color w:val="auto"/>
          <w:sz w:val="24"/>
          <w:szCs w:val="24"/>
        </w:rPr>
        <w:t xml:space="preserve"> </w:t>
      </w:r>
      <w:r>
        <w:rPr>
          <w:rFonts w:cs="Times New Roman"/>
          <w:b/>
          <w:bCs/>
          <w:color w:val="auto"/>
          <w:sz w:val="24"/>
          <w:szCs w:val="24"/>
        </w:rPr>
        <w:t xml:space="preserve"> </w:t>
      </w:r>
      <w:r>
        <w:rPr>
          <w:rFonts w:hint="eastAsia" w:cs="Times New Roman"/>
          <w:b/>
          <w:bCs/>
          <w:color w:val="auto"/>
          <w:sz w:val="24"/>
          <w:szCs w:val="24"/>
          <w:lang w:val="en-US" w:eastAsia="zh-CN"/>
        </w:rPr>
        <w:t>博汇纸业现有工程功能单元划分</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77"/>
        <w:gridCol w:w="3129"/>
        <w:gridCol w:w="1078"/>
        <w:gridCol w:w="1090"/>
        <w:gridCol w:w="254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1" w:hRule="atLeast"/>
          <w:jc w:val="center"/>
        </w:trPr>
        <w:tc>
          <w:tcPr>
            <w:tcW w:w="39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序号</w:t>
            </w:r>
          </w:p>
        </w:tc>
        <w:tc>
          <w:tcPr>
            <w:tcW w:w="183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单元名称</w:t>
            </w:r>
          </w:p>
        </w:tc>
        <w:tc>
          <w:tcPr>
            <w:tcW w:w="63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单元功能</w:t>
            </w:r>
          </w:p>
        </w:tc>
        <w:tc>
          <w:tcPr>
            <w:tcW w:w="6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建设情况</w:t>
            </w:r>
          </w:p>
        </w:tc>
        <w:tc>
          <w:tcPr>
            <w:tcW w:w="149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主要危险物质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6" w:hRule="atLeast"/>
          <w:jc w:val="center"/>
        </w:trPr>
        <w:tc>
          <w:tcPr>
            <w:tcW w:w="39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1</w:t>
            </w:r>
          </w:p>
        </w:tc>
        <w:tc>
          <w:tcPr>
            <w:tcW w:w="183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年产</w:t>
            </w:r>
            <w:r>
              <w:rPr>
                <w:rFonts w:ascii="Times New Roman" w:hAnsi="Times New Roman" w:cs="Times New Roman"/>
                <w:color w:val="000000" w:themeColor="text1"/>
                <w14:textFill>
                  <w14:solidFill>
                    <w14:schemeClr w14:val="tx1"/>
                  </w14:solidFill>
                </w14:textFill>
              </w:rPr>
              <w:t>20万吨高档包装纸板项目</w:t>
            </w:r>
          </w:p>
        </w:tc>
        <w:tc>
          <w:tcPr>
            <w:tcW w:w="63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生产单元</w:t>
            </w:r>
          </w:p>
        </w:tc>
        <w:tc>
          <w:tcPr>
            <w:tcW w:w="6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投产</w:t>
            </w:r>
          </w:p>
        </w:tc>
        <w:tc>
          <w:tcPr>
            <w:tcW w:w="149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商品桨板、成品纸</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3" w:hRule="atLeast"/>
          <w:jc w:val="center"/>
        </w:trPr>
        <w:tc>
          <w:tcPr>
            <w:tcW w:w="39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2</w:t>
            </w:r>
          </w:p>
        </w:tc>
        <w:tc>
          <w:tcPr>
            <w:tcW w:w="183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年产</w:t>
            </w:r>
            <w:r>
              <w:rPr>
                <w:rFonts w:ascii="Times New Roman" w:hAnsi="Times New Roman" w:cs="Times New Roman"/>
                <w:color w:val="000000" w:themeColor="text1"/>
                <w14:textFill>
                  <w14:solidFill>
                    <w14:schemeClr w14:val="tx1"/>
                  </w14:solidFill>
                </w14:textFill>
              </w:rPr>
              <w:t>35万</w:t>
            </w:r>
            <w:r>
              <w:rPr>
                <w:rFonts w:hint="eastAsia" w:ascii="Times New Roman" w:hAnsi="Times New Roman" w:cs="Times New Roman"/>
                <w:color w:val="000000" w:themeColor="text1"/>
                <w:lang w:val="en-US" w:eastAsia="zh-CN"/>
                <w14:textFill>
                  <w14:solidFill>
                    <w14:schemeClr w14:val="tx1"/>
                  </w14:solidFill>
                </w14:textFill>
              </w:rPr>
              <w:t>吨</w:t>
            </w:r>
            <w:r>
              <w:rPr>
                <w:rFonts w:ascii="Times New Roman" w:hAnsi="Times New Roman" w:cs="Times New Roman"/>
                <w:color w:val="000000" w:themeColor="text1"/>
                <w14:textFill>
                  <w14:solidFill>
                    <w14:schemeClr w14:val="tx1"/>
                  </w14:solidFill>
                </w14:textFill>
              </w:rPr>
              <w:t>高档包装纸板项目</w:t>
            </w:r>
          </w:p>
        </w:tc>
        <w:tc>
          <w:tcPr>
            <w:tcW w:w="63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生产单元</w:t>
            </w:r>
          </w:p>
        </w:tc>
        <w:tc>
          <w:tcPr>
            <w:tcW w:w="6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投产</w:t>
            </w:r>
          </w:p>
        </w:tc>
        <w:tc>
          <w:tcPr>
            <w:tcW w:w="149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商品桨板、成品纸</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39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3</w:t>
            </w:r>
          </w:p>
        </w:tc>
        <w:tc>
          <w:tcPr>
            <w:tcW w:w="183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年产</w:t>
            </w:r>
            <w:r>
              <w:rPr>
                <w:rFonts w:ascii="Times New Roman" w:hAnsi="Times New Roman" w:cs="Times New Roman"/>
                <w:color w:val="000000" w:themeColor="text1"/>
                <w14:textFill>
                  <w14:solidFill>
                    <w14:schemeClr w14:val="tx1"/>
                  </w14:solidFill>
                </w14:textFill>
              </w:rPr>
              <w:t>15万吨石膏护面纸项目</w:t>
            </w:r>
          </w:p>
        </w:tc>
        <w:tc>
          <w:tcPr>
            <w:tcW w:w="63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生产单元</w:t>
            </w:r>
          </w:p>
        </w:tc>
        <w:tc>
          <w:tcPr>
            <w:tcW w:w="6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投产</w:t>
            </w:r>
          </w:p>
        </w:tc>
        <w:tc>
          <w:tcPr>
            <w:tcW w:w="149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商品桨板、成品纸</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9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w:t>
            </w:r>
          </w:p>
        </w:tc>
        <w:tc>
          <w:tcPr>
            <w:tcW w:w="183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年产</w:t>
            </w:r>
            <w:r>
              <w:rPr>
                <w:rFonts w:ascii="Times New Roman" w:hAnsi="Times New Roman" w:cs="Times New Roman"/>
                <w:color w:val="000000" w:themeColor="text1"/>
                <w14:textFill>
                  <w14:solidFill>
                    <w14:schemeClr w14:val="tx1"/>
                  </w14:solidFill>
                </w14:textFill>
              </w:rPr>
              <w:t>20万吨化机浆项目</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w:t>
            </w:r>
            <w:r>
              <w:rPr>
                <w:rFonts w:hint="eastAsia" w:ascii="Times New Roman" w:hAnsi="Times New Roman" w:cs="Times New Roman"/>
                <w:color w:val="000000" w:themeColor="text1"/>
                <w:lang w:eastAsia="zh-CN"/>
                <w14:textFill>
                  <w14:solidFill>
                    <w14:schemeClr w14:val="tx1"/>
                  </w14:solidFill>
                </w14:textFill>
              </w:rPr>
              <w:t>）</w:t>
            </w:r>
          </w:p>
        </w:tc>
        <w:tc>
          <w:tcPr>
            <w:tcW w:w="63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生产单元</w:t>
            </w:r>
          </w:p>
        </w:tc>
        <w:tc>
          <w:tcPr>
            <w:tcW w:w="6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投产</w:t>
            </w:r>
          </w:p>
        </w:tc>
        <w:tc>
          <w:tcPr>
            <w:tcW w:w="149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杨木、桉木、烧碱、双氧水，成品浆板</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53" w:hRule="atLeast"/>
          <w:jc w:val="center"/>
        </w:trPr>
        <w:tc>
          <w:tcPr>
            <w:tcW w:w="39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5</w:t>
            </w:r>
          </w:p>
        </w:tc>
        <w:tc>
          <w:tcPr>
            <w:tcW w:w="183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年产150万吨高档包装纸板项目</w:t>
            </w:r>
          </w:p>
        </w:tc>
        <w:tc>
          <w:tcPr>
            <w:tcW w:w="632"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生产单元</w:t>
            </w:r>
          </w:p>
        </w:tc>
        <w:tc>
          <w:tcPr>
            <w:tcW w:w="639"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投产</w:t>
            </w:r>
          </w:p>
        </w:tc>
        <w:tc>
          <w:tcPr>
            <w:tcW w:w="1494"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lang w:eastAsia="zh-CN"/>
                <w14:textFill>
                  <w14:solidFill>
                    <w14:schemeClr w14:val="tx1"/>
                  </w14:solidFill>
                </w14:textFill>
              </w:rPr>
            </w:pPr>
            <w:r>
              <w:rPr>
                <w:rFonts w:ascii="Times New Roman" w:hAnsi="Times New Roman" w:cs="Times New Roman"/>
                <w:color w:val="000000" w:themeColor="text1"/>
                <w14:textFill>
                  <w14:solidFill>
                    <w14:schemeClr w14:val="tx1"/>
                  </w14:solidFill>
                </w14:textFill>
              </w:rPr>
              <w:t>杨木、桉木、烧碱、双氧水、浓硫酸、成品浆板</w:t>
            </w:r>
            <w:r>
              <w:rPr>
                <w:rFonts w:hint="eastAsia" w:ascii="Times New Roman" w:hAnsi="Times New Roman" w:cs="Times New Roman"/>
                <w:color w:val="000000" w:themeColor="text1"/>
                <w:lang w:eastAsia="zh-CN"/>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成品纸</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eastAsia" w:ascii="Times New Roman" w:hAnsi="Times New Roman"/>
          <w:sz w:val="24"/>
          <w:szCs w:val="24"/>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1.2</w:t>
      </w:r>
      <w:r>
        <w:rPr>
          <w:rFonts w:hint="eastAsia" w:ascii="Times New Roman" w:hAnsi="Times New Roman"/>
          <w:b/>
          <w:bCs/>
          <w:sz w:val="24"/>
          <w:szCs w:val="24"/>
          <w:highlight w:val="none"/>
          <w:lang w:val="en-US" w:eastAsia="zh-CN"/>
        </w:rPr>
        <w:t>生产装置风险类型分析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本项目主要装置的风险类型见下表。</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rPr>
      </w:pPr>
      <w:r>
        <w:rPr>
          <w:rFonts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lang w:val="en-US" w:eastAsia="zh-CN"/>
        </w:rPr>
        <w:t>6.</w:t>
      </w:r>
      <w:r>
        <w:rPr>
          <w:rFonts w:hint="eastAsia" w:ascii="Times New Roman" w:hAnsi="Times New Roman" w:cs="Times New Roman"/>
          <w:b/>
          <w:bCs/>
          <w:color w:val="auto"/>
          <w:sz w:val="24"/>
          <w:szCs w:val="24"/>
          <w:lang w:val="en-US" w:eastAsia="zh-CN"/>
        </w:rPr>
        <w:t>6</w:t>
      </w:r>
      <w:r>
        <w:rPr>
          <w:rFonts w:hint="default" w:ascii="Times New Roman" w:hAnsi="Times New Roman" w:eastAsia="宋体" w:cs="Times New Roman"/>
          <w:b/>
          <w:bCs/>
          <w:color w:val="auto"/>
          <w:sz w:val="24"/>
          <w:szCs w:val="24"/>
        </w:rPr>
        <w:t>-</w:t>
      </w:r>
      <w:r>
        <w:rPr>
          <w:rFonts w:hint="eastAsia" w:ascii="Times New Roman" w:hAnsi="Times New Roman" w:cs="Times New Roman"/>
          <w:b/>
          <w:bCs/>
          <w:color w:val="auto"/>
          <w:sz w:val="24"/>
          <w:szCs w:val="24"/>
          <w:lang w:val="en-US" w:eastAsia="zh-CN"/>
        </w:rPr>
        <w:t>2</w:t>
      </w:r>
      <w:r>
        <w:rPr>
          <w:rFonts w:ascii="Times New Roman" w:hAnsi="Times New Roman" w:eastAsia="宋体" w:cs="Times New Roman"/>
          <w:b/>
          <w:bCs/>
          <w:color w:val="auto"/>
          <w:sz w:val="24"/>
          <w:szCs w:val="24"/>
        </w:rPr>
        <w:t xml:space="preserve"> </w:t>
      </w:r>
      <w:r>
        <w:rPr>
          <w:rFonts w:cs="Times New Roman"/>
          <w:b/>
          <w:bCs/>
          <w:color w:val="auto"/>
          <w:sz w:val="24"/>
          <w:szCs w:val="24"/>
        </w:rPr>
        <w:t xml:space="preserve"> </w:t>
      </w:r>
      <w:r>
        <w:rPr>
          <w:rFonts w:hint="eastAsia" w:cs="Times New Roman"/>
          <w:b/>
          <w:bCs/>
          <w:color w:val="auto"/>
          <w:sz w:val="24"/>
          <w:szCs w:val="24"/>
          <w:lang w:val="en-US" w:eastAsia="zh-CN"/>
        </w:rPr>
        <w:t>博汇纸业厂区风险单元及风险类型一览表</w:t>
      </w:r>
    </w:p>
    <w:tbl>
      <w:tblPr>
        <w:tblStyle w:val="18"/>
        <w:tblW w:w="5019"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13" w:type="dxa"/>
          <w:bottom w:w="0" w:type="dxa"/>
          <w:right w:w="113" w:type="dxa"/>
        </w:tblCellMar>
      </w:tblPr>
      <w:tblGrid>
        <w:gridCol w:w="2891"/>
        <w:gridCol w:w="1585"/>
        <w:gridCol w:w="2622"/>
        <w:gridCol w:w="136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13" w:type="dxa"/>
            <w:bottom w:w="0" w:type="dxa"/>
            <w:right w:w="113" w:type="dxa"/>
          </w:tblCellMar>
        </w:tblPrEx>
        <w:trPr>
          <w:trHeight w:val="439" w:hRule="atLeast"/>
          <w:jc w:val="center"/>
        </w:trPr>
        <w:tc>
          <w:tcPr>
            <w:tcW w:w="1707"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装置名称</w:t>
            </w:r>
          </w:p>
        </w:tc>
        <w:tc>
          <w:tcPr>
            <w:tcW w:w="936"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危险岗位</w:t>
            </w:r>
          </w:p>
        </w:tc>
        <w:tc>
          <w:tcPr>
            <w:tcW w:w="1548"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危险物料</w:t>
            </w:r>
          </w:p>
        </w:tc>
        <w:tc>
          <w:tcPr>
            <w:tcW w:w="8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危险特征</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13" w:type="dxa"/>
            <w:bottom w:w="0" w:type="dxa"/>
            <w:right w:w="113" w:type="dxa"/>
          </w:tblCellMar>
        </w:tblPrEx>
        <w:trPr>
          <w:trHeight w:val="439" w:hRule="atLeast"/>
          <w:jc w:val="center"/>
        </w:trPr>
        <w:tc>
          <w:tcPr>
            <w:tcW w:w="1707"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年产</w:t>
            </w:r>
            <w:r>
              <w:rPr>
                <w:rFonts w:ascii="Times New Roman" w:hAnsi="Times New Roman" w:cs="Times New Roman"/>
                <w:color w:val="000000" w:themeColor="text1"/>
                <w14:textFill>
                  <w14:solidFill>
                    <w14:schemeClr w14:val="tx1"/>
                  </w14:solidFill>
                </w14:textFill>
              </w:rPr>
              <w:t>20万吨高档包装纸板项目</w:t>
            </w:r>
          </w:p>
        </w:tc>
        <w:tc>
          <w:tcPr>
            <w:tcW w:w="936"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原料、成品仓库</w:t>
            </w:r>
          </w:p>
        </w:tc>
        <w:tc>
          <w:tcPr>
            <w:tcW w:w="1548"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商品桨板、成品纸</w:t>
            </w:r>
          </w:p>
        </w:tc>
        <w:tc>
          <w:tcPr>
            <w:tcW w:w="8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火灾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13" w:type="dxa"/>
            <w:bottom w:w="0" w:type="dxa"/>
            <w:right w:w="113" w:type="dxa"/>
          </w:tblCellMar>
        </w:tblPrEx>
        <w:trPr>
          <w:trHeight w:val="439" w:hRule="atLeast"/>
          <w:jc w:val="center"/>
        </w:trPr>
        <w:tc>
          <w:tcPr>
            <w:tcW w:w="1707"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年产</w:t>
            </w:r>
            <w:r>
              <w:rPr>
                <w:rFonts w:ascii="Times New Roman" w:hAnsi="Times New Roman" w:cs="Times New Roman"/>
                <w:color w:val="000000" w:themeColor="text1"/>
                <w14:textFill>
                  <w14:solidFill>
                    <w14:schemeClr w14:val="tx1"/>
                  </w14:solidFill>
                </w14:textFill>
              </w:rPr>
              <w:t>35万</w:t>
            </w:r>
            <w:r>
              <w:rPr>
                <w:rFonts w:hint="eastAsia" w:ascii="Times New Roman" w:hAnsi="Times New Roman" w:cs="Times New Roman"/>
                <w:color w:val="000000" w:themeColor="text1"/>
                <w:lang w:val="en-US" w:eastAsia="zh-CN"/>
                <w14:textFill>
                  <w14:solidFill>
                    <w14:schemeClr w14:val="tx1"/>
                  </w14:solidFill>
                </w14:textFill>
              </w:rPr>
              <w:t>吨</w:t>
            </w:r>
            <w:r>
              <w:rPr>
                <w:rFonts w:ascii="Times New Roman" w:hAnsi="Times New Roman" w:cs="Times New Roman"/>
                <w:color w:val="000000" w:themeColor="text1"/>
                <w14:textFill>
                  <w14:solidFill>
                    <w14:schemeClr w14:val="tx1"/>
                  </w14:solidFill>
                </w14:textFill>
              </w:rPr>
              <w:t>高档包装纸板项目</w:t>
            </w:r>
          </w:p>
        </w:tc>
        <w:tc>
          <w:tcPr>
            <w:tcW w:w="936"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原料、成品仓库</w:t>
            </w:r>
          </w:p>
        </w:tc>
        <w:tc>
          <w:tcPr>
            <w:tcW w:w="1548"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商品桨板、成品纸</w:t>
            </w:r>
          </w:p>
        </w:tc>
        <w:tc>
          <w:tcPr>
            <w:tcW w:w="8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火灾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13" w:type="dxa"/>
            <w:bottom w:w="0" w:type="dxa"/>
            <w:right w:w="113" w:type="dxa"/>
          </w:tblCellMar>
        </w:tblPrEx>
        <w:trPr>
          <w:trHeight w:val="439" w:hRule="atLeast"/>
          <w:jc w:val="center"/>
        </w:trPr>
        <w:tc>
          <w:tcPr>
            <w:tcW w:w="1707"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年产</w:t>
            </w:r>
            <w:r>
              <w:rPr>
                <w:rFonts w:ascii="Times New Roman" w:hAnsi="Times New Roman" w:cs="Times New Roman"/>
                <w:color w:val="000000" w:themeColor="text1"/>
                <w14:textFill>
                  <w14:solidFill>
                    <w14:schemeClr w14:val="tx1"/>
                  </w14:solidFill>
                </w14:textFill>
              </w:rPr>
              <w:t>15万吨石膏护面纸项目</w:t>
            </w:r>
          </w:p>
        </w:tc>
        <w:tc>
          <w:tcPr>
            <w:tcW w:w="936"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原料、成品仓库</w:t>
            </w:r>
          </w:p>
        </w:tc>
        <w:tc>
          <w:tcPr>
            <w:tcW w:w="1548"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商品桨板、成品纸</w:t>
            </w:r>
          </w:p>
        </w:tc>
        <w:tc>
          <w:tcPr>
            <w:tcW w:w="8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火灾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13" w:type="dxa"/>
            <w:bottom w:w="0" w:type="dxa"/>
            <w:right w:w="113" w:type="dxa"/>
          </w:tblCellMar>
        </w:tblPrEx>
        <w:trPr>
          <w:trHeight w:val="599" w:hRule="atLeast"/>
          <w:jc w:val="center"/>
        </w:trPr>
        <w:tc>
          <w:tcPr>
            <w:tcW w:w="1707"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年产</w:t>
            </w:r>
            <w:r>
              <w:rPr>
                <w:rFonts w:ascii="Times New Roman" w:hAnsi="Times New Roman" w:cs="Times New Roman"/>
                <w:color w:val="000000" w:themeColor="text1"/>
                <w14:textFill>
                  <w14:solidFill>
                    <w14:schemeClr w14:val="tx1"/>
                  </w14:solidFill>
                </w14:textFill>
              </w:rPr>
              <w:t>20万吨化机浆项目</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w:t>
            </w:r>
            <w:r>
              <w:rPr>
                <w:rFonts w:hint="eastAsia" w:ascii="Times New Roman" w:hAnsi="Times New Roman" w:cs="Times New Roman"/>
                <w:color w:val="000000" w:themeColor="text1"/>
                <w:lang w:eastAsia="zh-CN"/>
                <w14:textFill>
                  <w14:solidFill>
                    <w14:schemeClr w14:val="tx1"/>
                  </w14:solidFill>
                </w14:textFill>
              </w:rPr>
              <w:t>）</w:t>
            </w:r>
          </w:p>
        </w:tc>
        <w:tc>
          <w:tcPr>
            <w:tcW w:w="936"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原料、成品仓库</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生产单元</w:t>
            </w:r>
          </w:p>
        </w:tc>
        <w:tc>
          <w:tcPr>
            <w:tcW w:w="1548"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t>杨木、桉木、烧碱、双氧水，成品浆板</w:t>
            </w:r>
          </w:p>
        </w:tc>
        <w:tc>
          <w:tcPr>
            <w:tcW w:w="8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火灾、泄漏、中毒</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13" w:type="dxa"/>
            <w:bottom w:w="0" w:type="dxa"/>
            <w:right w:w="113" w:type="dxa"/>
          </w:tblCellMar>
        </w:tblPrEx>
        <w:trPr>
          <w:trHeight w:val="886" w:hRule="atLeast"/>
          <w:jc w:val="center"/>
        </w:trPr>
        <w:tc>
          <w:tcPr>
            <w:tcW w:w="1707"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年产150万吨高档包装纸板项目</w:t>
            </w:r>
          </w:p>
        </w:tc>
        <w:tc>
          <w:tcPr>
            <w:tcW w:w="936"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原料、成品仓库</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生产单元</w:t>
            </w:r>
          </w:p>
        </w:tc>
        <w:tc>
          <w:tcPr>
            <w:tcW w:w="1548" w:type="pct"/>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 xml:space="preserve">  </w:t>
            </w:r>
            <w:r>
              <w:rPr>
                <w:rFonts w:ascii="Times New Roman" w:hAnsi="Times New Roman" w:cs="Times New Roman"/>
                <w:color w:val="000000" w:themeColor="text1"/>
                <w14:textFill>
                  <w14:solidFill>
                    <w14:schemeClr w14:val="tx1"/>
                  </w14:solidFill>
                </w14:textFill>
              </w:rPr>
              <w:t>杨木、桉木、烧碱、双氧水、浓硫酸、成品浆板</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成品纸</w:t>
            </w:r>
          </w:p>
        </w:tc>
        <w:tc>
          <w:tcPr>
            <w:tcW w:w="80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火灾、泄漏、中毒</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博汇纸业现有工程生产运行系统中，主要为纸机的运行，在实际生产中由同行业的类比可知可能存在着由于设备故障、操作失误、静电聚集和明火引起火灾事故的可能性。</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1.3</w:t>
      </w:r>
      <w:r>
        <w:rPr>
          <w:rFonts w:hint="eastAsia" w:ascii="Times New Roman" w:hAnsi="Times New Roman"/>
          <w:b/>
          <w:bCs/>
          <w:sz w:val="24"/>
          <w:szCs w:val="24"/>
          <w:highlight w:val="none"/>
          <w:lang w:val="en-US" w:eastAsia="zh-CN"/>
        </w:rPr>
        <w:t>风险单元识别</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生产过程中弯曲连接、阀门、泵、纸机、网部等均有可能发生火灾事故。</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根据对环境风险物质的筛选和工艺流程确定风险单元主要为：</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（1）原料运输过程；</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（2）原料输送过程；</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（3）原料储存过程；</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（4）生产过程。</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sz w:val="24"/>
          <w:szCs w:val="24"/>
          <w:lang w:val="en-US" w:eastAsia="zh-CN"/>
        </w:rPr>
        <w:t xml:space="preserve"> </w:t>
      </w: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1.4</w:t>
      </w:r>
      <w:r>
        <w:rPr>
          <w:rFonts w:hint="eastAsia" w:ascii="Times New Roman" w:hAnsi="Times New Roman"/>
          <w:b/>
          <w:bCs/>
          <w:sz w:val="24"/>
          <w:szCs w:val="24"/>
          <w:highlight w:val="none"/>
          <w:lang w:val="en-US" w:eastAsia="zh-CN"/>
        </w:rPr>
        <w:t>现有工程已采取的风险防范措施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eastAsia" w:ascii="Times New Roman" w:hAnsi="Times New Roman" w:eastAsia="宋体"/>
          <w:sz w:val="24"/>
          <w:szCs w:val="24"/>
          <w:lang w:val="en-US" w:eastAsia="zh-CN"/>
        </w:rPr>
        <w:t>根据现场勘查和资料收集整理，博汇纸业现有工程已采取的风险防范措施见下表</w:t>
      </w:r>
      <w:r>
        <w:rPr>
          <w:rFonts w:hint="eastAsia" w:ascii="Times New Roman" w:hAnsi="Times New Roman"/>
          <w:sz w:val="24"/>
          <w:szCs w:val="24"/>
          <w:lang w:val="en-US" w:eastAsia="zh-CN"/>
        </w:rPr>
        <w:t>，应急设施图见图6.6-1。</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ascii="Times New Roman" w:hAnsi="Times New Roman" w:eastAsia="宋体" w:cs="Times New Roman"/>
          <w:b/>
          <w:bCs/>
          <w:color w:val="auto"/>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ascii="Times New Roman" w:hAnsi="Times New Roman" w:eastAsia="宋体" w:cs="Times New Roman"/>
          <w:b/>
          <w:bCs/>
          <w:color w:val="auto"/>
          <w:sz w:val="24"/>
          <w:szCs w:val="24"/>
        </w:rPr>
      </w:pPr>
    </w:p>
    <w:p>
      <w:pPr>
        <w:pStyle w:val="2"/>
      </w:pP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rPr>
      </w:pPr>
      <w:r>
        <w:rPr>
          <w:rFonts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lang w:val="en-US" w:eastAsia="zh-CN"/>
        </w:rPr>
        <w:t>6.</w:t>
      </w:r>
      <w:r>
        <w:rPr>
          <w:rFonts w:hint="eastAsia" w:ascii="Times New Roman" w:hAnsi="Times New Roman" w:cs="Times New Roman"/>
          <w:b/>
          <w:bCs/>
          <w:color w:val="auto"/>
          <w:sz w:val="24"/>
          <w:szCs w:val="24"/>
          <w:lang w:val="en-US" w:eastAsia="zh-CN"/>
        </w:rPr>
        <w:t>6</w:t>
      </w:r>
      <w:r>
        <w:rPr>
          <w:rFonts w:hint="default" w:ascii="Times New Roman" w:hAnsi="Times New Roman" w:eastAsia="宋体" w:cs="Times New Roman"/>
          <w:b/>
          <w:bCs/>
          <w:color w:val="auto"/>
          <w:sz w:val="24"/>
          <w:szCs w:val="24"/>
        </w:rPr>
        <w:t>-</w:t>
      </w:r>
      <w:r>
        <w:rPr>
          <w:rFonts w:hint="eastAsia" w:ascii="Times New Roman" w:hAnsi="Times New Roman" w:cs="Times New Roman"/>
          <w:b/>
          <w:bCs/>
          <w:color w:val="auto"/>
          <w:sz w:val="24"/>
          <w:szCs w:val="24"/>
          <w:lang w:val="en-US" w:eastAsia="zh-CN"/>
        </w:rPr>
        <w:t>3</w:t>
      </w:r>
      <w:r>
        <w:rPr>
          <w:rFonts w:ascii="Times New Roman" w:hAnsi="Times New Roman" w:eastAsia="宋体" w:cs="Times New Roman"/>
          <w:b/>
          <w:bCs/>
          <w:color w:val="auto"/>
          <w:sz w:val="24"/>
          <w:szCs w:val="24"/>
        </w:rPr>
        <w:t xml:space="preserve"> </w:t>
      </w:r>
      <w:r>
        <w:rPr>
          <w:rFonts w:cs="Times New Roman"/>
          <w:b/>
          <w:bCs/>
          <w:color w:val="auto"/>
          <w:sz w:val="24"/>
          <w:szCs w:val="24"/>
        </w:rPr>
        <w:t xml:space="preserve"> </w:t>
      </w:r>
      <w:r>
        <w:rPr>
          <w:rFonts w:hint="eastAsia" w:cs="Times New Roman"/>
          <w:b/>
          <w:bCs/>
          <w:color w:val="auto"/>
          <w:sz w:val="24"/>
          <w:szCs w:val="24"/>
          <w:lang w:val="en-US" w:eastAsia="zh-CN"/>
        </w:rPr>
        <w:t>现有工程已采取的风险防范措施</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050"/>
        <w:gridCol w:w="747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616"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项目</w:t>
            </w:r>
          </w:p>
        </w:tc>
        <w:tc>
          <w:tcPr>
            <w:tcW w:w="4383"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已采取的风险防范措施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2635" w:hRule="atLeast"/>
          <w:jc w:val="center"/>
        </w:trPr>
        <w:tc>
          <w:tcPr>
            <w:tcW w:w="616"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消防设施</w:t>
            </w:r>
          </w:p>
        </w:tc>
        <w:tc>
          <w:tcPr>
            <w:tcW w:w="4383" w:type="pct"/>
            <w:vAlign w:val="center"/>
          </w:tcPr>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b/>
                <w:color w:val="000000" w:themeColor="text1"/>
                <w:sz w:val="21"/>
                <w:szCs w:val="21"/>
                <w14:textFill>
                  <w14:solidFill>
                    <w14:schemeClr w14:val="tx1"/>
                  </w14:solidFill>
                </w14:textFill>
              </w:rPr>
            </w:pPr>
            <w:r>
              <w:rPr>
                <w:rFonts w:hint="eastAsia" w:ascii="Times New Roman" w:hAnsi="Times New Roman" w:cs="Times New Roman"/>
                <w:b/>
                <w:color w:val="000000" w:themeColor="text1"/>
                <w:sz w:val="21"/>
                <w:szCs w:val="21"/>
                <w14:textFill>
                  <w14:solidFill>
                    <w14:schemeClr w14:val="tx1"/>
                  </w14:solidFill>
                </w14:textFill>
              </w:rPr>
              <w:t>1、</w:t>
            </w:r>
            <w:r>
              <w:rPr>
                <w:rFonts w:ascii="Times New Roman" w:hAnsi="Times New Roman" w:cs="Times New Roman"/>
                <w:b/>
                <w:color w:val="000000" w:themeColor="text1"/>
                <w:sz w:val="21"/>
                <w:szCs w:val="21"/>
                <w14:textFill>
                  <w14:solidFill>
                    <w14:schemeClr w14:val="tx1"/>
                  </w14:solidFill>
                </w14:textFill>
              </w:rPr>
              <w:t>料场消防设施明细：</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（1）料场潜水泵9台（7.5KW、上水量18m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/h、扬程20m）、消防机器5台（上水量35m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/h、油耗6公升/h、压力8KG、扬程40m）、灭火器（8KG）15个。</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（2）料场消防水沟（南北水沟两根：东边260m，西边250m；东西水沟三根：北边260m，南边610m，中间320m；长度共1400m，宽2m，深2m）存水（6800m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），料场补充水源三处：小清河南岸补水泵（300m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/h）、制浆五废水补水泵（250m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/h）、制浆五清水池补水泵（150m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2、制浆消防设施明细：</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（1）外消防栓18个，消防电机泵（37KW）1台（流量100m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/h、扬程80m、消防管线直径159mm、电源共有两路，一路为常用电源，一路为制浆五柴油发电机组应急电源），专供消防栓。压力达到8公斤时可供4个消防栓同时使用。</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（2）制浆五消防水池（长34m，宽18.5m，深6m）容量是3774m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，有两处补水：一是热回水补充水（350m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/h)，二是黄河水补水50m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/h，共补水量400m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3、制浆有柴油发电机组应急电源（50KW，耗油：30L/h）一台，应急状况下，可供：</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（1）制浆五消防电机泵（37KW）1台。</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（2）料场小清河南岸补水泵（30KW）一台和供料场3台11KW的潜水泵。</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b/>
                <w:color w:val="000000" w:themeColor="text1"/>
                <w:sz w:val="21"/>
                <w:szCs w:val="21"/>
                <w14:textFill>
                  <w14:solidFill>
                    <w14:schemeClr w14:val="tx1"/>
                  </w14:solidFill>
                </w14:textFill>
              </w:rPr>
            </w:pPr>
            <w:r>
              <w:rPr>
                <w:rFonts w:hint="eastAsia" w:ascii="Times New Roman" w:hAnsi="Times New Roman" w:cs="Times New Roman"/>
                <w:b/>
                <w:color w:val="000000" w:themeColor="text1"/>
                <w:sz w:val="21"/>
                <w:szCs w:val="21"/>
                <w14:textFill>
                  <w14:solidFill>
                    <w14:schemeClr w14:val="tx1"/>
                  </w14:solidFill>
                </w14:textFill>
              </w:rPr>
              <w:t>4、</w:t>
            </w:r>
            <w:r>
              <w:rPr>
                <w:rFonts w:ascii="Times New Roman" w:hAnsi="Times New Roman" w:cs="Times New Roman"/>
                <w:b/>
                <w:color w:val="000000" w:themeColor="text1"/>
                <w:sz w:val="21"/>
                <w:szCs w:val="21"/>
                <w14:textFill>
                  <w14:solidFill>
                    <w14:schemeClr w14:val="tx1"/>
                  </w14:solidFill>
                </w14:textFill>
              </w:rPr>
              <w:t>纸厂消防设施：</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（1）室外消防栓16个，室内消防栓150个，消防电机泵（30KW）2台（流量100m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/h、扬程70m、管线直径159mm、电源共有两路，一路为常用电源，一路为文化纸厂柴油发电机组应急电源），专供消防栓用。</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（2）共3个消防水池（物资仓南侧消防池长32m，宽24m，深6m，共4608m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；物资仓北侧消防池长33m，宽32m，深6m，共6336m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；十一车间南侧消防池：长16m，宽8m，深4m，共512m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），容量共11456m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，有三处补水：物资仓南北两侧消防池均为黄河水补水，补水能力1000m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/h，南侧消防水热回水补充水50m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/h；十一车间南侧消防水黄河水补水500m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5、卡纸1#机消防设施：</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（1）室外消防栓13个，室内消防栓90个，消防电机泵（75KW）2台（流量280m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/h、扬程63m、管线直径350mm、电源共有两路，一路为常用电源，一路为二电厂柴油发电机组应急电源1200kw），专供消防栓。</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（2）消防水池（长323m，宽40m，深8m）容量103360m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,补充黄河水量1700m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（3）30万吨卡纸消防栓5个，消防水沟（南水沟：长125m，宽0.8m，深1.4m；中间水沟：长145m，宽0.8m，深1.2m）容量279.2m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，补充处理水30m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/h，有消防机器3台（上水量35m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/h、油耗6公升/h、压力8KG、扬程40m），潜水泵1台（7.5KW、上水量18m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/h、扬程20m）。</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经试验正常电源启动2台电机泵，可供8个消防栓同时使用。</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b/>
                <w:color w:val="000000" w:themeColor="text1"/>
                <w:sz w:val="21"/>
                <w:szCs w:val="21"/>
                <w14:textFill>
                  <w14:solidFill>
                    <w14:schemeClr w14:val="tx1"/>
                  </w14:solidFill>
                </w14:textFill>
              </w:rPr>
            </w:pPr>
            <w:r>
              <w:rPr>
                <w:rFonts w:ascii="Times New Roman" w:hAnsi="Times New Roman" w:cs="Times New Roman"/>
                <w:b/>
                <w:color w:val="000000" w:themeColor="text1"/>
                <w:sz w:val="21"/>
                <w:szCs w:val="21"/>
                <w14:textFill>
                  <w14:solidFill>
                    <w14:schemeClr w14:val="tx1"/>
                  </w14:solidFill>
                </w14:textFill>
              </w:rPr>
              <w:t>6、四区卡纸2#</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（1）卡纸2#室外消防栓65个，室内消防栓283个,消防电机泵共9台，其中：110KW5台（扬程90m，流量306m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/h、管线直径25mm）供消防炮、90KW2台（扬程70m，流量280m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/h、管线直径25mm）供自动喷淋、75KW2台供消防栓。</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（2）卡纸2#机消防水池（长190m，宽74m，深8m）共112480m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，补充黄河水量5700m</w:t>
            </w:r>
            <w:r>
              <w:rPr>
                <w:rFonts w:ascii="Times New Roman" w:hAnsi="Times New Roman" w:cs="Times New Roman"/>
                <w:color w:val="000000" w:themeColor="text1"/>
                <w:sz w:val="21"/>
                <w:szCs w:val="21"/>
                <w:vertAlign w:val="superscript"/>
                <w14:textFill>
                  <w14:solidFill>
                    <w14:schemeClr w14:val="tx1"/>
                  </w14:solidFill>
                </w14:textFill>
              </w:rPr>
              <w:t>3</w:t>
            </w:r>
            <w:r>
              <w:rPr>
                <w:rFonts w:ascii="Times New Roman" w:hAnsi="Times New Roman" w:cs="Times New Roman"/>
                <w:color w:val="000000" w:themeColor="text1"/>
                <w:sz w:val="21"/>
                <w:szCs w:val="21"/>
                <w14:textFill>
                  <w14:solidFill>
                    <w14:schemeClr w14:val="tx1"/>
                  </w14:solidFill>
                </w14:textFill>
              </w:rPr>
              <w:t>/h。</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（3）卡纸2#机应急柴油发电机组（1200KW，耗油200L/h）1台，专供应急电源和2台90kw消防泵。</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366" w:hRule="atLeast"/>
          <w:jc w:val="center"/>
        </w:trPr>
        <w:tc>
          <w:tcPr>
            <w:tcW w:w="616"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仓库</w:t>
            </w:r>
          </w:p>
        </w:tc>
        <w:tc>
          <w:tcPr>
            <w:tcW w:w="4383" w:type="pct"/>
            <w:vAlign w:val="center"/>
          </w:tcPr>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1、桨板正确放置；</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2、仓库设置冷却水喷淋、静电导除设施；</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3、仓库设置导流槽，防火沙，设置消防设施；</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4、仓库内的电器开关设置在远离物料堆放处。</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318" w:hRule="atLeast"/>
          <w:jc w:val="center"/>
        </w:trPr>
        <w:tc>
          <w:tcPr>
            <w:tcW w:w="616"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生产区</w:t>
            </w:r>
          </w:p>
        </w:tc>
        <w:tc>
          <w:tcPr>
            <w:tcW w:w="4383" w:type="pct"/>
            <w:vAlign w:val="center"/>
          </w:tcPr>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1、桨板及成品纸正确放置；</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2、设置喷淋、静电导除设施；</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3、设置导流槽，防火沙，设置消防设施；</w:t>
            </w:r>
          </w:p>
          <w:p>
            <w:pPr>
              <w:keepNext w:val="0"/>
              <w:keepLines w:val="0"/>
              <w:pageBreakBefore w:val="0"/>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4、电器开关设置在远离物料堆放处。</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47" w:hRule="atLeast"/>
          <w:jc w:val="center"/>
        </w:trPr>
        <w:tc>
          <w:tcPr>
            <w:tcW w:w="616" w:type="pct"/>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2"/>
              <w:rPr>
                <w:rFonts w:ascii="Times New Roman" w:hAnsi="Times New Roman" w:cs="Times New Roman"/>
                <w:color w:val="000000" w:themeColor="text1"/>
                <w:sz w:val="21"/>
                <w:szCs w:val="21"/>
                <w14:textFill>
                  <w14:solidFill>
                    <w14:schemeClr w14:val="tx1"/>
                  </w14:solidFill>
                </w14:textFill>
              </w:rPr>
            </w:pPr>
            <w:bookmarkStart w:id="39" w:name="_Toc2948582"/>
            <w:r>
              <w:rPr>
                <w:rFonts w:ascii="Times New Roman" w:hAnsi="Times New Roman" w:cs="Times New Roman"/>
                <w:bCs/>
                <w:color w:val="000000" w:themeColor="text1"/>
                <w:sz w:val="21"/>
                <w:szCs w:val="21"/>
                <w14:textFill>
                  <w14:solidFill>
                    <w14:schemeClr w14:val="tx1"/>
                  </w14:solidFill>
                </w14:textFill>
              </w:rPr>
              <w:t>截流措施</w:t>
            </w:r>
            <w:bookmarkEnd w:id="39"/>
          </w:p>
        </w:tc>
        <w:tc>
          <w:tcPr>
            <w:tcW w:w="4383" w:type="pct"/>
            <w:vAlign w:val="center"/>
          </w:tcPr>
          <w:p>
            <w:pPr>
              <w:keepNext w:val="0"/>
              <w:keepLines w:val="0"/>
              <w:pageBreakBefore w:val="0"/>
              <w:widowControl/>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1、各装置生产过程中均选用密封良好的输送泵，工艺管线密封防腐防泄漏，设备配套的阀门、仪表接头等密闭，基本无跑、冒、滴、漏现象，生产设备防腐蚀且严密不漏；</w:t>
            </w:r>
          </w:p>
          <w:p>
            <w:pPr>
              <w:keepNext w:val="0"/>
              <w:keepLines w:val="0"/>
              <w:pageBreakBefore w:val="0"/>
              <w:widowControl/>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2、生产车间内部设置废水收集沟，车间外围设置雨水收集沟，可截流车间内及外部废水，防止流出装置区域；</w:t>
            </w:r>
          </w:p>
          <w:p>
            <w:pPr>
              <w:keepNext w:val="0"/>
              <w:keepLines w:val="0"/>
              <w:pageBreakBefore w:val="0"/>
              <w:widowControl/>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3、化学木浆项目浓硫酸储罐设置1.2m高围堰，甲醇储罐设置1.3m高围堰，高档包装纸厂区南侧柴油储罐设置1.0m高围堰，可将泄漏物料截流在围堰内；</w:t>
            </w:r>
          </w:p>
          <w:p>
            <w:pPr>
              <w:keepNext w:val="0"/>
              <w:keepLines w:val="0"/>
              <w:pageBreakBefore w:val="0"/>
              <w:widowControl/>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4、20万吨/年化机浆项目车间内双氧水和液碱储罐未设置围堰，泄漏物料不能有效截流，后期在液碱和双氧水储罐周围需设置围堰；</w:t>
            </w:r>
          </w:p>
          <w:p>
            <w:pPr>
              <w:keepNext w:val="0"/>
              <w:keepLines w:val="0"/>
              <w:pageBreakBefore w:val="0"/>
              <w:widowControl/>
              <w:kinsoku/>
              <w:wordWrap/>
              <w:overflowPunct/>
              <w:topLinePunct w:val="0"/>
              <w:autoSpaceDE/>
              <w:autoSpaceDN/>
              <w:bidi w:val="0"/>
              <w:adjustRightInd w:val="0"/>
              <w:snapToGrid w:val="0"/>
              <w:spacing w:line="240" w:lineRule="auto"/>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5、</w:t>
            </w:r>
            <w:r>
              <w:rPr>
                <w:rFonts w:hint="eastAsia" w:ascii="Times New Roman" w:hAnsi="Times New Roman"/>
                <w:color w:val="000000" w:themeColor="text1"/>
                <w14:textFill>
                  <w14:solidFill>
                    <w14:schemeClr w14:val="tx1"/>
                  </w14:solidFill>
                </w14:textFill>
              </w:rPr>
              <w:t>博汇纸业博汇纸业绿色环保能源综合利用之废水处理项目</w:t>
            </w:r>
            <w:r>
              <w:rPr>
                <w:rFonts w:ascii="Times New Roman" w:hAnsi="Times New Roman" w:cs="Times New Roman"/>
                <w:color w:val="000000" w:themeColor="text1"/>
                <w:sz w:val="21"/>
                <w:szCs w:val="21"/>
                <w14:textFill>
                  <w14:solidFill>
                    <w14:schemeClr w14:val="tx1"/>
                  </w14:solidFill>
                </w14:textFill>
              </w:rPr>
              <w:t>后排水进入杏花河，排水口下游约700m设置切断阀门，污水处理厂排水口处未设置切断措施，后期需在厂区总排水口设置切断措施。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031" w:hRule="atLeast"/>
          <w:jc w:val="center"/>
        </w:trPr>
        <w:tc>
          <w:tcPr>
            <w:tcW w:w="616"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4800m</w:t>
            </w:r>
            <w:r>
              <w:rPr>
                <w:rFonts w:ascii="Times New Roman" w:hAnsi="Times New Roman" w:cs="Times New Roman"/>
                <w:color w:val="000000" w:themeColor="text1"/>
                <w:sz w:val="21"/>
                <w:szCs w:val="21"/>
                <w:vertAlign w:val="superscript"/>
                <w14:textFill>
                  <w14:solidFill>
                    <w14:schemeClr w14:val="tx1"/>
                  </w14:solidFill>
                </w14:textFill>
              </w:rPr>
              <w:t>3</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事故水池</w:t>
            </w:r>
          </w:p>
        </w:tc>
        <w:tc>
          <w:tcPr>
            <w:tcW w:w="4383"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pPr>
          </w:p>
          <w:p>
            <w:pPr>
              <w:keepNext w:val="0"/>
              <w:keepLines w:val="0"/>
              <w:pageBreakBefore w:val="0"/>
              <w:kinsoku/>
              <w:wordWrap/>
              <w:overflowPunct/>
              <w:topLinePunct w:val="0"/>
              <w:autoSpaceDE/>
              <w:autoSpaceDN/>
              <w:bidi w:val="0"/>
              <w:adjustRightInd w:val="0"/>
              <w:snapToGrid w:val="0"/>
              <w:spacing w:line="240" w:lineRule="auto"/>
              <w:jc w:val="center"/>
              <w:textAlignment w:val="auto"/>
            </w:pPr>
            <w:r>
              <w:drawing>
                <wp:inline distT="0" distB="0" distL="0" distR="0">
                  <wp:extent cx="4463415" cy="3355340"/>
                  <wp:effectExtent l="0" t="0" r="13335" b="16510"/>
                  <wp:docPr id="68" name="图片 68" descr="E:\2016年工作\博汇纸业160101091\反馈资料\事故水池照片\27196081556011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E:\2016年工作\博汇纸业160101091\反馈资料\事故水池照片\271960815560111638.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a:xfrm>
                            <a:off x="0" y="0"/>
                            <a:ext cx="4463415" cy="3355340"/>
                          </a:xfrm>
                          <a:prstGeom prst="rect">
                            <a:avLst/>
                          </a:prstGeom>
                          <a:noFill/>
                          <a:ln>
                            <a:noFill/>
                          </a:ln>
                        </pic:spPr>
                      </pic:pic>
                    </a:graphicData>
                  </a:graphic>
                </wp:inline>
              </w:drawing>
            </w:r>
          </w:p>
          <w:p>
            <w:pPr>
              <w:pStyle w:val="10"/>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1455" w:hRule="atLeast"/>
          <w:jc w:val="center"/>
        </w:trPr>
        <w:tc>
          <w:tcPr>
            <w:tcW w:w="616"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厂区地势及厂界围墙</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建设情况</w:t>
            </w:r>
          </w:p>
        </w:tc>
        <w:tc>
          <w:tcPr>
            <w:tcW w:w="4383" w:type="pct"/>
            <w:vAlign w:val="center"/>
          </w:tcPr>
          <w:p>
            <w:pPr>
              <w:keepNext w:val="0"/>
              <w:keepLines w:val="0"/>
              <w:pageBreakBefore w:val="0"/>
              <w:kinsoku/>
              <w:wordWrap/>
              <w:overflowPunct/>
              <w:topLinePunct w:val="0"/>
              <w:autoSpaceDE/>
              <w:autoSpaceDN/>
              <w:bidi w:val="0"/>
              <w:adjustRightInd w:val="0"/>
              <w:snapToGrid w:val="0"/>
              <w:spacing w:line="240" w:lineRule="auto"/>
              <w:jc w:val="left"/>
              <w:textAlignment w:val="auto"/>
              <w:rPr>
                <w:rFonts w:ascii="Times New Roman" w:hAnsi="Times New Roman" w:cs="Times New Roman"/>
                <w:color w:val="000000" w:themeColor="text1"/>
                <w:sz w:val="21"/>
                <w:szCs w:val="21"/>
                <w14:textFill>
                  <w14:solidFill>
                    <w14:schemeClr w14:val="tx1"/>
                  </w14:solidFill>
                </w14:textFill>
              </w:rPr>
            </w:pPr>
          </w:p>
          <w:p>
            <w:pPr>
              <w:keepNext w:val="0"/>
              <w:keepLines w:val="0"/>
              <w:pageBreakBefore w:val="0"/>
              <w:kinsoku/>
              <w:wordWrap/>
              <w:overflowPunct/>
              <w:topLinePunct w:val="0"/>
              <w:autoSpaceDE/>
              <w:autoSpaceDN/>
              <w:bidi w:val="0"/>
              <w:adjustRightInd w:val="0"/>
              <w:snapToGrid w:val="0"/>
              <w:spacing w:line="240" w:lineRule="auto"/>
              <w:jc w:val="left"/>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厂区北侧地势比小清河河岸低，事故状态下废水不会自流小清河。博汇纸业在小清河南岸设置围墙。厂区南侧设置1米高围墙，事故状态下废水不会流至墙外杏花河。</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drawing>
                <wp:inline distT="0" distB="0" distL="0" distR="0">
                  <wp:extent cx="4477385" cy="2934335"/>
                  <wp:effectExtent l="0" t="0" r="18415" b="18415"/>
                  <wp:docPr id="69" name="图片 69" descr="DSC0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DSC0615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4477385" cy="2934335"/>
                          </a:xfrm>
                          <a:prstGeom prst="rect">
                            <a:avLst/>
                          </a:prstGeom>
                          <a:noFill/>
                          <a:ln>
                            <a:noFill/>
                          </a:ln>
                        </pic:spPr>
                      </pic:pic>
                    </a:graphicData>
                  </a:graphic>
                </wp:inline>
              </w:drawing>
            </w:r>
          </w:p>
          <w:p>
            <w:pPr>
              <w:pStyle w:val="10"/>
            </w:pP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kern w:val="144"/>
                <w:sz w:val="21"/>
                <w:szCs w:val="21"/>
                <w14:textFill>
                  <w14:solidFill>
                    <w14:schemeClr w14:val="tx1"/>
                  </w14:solidFill>
                </w14:textFill>
              </w:rPr>
            </w:pPr>
            <w:r>
              <w:rPr>
                <w:rFonts w:ascii="Times New Roman" w:hAnsi="Times New Roman" w:cs="Times New Roman"/>
                <w:color w:val="000000" w:themeColor="text1"/>
                <w:kern w:val="144"/>
                <w:sz w:val="21"/>
                <w:szCs w:val="21"/>
                <w14:textFill>
                  <w14:solidFill>
                    <w14:schemeClr w14:val="tx1"/>
                  </w14:solidFill>
                </w14:textFill>
              </w:rPr>
              <w:drawing>
                <wp:inline distT="0" distB="0" distL="0" distR="0">
                  <wp:extent cx="4483735" cy="3252470"/>
                  <wp:effectExtent l="0" t="0" r="12065" b="5080"/>
                  <wp:docPr id="70" name="图片 70" descr="63100637040981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63100637040981063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a:xfrm>
                            <a:off x="0" y="0"/>
                            <a:ext cx="4483735" cy="325247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kern w:val="144"/>
                <w:sz w:val="21"/>
                <w:szCs w:val="21"/>
                <w14:textFill>
                  <w14:solidFill>
                    <w14:schemeClr w14:val="tx1"/>
                  </w14:solidFill>
                </w14:textFill>
              </w:rPr>
              <w:drawing>
                <wp:inline distT="0" distB="0" distL="0" distR="0">
                  <wp:extent cx="3886200" cy="2901950"/>
                  <wp:effectExtent l="0" t="0" r="0" b="12700"/>
                  <wp:docPr id="71" name="图片 71" descr="400313843497484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40031384349748475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a:xfrm>
                            <a:off x="0" y="0"/>
                            <a:ext cx="3886200" cy="2901950"/>
                          </a:xfrm>
                          <a:prstGeom prst="rect">
                            <a:avLst/>
                          </a:prstGeom>
                          <a:noFill/>
                          <a:ln>
                            <a:noFill/>
                          </a:ln>
                        </pic:spPr>
                      </pic:pic>
                    </a:graphicData>
                  </a:graphic>
                </wp:inline>
              </w:drawing>
            </w:r>
          </w:p>
        </w:tc>
      </w:tr>
    </w:tbl>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2" w:hRule="atLeast"/>
        </w:trPr>
        <w:tc>
          <w:tcPr>
            <w:tcW w:w="25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pPr>
            <w:r>
              <w:drawing>
                <wp:inline distT="0" distB="0" distL="0" distR="0">
                  <wp:extent cx="2400300" cy="1597025"/>
                  <wp:effectExtent l="0" t="0" r="0" b="3175"/>
                  <wp:docPr id="200" name="图片 200" descr="DSC0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DSC0263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a:xfrm>
                            <a:off x="0" y="0"/>
                            <a:ext cx="2400300" cy="1597551"/>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eastAsia="宋体"/>
                <w:lang w:val="en-US" w:eastAsia="zh-CN"/>
              </w:rPr>
            </w:pPr>
            <w:r>
              <w:rPr>
                <w:rFonts w:hint="eastAsia" w:ascii="Times New Roman" w:hAnsi="Times New Roman" w:cs="Times New Roman"/>
                <w:color w:val="000000" w:themeColor="text1"/>
                <w:szCs w:val="21"/>
                <w:lang w:val="en-US" w:eastAsia="zh-CN"/>
                <w14:textFill>
                  <w14:solidFill>
                    <w14:schemeClr w14:val="tx1"/>
                  </w14:solidFill>
                </w14:textFill>
              </w:rPr>
              <w:t>车间周围环形钩</w:t>
            </w:r>
          </w:p>
        </w:tc>
        <w:tc>
          <w:tcPr>
            <w:tcW w:w="25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pPr>
            <w:r>
              <w:drawing>
                <wp:inline distT="0" distB="0" distL="0" distR="0">
                  <wp:extent cx="2390775" cy="1590675"/>
                  <wp:effectExtent l="0" t="0" r="9525" b="9525"/>
                  <wp:docPr id="201" name="图片 201" descr="DSC0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DSC0263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a:xfrm>
                            <a:off x="0" y="0"/>
                            <a:ext cx="2390775" cy="1591211"/>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eastAsia="宋体"/>
                <w:lang w:val="en-US" w:eastAsia="zh-CN"/>
              </w:rPr>
            </w:pPr>
            <w:r>
              <w:rPr>
                <w:rFonts w:hint="eastAsia" w:ascii="Times New Roman" w:hAnsi="Times New Roman" w:cs="Times New Roman"/>
                <w:color w:val="000000" w:themeColor="text1"/>
                <w:szCs w:val="21"/>
                <w:lang w:val="en-US" w:eastAsia="zh-CN"/>
                <w14:textFill>
                  <w14:solidFill>
                    <w14:schemeClr w14:val="tx1"/>
                  </w14:solidFill>
                </w14:textFill>
              </w:rPr>
              <w:t>消防箱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1" w:hRule="atLeast"/>
        </w:trPr>
        <w:tc>
          <w:tcPr>
            <w:tcW w:w="25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pPr>
            <w:r>
              <w:drawing>
                <wp:inline distT="0" distB="0" distL="0" distR="0">
                  <wp:extent cx="2419350" cy="1657985"/>
                  <wp:effectExtent l="0" t="0" r="0" b="18415"/>
                  <wp:docPr id="202" name="图片 202" descr="31832685921218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318326859212183619"/>
                          <pic:cNvPicPr>
                            <a:picLocks noChangeAspect="1" noChangeArrowheads="1"/>
                          </pic:cNvPicPr>
                        </pic:nvPicPr>
                        <pic:blipFill>
                          <a:blip r:embed="rId158" cstate="print">
                            <a:extLst>
                              <a:ext uri="{28A0092B-C50C-407E-A947-70E740481C1C}">
                                <a14:useLocalDpi xmlns:a14="http://schemas.microsoft.com/office/drawing/2010/main" val="0"/>
                              </a:ext>
                            </a:extLst>
                          </a:blip>
                          <a:srcRect b="8810"/>
                          <a:stretch>
                            <a:fillRect/>
                          </a:stretch>
                        </pic:blipFill>
                        <pic:spPr>
                          <a:xfrm>
                            <a:off x="0" y="0"/>
                            <a:ext cx="2421487" cy="165976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eastAsia="宋体"/>
                <w:lang w:val="en-US" w:eastAsia="zh-CN"/>
              </w:rPr>
            </w:pPr>
            <w:r>
              <w:rPr>
                <w:rFonts w:hint="eastAsia" w:ascii="Times New Roman" w:hAnsi="Times New Roman" w:cs="Times New Roman"/>
                <w:b w:val="0"/>
                <w:bCs/>
                <w:color w:val="000000" w:themeColor="text1"/>
                <w:szCs w:val="21"/>
                <w:lang w:val="en-US" w:eastAsia="zh-CN"/>
                <w14:textFill>
                  <w14:solidFill>
                    <w14:schemeClr w14:val="tx1"/>
                  </w14:solidFill>
                </w14:textFill>
              </w:rPr>
              <w:t>雨水泵</w:t>
            </w:r>
          </w:p>
        </w:tc>
        <w:tc>
          <w:tcPr>
            <w:tcW w:w="25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lang w:val="en-US" w:eastAsia="zh-CN"/>
              </w:rPr>
            </w:pPr>
            <w:r>
              <w:drawing>
                <wp:inline distT="0" distB="0" distL="0" distR="0">
                  <wp:extent cx="2476500" cy="1647825"/>
                  <wp:effectExtent l="0" t="0" r="0" b="9525"/>
                  <wp:docPr id="203" name="图片 203" descr="DSC0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DSC0263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a:xfrm>
                            <a:off x="0" y="0"/>
                            <a:ext cx="2476854" cy="1648503"/>
                          </a:xfrm>
                          <a:prstGeom prst="rect">
                            <a:avLst/>
                          </a:prstGeom>
                          <a:noFill/>
                          <a:ln>
                            <a:noFill/>
                          </a:ln>
                        </pic:spPr>
                      </pic:pic>
                    </a:graphicData>
                  </a:graphic>
                </wp:inline>
              </w:drawing>
            </w:r>
            <w:r>
              <w:rPr>
                <w:rFonts w:hint="eastAsia" w:ascii="Times New Roman" w:hAnsi="Times New Roman" w:cs="Times New Roman"/>
                <w:color w:val="000000" w:themeColor="text1"/>
                <w:szCs w:val="21"/>
                <w:lang w:val="en-US" w:eastAsia="zh-CN"/>
                <w14:textFill>
                  <w14:solidFill>
                    <w14:schemeClr w14:val="tx1"/>
                  </w14:solidFill>
                </w14:textFill>
              </w:rPr>
              <w:t>控制室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2" w:hRule="atLeast"/>
        </w:trPr>
        <w:tc>
          <w:tcPr>
            <w:tcW w:w="25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pPr>
            <w:r>
              <w:drawing>
                <wp:inline distT="0" distB="0" distL="0" distR="0">
                  <wp:extent cx="2360930" cy="1571625"/>
                  <wp:effectExtent l="0" t="0" r="1270" b="9525"/>
                  <wp:docPr id="204" name="图片 204" descr="DSC0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DSC0264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2361347" cy="157162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lang w:val="en-US" w:eastAsia="zh-CN"/>
              </w:rPr>
            </w:pPr>
            <w:r>
              <w:rPr>
                <w:rFonts w:hint="eastAsia"/>
                <w:lang w:val="en-US" w:eastAsia="zh-CN"/>
              </w:rPr>
              <w:t>气浮装置</w:t>
            </w:r>
          </w:p>
        </w:tc>
        <w:tc>
          <w:tcPr>
            <w:tcW w:w="25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pPr>
            <w:r>
              <w:drawing>
                <wp:inline distT="0" distB="0" distL="0" distR="0">
                  <wp:extent cx="2313305" cy="1539875"/>
                  <wp:effectExtent l="0" t="0" r="10795" b="3175"/>
                  <wp:docPr id="205" name="图片 205" descr="DSC0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DSC0264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2313305" cy="153987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eastAsia="宋体"/>
                <w:lang w:val="en-US" w:eastAsia="zh-CN"/>
              </w:rPr>
            </w:pPr>
            <w:r>
              <w:rPr>
                <w:rFonts w:hint="eastAsia" w:ascii="Times New Roman" w:hAnsi="Times New Roman" w:cs="Times New Roman"/>
                <w:color w:val="000000" w:themeColor="text1"/>
                <w:szCs w:val="21"/>
                <w:lang w:val="en-US" w:eastAsia="zh-CN"/>
                <w14:textFill>
                  <w14:solidFill>
                    <w14:schemeClr w14:val="tx1"/>
                  </w14:solidFill>
                </w14:textFill>
              </w:rPr>
              <w:t>可移动式灭火器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5" w:hRule="atLeast"/>
        </w:trPr>
        <w:tc>
          <w:tcPr>
            <w:tcW w:w="25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pPr>
            <w:r>
              <w:drawing>
                <wp:inline distT="0" distB="0" distL="0" distR="0">
                  <wp:extent cx="2451735" cy="1631315"/>
                  <wp:effectExtent l="0" t="0" r="5715" b="6985"/>
                  <wp:docPr id="206" name="图片 206" descr="DSC0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DSC0263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2451735" cy="163131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lang w:val="en-US" w:eastAsia="zh-CN"/>
              </w:rPr>
            </w:pPr>
            <w:r>
              <w:rPr>
                <w:rFonts w:hint="eastAsia" w:ascii="Times New Roman" w:hAnsi="Times New Roman" w:cs="Times New Roman"/>
                <w:color w:val="000000" w:themeColor="text1"/>
                <w:szCs w:val="21"/>
                <w:lang w:val="en-US" w:eastAsia="zh-CN"/>
                <w14:textFill>
                  <w14:solidFill>
                    <w14:schemeClr w14:val="tx1"/>
                  </w14:solidFill>
                </w14:textFill>
              </w:rPr>
              <w:t>车间收集沟</w:t>
            </w:r>
          </w:p>
        </w:tc>
        <w:tc>
          <w:tcPr>
            <w:tcW w:w="25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lang w:val="en-US" w:eastAsia="zh-CN"/>
              </w:rPr>
            </w:pPr>
            <w:r>
              <w:drawing>
                <wp:inline distT="0" distB="0" distL="0" distR="0">
                  <wp:extent cx="2441575" cy="1624965"/>
                  <wp:effectExtent l="0" t="0" r="15875" b="13335"/>
                  <wp:docPr id="207" name="图片 207" descr="DSC0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DSC0266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a:xfrm>
                            <a:off x="0" y="0"/>
                            <a:ext cx="2441575" cy="1624965"/>
                          </a:xfrm>
                          <a:prstGeom prst="rect">
                            <a:avLst/>
                          </a:prstGeom>
                          <a:noFill/>
                          <a:ln>
                            <a:noFill/>
                          </a:ln>
                        </pic:spPr>
                      </pic:pic>
                    </a:graphicData>
                  </a:graphic>
                </wp:inline>
              </w:drawing>
            </w:r>
            <w:r>
              <w:rPr>
                <w:rFonts w:hint="eastAsia" w:ascii="Times New Roman" w:hAnsi="Times New Roman" w:cs="Times New Roman"/>
                <w:b w:val="0"/>
                <w:bCs/>
                <w:color w:val="000000" w:themeColor="text1"/>
                <w:szCs w:val="21"/>
                <w:lang w:val="en-US" w:eastAsia="zh-CN"/>
                <w14:textFill>
                  <w14:solidFill>
                    <w14:schemeClr w14:val="tx1"/>
                  </w14:solidFill>
                </w14:textFill>
              </w:rPr>
              <w:t>消防箱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9" w:hRule="atLeast"/>
        </w:trPr>
        <w:tc>
          <w:tcPr>
            <w:tcW w:w="25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lang w:val="en-US" w:eastAsia="zh-CN"/>
              </w:rPr>
            </w:pPr>
            <w:r>
              <w:drawing>
                <wp:inline distT="0" distB="0" distL="0" distR="0">
                  <wp:extent cx="2489835" cy="1657350"/>
                  <wp:effectExtent l="0" t="0" r="5715" b="0"/>
                  <wp:docPr id="208" name="图片 208" descr="DSC02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DSC0266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a:xfrm>
                            <a:off x="0" y="0"/>
                            <a:ext cx="2494278" cy="1660099"/>
                          </a:xfrm>
                          <a:prstGeom prst="rect">
                            <a:avLst/>
                          </a:prstGeom>
                          <a:noFill/>
                          <a:ln>
                            <a:noFill/>
                          </a:ln>
                        </pic:spPr>
                      </pic:pic>
                    </a:graphicData>
                  </a:graphic>
                </wp:inline>
              </w:drawing>
            </w:r>
            <w:r>
              <w:rPr>
                <w:rFonts w:hint="eastAsia" w:ascii="Times New Roman" w:hAnsi="Times New Roman" w:cs="Times New Roman"/>
                <w:b w:val="0"/>
                <w:bCs/>
                <w:color w:val="000000" w:themeColor="text1"/>
                <w:szCs w:val="21"/>
                <w:lang w:val="en-US" w:eastAsia="zh-CN"/>
                <w14:textFill>
                  <w14:solidFill>
                    <w14:schemeClr w14:val="tx1"/>
                  </w14:solidFill>
                </w14:textFill>
              </w:rPr>
              <w:t>污水排放口</w:t>
            </w:r>
          </w:p>
        </w:tc>
        <w:tc>
          <w:tcPr>
            <w:tcW w:w="25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pPr>
            <w:r>
              <w:drawing>
                <wp:inline distT="0" distB="0" distL="0" distR="0">
                  <wp:extent cx="2471420" cy="1644650"/>
                  <wp:effectExtent l="0" t="0" r="5080" b="12700"/>
                  <wp:docPr id="209" name="图片 209" descr="DSC0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DSC0268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a:xfrm>
                            <a:off x="0" y="0"/>
                            <a:ext cx="2471420" cy="16446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lang w:val="en-US" w:eastAsia="zh-CN"/>
              </w:rPr>
            </w:pPr>
            <w:r>
              <w:rPr>
                <w:rFonts w:hint="eastAsia" w:ascii="Times New Roman" w:hAnsi="Times New Roman" w:cs="Times New Roman"/>
                <w:b w:val="0"/>
                <w:bCs/>
                <w:color w:val="000000" w:themeColor="text1"/>
                <w:szCs w:val="21"/>
                <w:lang w:val="en-US" w:eastAsia="zh-CN"/>
                <w14:textFill>
                  <w14:solidFill>
                    <w14:schemeClr w14:val="tx1"/>
                  </w14:solidFill>
                </w14:textFill>
              </w:rPr>
              <w:t>杏花河切断阀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6" w:hRule="atLeast"/>
        </w:trPr>
        <w:tc>
          <w:tcPr>
            <w:tcW w:w="25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lang w:val="en-US" w:eastAsia="zh-CN"/>
              </w:rPr>
            </w:pPr>
            <w:r>
              <w:drawing>
                <wp:inline distT="0" distB="0" distL="0" distR="0">
                  <wp:extent cx="2486025" cy="1654175"/>
                  <wp:effectExtent l="0" t="0" r="9525" b="3175"/>
                  <wp:docPr id="210" name="图片 210" descr="DSC0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DSC0268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a:xfrm>
                            <a:off x="0" y="0"/>
                            <a:ext cx="2486025" cy="1654606"/>
                          </a:xfrm>
                          <a:prstGeom prst="rect">
                            <a:avLst/>
                          </a:prstGeom>
                          <a:noFill/>
                          <a:ln>
                            <a:noFill/>
                          </a:ln>
                        </pic:spPr>
                      </pic:pic>
                    </a:graphicData>
                  </a:graphic>
                </wp:inline>
              </w:drawing>
            </w:r>
            <w:r>
              <w:rPr>
                <w:rFonts w:hint="eastAsia"/>
                <w:lang w:val="en-US" w:eastAsia="zh-CN"/>
              </w:rPr>
              <w:t>车间内应急电话</w:t>
            </w:r>
          </w:p>
        </w:tc>
        <w:tc>
          <w:tcPr>
            <w:tcW w:w="25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ascii="Times New Roman" w:hAnsi="Times New Roman" w:cs="Times New Roman"/>
                <w:b/>
                <w:color w:val="000000" w:themeColor="text1"/>
                <w:szCs w:val="21"/>
                <w14:textFill>
                  <w14:solidFill>
                    <w14:schemeClr w14:val="tx1"/>
                  </w14:solidFill>
                </w14:textFill>
              </w:rPr>
              <w:drawing>
                <wp:inline distT="0" distB="0" distL="0" distR="0">
                  <wp:extent cx="2546985" cy="1695450"/>
                  <wp:effectExtent l="0" t="0" r="5715" b="0"/>
                  <wp:docPr id="211" name="图片 211" descr="DSC0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DSC0269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a:xfrm>
                            <a:off x="0" y="0"/>
                            <a:ext cx="2547659" cy="1695628"/>
                          </a:xfrm>
                          <a:prstGeom prst="rect">
                            <a:avLst/>
                          </a:prstGeom>
                          <a:noFill/>
                          <a:ln>
                            <a:noFill/>
                          </a:ln>
                        </pic:spPr>
                      </pic:pic>
                    </a:graphicData>
                  </a:graphic>
                </wp:inline>
              </w:drawing>
            </w:r>
            <w:r>
              <w:rPr>
                <w:rFonts w:hint="eastAsia" w:ascii="Times New Roman" w:hAnsi="Times New Roman" w:cs="Times New Roman"/>
                <w:b w:val="0"/>
                <w:bCs/>
                <w:color w:val="000000" w:themeColor="text1"/>
                <w:szCs w:val="21"/>
                <w:lang w:val="en-US" w:eastAsia="zh-CN"/>
                <w14:textFill>
                  <w14:solidFill>
                    <w14:schemeClr w14:val="tx1"/>
                  </w14:solidFill>
                </w14:textFill>
              </w:rPr>
              <w:t>车间内收集沟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5000"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b/>
                <w:bCs/>
                <w:sz w:val="21"/>
                <w:szCs w:val="21"/>
                <w:vertAlign w:val="baseline"/>
                <w:lang w:val="en-US" w:eastAsia="zh-CN"/>
              </w:rPr>
              <w:t>图6.6-1 现有工程应急设施现状图</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eastAsia" w:ascii="Times New Roman" w:hAnsi="Times New Roman"/>
          <w:sz w:val="24"/>
          <w:szCs w:val="24"/>
        </w:rPr>
      </w:pPr>
      <w:r>
        <w:rPr>
          <w:rFonts w:hint="eastAsia" w:ascii="Times New Roman" w:hAnsi="Times New Roman"/>
          <w:sz w:val="24"/>
          <w:szCs w:val="24"/>
          <w:lang w:val="en-US" w:eastAsia="zh-CN"/>
        </w:rPr>
        <w:t xml:space="preserve"> </w:t>
      </w: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 xml:space="preserve">1.5 </w:t>
      </w:r>
      <w:r>
        <w:rPr>
          <w:rFonts w:hint="eastAsia" w:ascii="Times New Roman" w:hAnsi="Times New Roman"/>
          <w:b/>
          <w:bCs/>
          <w:sz w:val="24"/>
          <w:szCs w:val="24"/>
          <w:highlight w:val="none"/>
          <w:lang w:val="en-US" w:eastAsia="zh-CN"/>
        </w:rPr>
        <w:t>现有应急物资与装备、救援队伍情况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1、现有工程应急设备情况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ascii="Times New Roman" w:hAnsi="Times New Roman" w:eastAsia="宋体" w:cs="Times New Roman"/>
          <w:b w:val="0"/>
          <w:bCs w:val="0"/>
          <w:color w:val="auto"/>
          <w:sz w:val="24"/>
          <w:szCs w:val="24"/>
        </w:rPr>
      </w:pPr>
      <w:r>
        <w:rPr>
          <w:rFonts w:hint="eastAsia" w:ascii="Times New Roman" w:hAnsi="Times New Roman" w:eastAsia="宋体" w:cs="Times New Roman"/>
          <w:b w:val="0"/>
          <w:bCs w:val="0"/>
          <w:color w:val="auto"/>
          <w:sz w:val="24"/>
          <w:szCs w:val="24"/>
        </w:rPr>
        <w:t>企业配备单独的应急物资库，具体的应急物资储备情况见下表。</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rPr>
      </w:pPr>
      <w:r>
        <w:rPr>
          <w:rFonts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lang w:val="en-US" w:eastAsia="zh-CN"/>
        </w:rPr>
        <w:t>6.</w:t>
      </w:r>
      <w:r>
        <w:rPr>
          <w:rFonts w:hint="eastAsia" w:ascii="Times New Roman" w:hAnsi="Times New Roman" w:cs="Times New Roman"/>
          <w:b/>
          <w:bCs/>
          <w:color w:val="auto"/>
          <w:sz w:val="24"/>
          <w:szCs w:val="24"/>
          <w:lang w:val="en-US" w:eastAsia="zh-CN"/>
        </w:rPr>
        <w:t>6</w:t>
      </w:r>
      <w:r>
        <w:rPr>
          <w:rFonts w:hint="default" w:ascii="Times New Roman" w:hAnsi="Times New Roman" w:eastAsia="宋体" w:cs="Times New Roman"/>
          <w:b/>
          <w:bCs/>
          <w:color w:val="auto"/>
          <w:sz w:val="24"/>
          <w:szCs w:val="24"/>
        </w:rPr>
        <w:t>-</w:t>
      </w:r>
      <w:r>
        <w:rPr>
          <w:rFonts w:hint="eastAsia" w:ascii="Times New Roman" w:hAnsi="Times New Roman" w:cs="Times New Roman"/>
          <w:b/>
          <w:bCs/>
          <w:color w:val="auto"/>
          <w:sz w:val="24"/>
          <w:szCs w:val="24"/>
          <w:lang w:val="en-US" w:eastAsia="zh-CN"/>
        </w:rPr>
        <w:t>4</w:t>
      </w:r>
      <w:r>
        <w:rPr>
          <w:rFonts w:ascii="Times New Roman" w:hAnsi="Times New Roman" w:eastAsia="宋体" w:cs="Times New Roman"/>
          <w:b/>
          <w:bCs/>
          <w:color w:val="auto"/>
          <w:sz w:val="24"/>
          <w:szCs w:val="24"/>
        </w:rPr>
        <w:t xml:space="preserve"> </w:t>
      </w:r>
      <w:r>
        <w:rPr>
          <w:rFonts w:cs="Times New Roman"/>
          <w:b/>
          <w:bCs/>
          <w:color w:val="auto"/>
          <w:sz w:val="24"/>
          <w:szCs w:val="24"/>
        </w:rPr>
        <w:t xml:space="preserve"> </w:t>
      </w:r>
      <w:r>
        <w:rPr>
          <w:rFonts w:hint="eastAsia" w:cs="Times New Roman"/>
          <w:b/>
          <w:bCs/>
          <w:color w:val="auto"/>
          <w:sz w:val="24"/>
          <w:szCs w:val="24"/>
          <w:lang w:val="en-US" w:eastAsia="zh-CN"/>
        </w:rPr>
        <w:t>厂内配备应急设施（备）一览表</w:t>
      </w:r>
    </w:p>
    <w:tbl>
      <w:tblPr>
        <w:tblStyle w:val="18"/>
        <w:tblW w:w="8759" w:type="dxa"/>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719"/>
        <w:gridCol w:w="1753"/>
        <w:gridCol w:w="1744"/>
        <w:gridCol w:w="897"/>
        <w:gridCol w:w="1185"/>
        <w:gridCol w:w="1396"/>
        <w:gridCol w:w="1065"/>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38" w:hRule="atLeast"/>
          <w:jc w:val="center"/>
        </w:trPr>
        <w:tc>
          <w:tcPr>
            <w:tcW w:w="8759" w:type="dxa"/>
            <w:gridSpan w:val="7"/>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应急救援物资台账</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719"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类型</w:t>
            </w: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器材名称</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规格型号</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数量</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用途</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配备位置</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责任人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restar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应急设施</w:t>
            </w: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应急照明灯</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SZDQ-S.A1</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174个</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应急照明</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应急照明车</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3辆</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应急照明</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总公司后勤部</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陈福</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应急消防车</w:t>
            </w:r>
          </w:p>
        </w:tc>
        <w:tc>
          <w:tcPr>
            <w:tcW w:w="1744"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东风</w:t>
            </w:r>
            <w:r>
              <w:rPr>
                <w:rFonts w:hint="eastAsia" w:ascii="Times New Roman" w:hAnsi="Times New Roman" w:eastAsia="宋体"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泡沫式）</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3辆</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应急消防</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总公司后勤部</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陈福</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围堰</w:t>
            </w:r>
          </w:p>
        </w:tc>
        <w:tc>
          <w:tcPr>
            <w:tcW w:w="1744"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各罐区</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应急</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各罐区</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各罐区负责人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雨污切换闸板</w:t>
            </w:r>
          </w:p>
        </w:tc>
        <w:tc>
          <w:tcPr>
            <w:tcW w:w="1744"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各罐区</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应急</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各罐区</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各罐区负责人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沙土</w:t>
            </w:r>
          </w:p>
        </w:tc>
        <w:tc>
          <w:tcPr>
            <w:tcW w:w="1744"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各罐区</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应急</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各罐区</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各罐区负责人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restar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防护设施</w:t>
            </w: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防毒面具滤毒罐</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TFI-7号</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80个</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保护作业人员安全</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长管式空气呼吸器</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RHZK5L/30</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7台</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保护作业人员安全</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卡纸1#、卡纸2#机、5#机、6#机、板纸制浆</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有毒气体报警仪</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便携式四合一</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5台</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保护作业人员安全</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卡纸1#、卡纸2#机、5#机、6#机、板纸制浆</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护目镜</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MX-003</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92只</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保护作业人员安全</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防溅面罩</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V-型</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35只</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保护作业人员安全</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600" w:hRule="atLeast"/>
          <w:jc w:val="center"/>
        </w:trPr>
        <w:tc>
          <w:tcPr>
            <w:tcW w:w="719" w:type="dxa"/>
            <w:vMerge w:val="restar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急救器械</w:t>
            </w: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洗眼器</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304无缝管</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7台</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急救</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化机浆、护面纸、护面纸制浆、卡纸1#、6#机、卡纸2#机、5#机</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急救药品箱</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自制</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24个</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急救</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各车间办公室</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672" w:hRule="atLeast"/>
          <w:jc w:val="center"/>
        </w:trPr>
        <w:tc>
          <w:tcPr>
            <w:tcW w:w="719" w:type="dxa"/>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消防设施</w:t>
            </w: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事故喷淋装置</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9套</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应急救援</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卡纸1#、卡纸2#机烘区、护面纸烘区、6#机烘区、6#机控制室、5#机烘区、5#机控制室、6#机仓库、5#机仓库</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手提式CO</w:t>
            </w:r>
            <w:r>
              <w:rPr>
                <w:rFonts w:hint="default" w:ascii="Times New Roman" w:hAnsi="Times New Roman" w:eastAsia="宋体" w:cs="Times New Roman"/>
                <w:i w:val="0"/>
                <w:color w:val="auto"/>
                <w:kern w:val="0"/>
                <w:sz w:val="21"/>
                <w:szCs w:val="21"/>
                <w:u w:val="none"/>
                <w:vertAlign w:val="subscript"/>
                <w:lang w:val="en-US" w:eastAsia="zh-CN" w:bidi="ar"/>
              </w:rPr>
              <w:t>2</w:t>
            </w:r>
            <w:r>
              <w:rPr>
                <w:rFonts w:hint="default" w:ascii="Times New Roman" w:hAnsi="Times New Roman" w:eastAsia="宋体" w:cs="Times New Roman"/>
                <w:i w:val="0"/>
                <w:color w:val="auto"/>
                <w:kern w:val="0"/>
                <w:sz w:val="21"/>
                <w:szCs w:val="21"/>
                <w:u w:val="none"/>
                <w:lang w:val="en-US" w:eastAsia="zh-CN" w:bidi="ar"/>
              </w:rPr>
              <w:t>灭火器</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MT/7型</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w:t>
            </w:r>
            <w:r>
              <w:rPr>
                <w:rStyle w:val="28"/>
                <w:rFonts w:hint="default" w:ascii="Times New Roman" w:hAnsi="Times New Roman" w:eastAsia="宋体" w:cs="Times New Roman"/>
                <w:color w:val="auto"/>
                <w:sz w:val="21"/>
                <w:szCs w:val="21"/>
                <w:lang w:val="en-US" w:eastAsia="zh-CN" w:bidi="ar"/>
              </w:rPr>
              <w:t>84个</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应急救援</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各分厂车间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手提式干粉灭火器</w:t>
            </w:r>
          </w:p>
        </w:tc>
        <w:tc>
          <w:tcPr>
            <w:tcW w:w="1744"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MF2/ABC8型</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677</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应急救援</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各分厂车间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推车式二氧化碳灭火器</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w:t>
            </w:r>
            <w:r>
              <w:rPr>
                <w:rStyle w:val="28"/>
                <w:rFonts w:hint="default" w:ascii="Times New Roman" w:hAnsi="Times New Roman" w:eastAsia="宋体" w:cs="Times New Roman"/>
                <w:color w:val="auto"/>
                <w:sz w:val="21"/>
                <w:szCs w:val="21"/>
                <w:lang w:val="en-US" w:eastAsia="zh-CN" w:bidi="ar"/>
              </w:rPr>
              <w:t>7辆</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应急救援</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各分厂车间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restar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消防设施</w:t>
            </w: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推车式干粉灭火器</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MFTZL50型</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33辆</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应急救援</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各分厂车间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消防栓</w:t>
            </w:r>
          </w:p>
        </w:tc>
        <w:tc>
          <w:tcPr>
            <w:tcW w:w="1744"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3G24A68型</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689个</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应急救援</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各分厂车间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消防水枪</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DN65 内扣式直流水枪</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689个</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应急救援</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各分厂车间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restart"/>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消防设施</w:t>
            </w: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消防水带</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涤纶长丝、塑料</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689个</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应急救援</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各分厂车间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应急消防泵</w:t>
            </w:r>
          </w:p>
        </w:tc>
        <w:tc>
          <w:tcPr>
            <w:tcW w:w="1744"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3个</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应急救援</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消防科</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val="0"/>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潜水泵</w:t>
            </w:r>
          </w:p>
        </w:tc>
        <w:tc>
          <w:tcPr>
            <w:tcW w:w="1744"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W型双级旋涡泵</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7个</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应急救援</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各分厂车间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restart"/>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应急药品</w:t>
            </w:r>
          </w:p>
        </w:tc>
        <w:tc>
          <w:tcPr>
            <w:tcW w:w="1753"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藿香正气水</w:t>
            </w:r>
          </w:p>
        </w:tc>
        <w:tc>
          <w:tcPr>
            <w:tcW w:w="1744"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每支装10ml</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w:t>
            </w:r>
            <w:r>
              <w:rPr>
                <w:rStyle w:val="28"/>
                <w:rFonts w:hint="default" w:ascii="Times New Roman" w:hAnsi="Times New Roman" w:eastAsia="宋体" w:cs="Times New Roman"/>
                <w:color w:val="auto"/>
                <w:sz w:val="21"/>
                <w:szCs w:val="21"/>
                <w:lang w:val="en-US" w:eastAsia="zh-CN" w:bidi="ar"/>
              </w:rPr>
              <w:t>000(随时补充)</w:t>
            </w:r>
          </w:p>
        </w:tc>
        <w:tc>
          <w:tcPr>
            <w:tcW w:w="1185"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缓解中暑</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风油精</w:t>
            </w:r>
          </w:p>
        </w:tc>
        <w:tc>
          <w:tcPr>
            <w:tcW w:w="1744"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五环牌每瓶3ml</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80瓶</w:t>
            </w:r>
          </w:p>
        </w:tc>
        <w:tc>
          <w:tcPr>
            <w:tcW w:w="1185"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缓解中暑</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医用酒精</w:t>
            </w:r>
          </w:p>
        </w:tc>
        <w:tc>
          <w:tcPr>
            <w:tcW w:w="1744"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每瓶500ml</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w:t>
            </w:r>
            <w:r>
              <w:rPr>
                <w:rStyle w:val="28"/>
                <w:rFonts w:hint="default" w:ascii="Times New Roman" w:hAnsi="Times New Roman" w:eastAsia="宋体" w:cs="Times New Roman"/>
                <w:color w:val="auto"/>
                <w:sz w:val="21"/>
                <w:szCs w:val="21"/>
                <w:lang w:val="en-US" w:eastAsia="zh-CN" w:bidi="ar"/>
              </w:rPr>
              <w:t>4瓶</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消毒</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纱布</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w:t>
            </w:r>
            <w:r>
              <w:rPr>
                <w:rStyle w:val="28"/>
                <w:rFonts w:hint="default" w:ascii="Times New Roman" w:hAnsi="Times New Roman" w:eastAsia="宋体" w:cs="Times New Roman"/>
                <w:color w:val="auto"/>
                <w:sz w:val="21"/>
                <w:szCs w:val="21"/>
                <w:lang w:val="en-US" w:eastAsia="zh-CN" w:bidi="ar"/>
              </w:rPr>
              <w:t>4卷</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消毒</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医用棉球</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w:t>
            </w:r>
            <w:r>
              <w:rPr>
                <w:rStyle w:val="28"/>
                <w:rFonts w:hint="default" w:ascii="Times New Roman" w:hAnsi="Times New Roman" w:eastAsia="宋体" w:cs="Times New Roman"/>
                <w:color w:val="auto"/>
                <w:sz w:val="21"/>
                <w:szCs w:val="21"/>
                <w:lang w:val="en-US" w:eastAsia="zh-CN" w:bidi="ar"/>
              </w:rPr>
              <w:t>4包</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消毒</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双氧水</w:t>
            </w:r>
          </w:p>
        </w:tc>
        <w:tc>
          <w:tcPr>
            <w:tcW w:w="1744"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每瓶250ml</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w:t>
            </w:r>
            <w:r>
              <w:rPr>
                <w:rStyle w:val="28"/>
                <w:rFonts w:hint="default" w:ascii="Times New Roman" w:hAnsi="Times New Roman" w:eastAsia="宋体" w:cs="Times New Roman"/>
                <w:color w:val="auto"/>
                <w:sz w:val="21"/>
                <w:szCs w:val="21"/>
                <w:lang w:val="en-US" w:eastAsia="zh-CN" w:bidi="ar"/>
              </w:rPr>
              <w:t>4瓶</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消毒</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剪刀</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w:t>
            </w:r>
            <w:r>
              <w:rPr>
                <w:rStyle w:val="28"/>
                <w:rFonts w:hint="default" w:ascii="Times New Roman" w:hAnsi="Times New Roman" w:eastAsia="宋体" w:cs="Times New Roman"/>
                <w:color w:val="auto"/>
                <w:sz w:val="21"/>
                <w:szCs w:val="21"/>
                <w:lang w:val="en-US" w:eastAsia="zh-CN" w:bidi="ar"/>
              </w:rPr>
              <w:t>4把</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消毒</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棉签</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w:t>
            </w:r>
            <w:r>
              <w:rPr>
                <w:rStyle w:val="28"/>
                <w:rFonts w:hint="default" w:ascii="Times New Roman" w:hAnsi="Times New Roman" w:eastAsia="宋体" w:cs="Times New Roman"/>
                <w:color w:val="auto"/>
                <w:sz w:val="21"/>
                <w:szCs w:val="21"/>
                <w:lang w:val="en-US" w:eastAsia="zh-CN" w:bidi="ar"/>
              </w:rPr>
              <w:t>8包</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消毒</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创可贴</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云南白药</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80套</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止血</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止血带</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w:t>
            </w:r>
            <w:r>
              <w:rPr>
                <w:rStyle w:val="28"/>
                <w:rFonts w:hint="default" w:ascii="Times New Roman" w:hAnsi="Times New Roman" w:eastAsia="宋体" w:cs="Times New Roman"/>
                <w:color w:val="auto"/>
                <w:sz w:val="21"/>
                <w:szCs w:val="21"/>
                <w:lang w:val="en-US" w:eastAsia="zh-CN" w:bidi="ar"/>
              </w:rPr>
              <w:t>4卷</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止血</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云南白药粉剂</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w:t>
            </w:r>
            <w:r>
              <w:rPr>
                <w:rStyle w:val="28"/>
                <w:rFonts w:hint="default" w:ascii="Times New Roman" w:hAnsi="Times New Roman" w:eastAsia="宋体" w:cs="Times New Roman"/>
                <w:color w:val="auto"/>
                <w:sz w:val="21"/>
                <w:szCs w:val="21"/>
                <w:lang w:val="en-US" w:eastAsia="zh-CN" w:bidi="ar"/>
              </w:rPr>
              <w:t>4瓶</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止血</w:t>
            </w:r>
          </w:p>
        </w:tc>
        <w:tc>
          <w:tcPr>
            <w:tcW w:w="1396" w:type="dxa"/>
            <w:tcBorders>
              <w:tl2br w:val="nil"/>
              <w:tr2bl w:val="nil"/>
            </w:tcBorders>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各车间负责人</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719" w:type="dxa"/>
            <w:vMerge w:val="continue"/>
            <w:tcBorders>
              <w:tl2br w:val="nil"/>
              <w:tr2bl w:val="nil"/>
            </w:tcBorders>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color w:val="auto"/>
                <w:sz w:val="21"/>
                <w:szCs w:val="21"/>
                <w:u w:val="none"/>
              </w:rPr>
            </w:pPr>
          </w:p>
        </w:tc>
        <w:tc>
          <w:tcPr>
            <w:tcW w:w="1753"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应急食品</w:t>
            </w:r>
            <w:r>
              <w:rPr>
                <w:rFonts w:hint="eastAsia" w:ascii="Times New Roman" w:hAnsi="Times New Roman" w:eastAsia="宋体" w:cs="Times New Roman"/>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水）</w:t>
            </w:r>
          </w:p>
        </w:tc>
        <w:tc>
          <w:tcPr>
            <w:tcW w:w="1744"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897"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若干</w:t>
            </w:r>
          </w:p>
        </w:tc>
        <w:tc>
          <w:tcPr>
            <w:tcW w:w="118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应急补充</w:t>
            </w:r>
          </w:p>
        </w:tc>
        <w:tc>
          <w:tcPr>
            <w:tcW w:w="1396"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物资一仓</w:t>
            </w:r>
          </w:p>
        </w:tc>
        <w:tc>
          <w:tcPr>
            <w:tcW w:w="1065" w:type="dxa"/>
            <w:tcBorders>
              <w:tl2br w:val="nil"/>
              <w:tr2bl w:val="nil"/>
            </w:tcBorders>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仓库主管</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2、救援队伍情况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根据抢险救援工作的实际需要，公司事故应急救援指挥部下设6个应急救援小组，分别是：应急保障组、现场处置组、环境应急监测组、综合协调组、医疗卫生组、治安保卫组。各个专业队伍的人员组成由公司另行发文通知，根据人员变动情况适时调整。应急救援组织机构图如下图。</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color w:val="auto"/>
        </w:rPr>
      </w:pPr>
      <w:r>
        <w:rPr>
          <w:color w:val="auto"/>
        </w:rPr>
        <w:object>
          <v:shape id="_x0000_i1047" o:spt="75" type="#_x0000_t75" style="height:275.9pt;width:336.1pt;" o:ole="t" filled="f" o:preferrelative="t" stroked="f" coordsize="21600,21600">
            <v:path/>
            <v:fill on="f" focussize="0,0"/>
            <v:stroke on="f"/>
            <v:imagedata r:id="rId169" o:title=""/>
            <o:lock v:ext="edit" aspectratio="t"/>
            <w10:wrap type="none"/>
            <w10:anchorlock/>
          </v:shape>
          <o:OLEObject Type="Embed" ProgID="Visio.Drawing.11" ShapeID="_x0000_i1047" DrawAspect="Content" ObjectID="_1468075747" r:id="rId168">
            <o:LockedField>false</o:LockedField>
          </o:OLEObject>
        </w:object>
      </w:r>
    </w:p>
    <w:p>
      <w:pPr>
        <w:pStyle w:val="2"/>
        <w:jc w:val="center"/>
      </w:pPr>
      <w:r>
        <w:rPr>
          <w:rFonts w:hint="eastAsia" w:ascii="Times New Roman" w:hAnsi="Times New Roman"/>
          <w:b/>
          <w:bCs/>
          <w:sz w:val="21"/>
          <w:szCs w:val="21"/>
          <w:vertAlign w:val="baseline"/>
          <w:lang w:val="en-US" w:eastAsia="zh-CN"/>
        </w:rPr>
        <w:t>图6.6-2 应急救援组织机构图</w:t>
      </w:r>
    </w:p>
    <w:p>
      <w:pPr>
        <w:pStyle w:val="17"/>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contextualSpacing/>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应急救援指挥部主要职责如下：</w:t>
      </w:r>
    </w:p>
    <w:p>
      <w:pPr>
        <w:pStyle w:val="17"/>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contextualSpacing/>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①贯彻执行国家、当地政府、上级主管部门关于突发环境事件发生和应急救援的方针、政策及有关规定。</w:t>
      </w:r>
    </w:p>
    <w:p>
      <w:pPr>
        <w:pStyle w:val="17"/>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contextualSpacing/>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②组织制定、修改环境事故应急救援预案，组建环境事故应急救援队伍，有计划地组织实施环境事故应急救援的培训和演练。</w:t>
      </w:r>
    </w:p>
    <w:p>
      <w:pPr>
        <w:pStyle w:val="17"/>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contextualSpacing/>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③审批并落实环境事故应急救援所需的监测仪器、防护器材、救援器材等的购置。</w:t>
      </w:r>
    </w:p>
    <w:p>
      <w:pPr>
        <w:pStyle w:val="17"/>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contextualSpacing/>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④检查、督促做好环境事故的预防措施和应急救援的各项准备工作，督促、协助有关部门及时消除有毒、有害、有腐蚀性介质的跑、冒、滴、漏现象。</w:t>
      </w:r>
    </w:p>
    <w:p>
      <w:pPr>
        <w:pStyle w:val="17"/>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contextualSpacing/>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⑤发生事故时，由指挥部发布和解除应急救援命令、信号。</w:t>
      </w:r>
    </w:p>
    <w:p>
      <w:pPr>
        <w:pStyle w:val="17"/>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contextualSpacing/>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⑥及时向上级报告环境事故的具体情况，必要时向有关单位发出增援请求，并向周边单位通报相关情况。</w:t>
      </w:r>
    </w:p>
    <w:p>
      <w:pPr>
        <w:pStyle w:val="17"/>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contextualSpacing/>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⑦组织指挥救援队伍实施救援行动，负责人员、资源配置、应急队伍的调动。</w:t>
      </w:r>
    </w:p>
    <w:p>
      <w:pPr>
        <w:pStyle w:val="17"/>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contextualSpacing/>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⑧协调事故现场有关工作。配合政府部门对环境进行恢复、事故调查、经验教训总结。</w:t>
      </w:r>
    </w:p>
    <w:p>
      <w:pPr>
        <w:pStyle w:val="17"/>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contextualSpacing/>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⑨负责对员工进行应急知识和基本防护方法的培训，向周边企业、村落提供本单位救援知识等的宣传材料。</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（2）救援专业队伍的组成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①总指挥：组织指挥全公司的应急救援工作。</w:t>
      </w:r>
      <w:r>
        <w:rPr>
          <w:rFonts w:hint="eastAsia" w:ascii="Times New Roman" w:hAnsi="Times New Roman" w:eastAsia="宋体" w:cs="Times New Roman"/>
          <w:bCs/>
          <w:color w:val="auto"/>
          <w:sz w:val="24"/>
          <w:szCs w:val="24"/>
          <w:lang w:eastAsia="zh-CN"/>
        </w:rPr>
        <w:t>周涛</w:t>
      </w:r>
      <w:r>
        <w:rPr>
          <w:rFonts w:hint="default" w:ascii="Times New Roman" w:hAnsi="Times New Roman" w:eastAsia="宋体" w:cs="Times New Roman"/>
          <w:bCs/>
          <w:color w:val="auto"/>
          <w:sz w:val="24"/>
          <w:szCs w:val="24"/>
        </w:rPr>
        <w:t>，联系电话：</w:t>
      </w:r>
      <w:r>
        <w:rPr>
          <w:rFonts w:hint="eastAsia" w:ascii="Times New Roman" w:hAnsi="Times New Roman" w:eastAsia="宋体" w:cs="Times New Roman"/>
          <w:color w:val="auto"/>
          <w:sz w:val="24"/>
          <w:lang w:eastAsia="zh-CN"/>
        </w:rPr>
        <w:t>13754776222</w:t>
      </w:r>
      <w:r>
        <w:rPr>
          <w:rFonts w:hint="default" w:ascii="Times New Roman" w:hAnsi="Times New Roman" w:eastAsia="宋体" w:cs="Times New Roman"/>
          <w:bCs/>
          <w:color w:val="auto"/>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②副总指挥：协助总指挥负责应急救援的具体指挥工作，总指挥不在时行使总指挥职责。</w:t>
      </w:r>
      <w:r>
        <w:rPr>
          <w:rFonts w:hint="default" w:ascii="Times New Roman" w:hAnsi="Times New Roman" w:eastAsia="宋体" w:cs="Times New Roman"/>
          <w:color w:val="auto"/>
          <w:sz w:val="24"/>
          <w:szCs w:val="24"/>
        </w:rPr>
        <w:t>由</w:t>
      </w:r>
      <w:r>
        <w:rPr>
          <w:rFonts w:hint="eastAsia" w:ascii="Times New Roman" w:hAnsi="Times New Roman" w:eastAsia="宋体" w:cs="Times New Roman"/>
          <w:color w:val="auto"/>
          <w:sz w:val="24"/>
          <w:szCs w:val="24"/>
          <w:lang w:eastAsia="zh-CN"/>
        </w:rPr>
        <w:t>黄金红</w:t>
      </w:r>
      <w:r>
        <w:rPr>
          <w:rFonts w:hint="default" w:ascii="Times New Roman" w:hAnsi="Times New Roman" w:eastAsia="宋体" w:cs="Times New Roman"/>
          <w:bCs/>
          <w:color w:val="auto"/>
          <w:sz w:val="24"/>
          <w:szCs w:val="24"/>
        </w:rPr>
        <w:t>担任，联系电话：</w:t>
      </w:r>
      <w:r>
        <w:rPr>
          <w:rFonts w:hint="eastAsia" w:ascii="Times New Roman" w:hAnsi="Times New Roman" w:eastAsia="宋体" w:cs="Times New Roman"/>
          <w:color w:val="auto"/>
          <w:sz w:val="24"/>
          <w:lang w:eastAsia="zh-CN"/>
        </w:rPr>
        <w:t>13589512090</w:t>
      </w:r>
      <w:r>
        <w:rPr>
          <w:rFonts w:hint="default" w:ascii="Times New Roman" w:hAnsi="Times New Roman" w:eastAsia="宋体" w:cs="Times New Roman"/>
          <w:bCs/>
          <w:color w:val="auto"/>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default" w:ascii="Times New Roman" w:hAnsi="Times New Roman" w:eastAsia="宋体" w:cs="Times New Roman"/>
          <w:color w:val="auto"/>
          <w:sz w:val="24"/>
          <w:szCs w:val="24"/>
          <w:lang w:val="en-US" w:eastAsia="zh-CN"/>
        </w:rPr>
        <w:t>③</w:t>
      </w:r>
      <w:r>
        <w:rPr>
          <w:rFonts w:hint="eastAsia" w:ascii="Times New Roman" w:hAnsi="Times New Roman" w:eastAsia="宋体" w:cs="Times New Roman"/>
          <w:color w:val="auto"/>
          <w:sz w:val="24"/>
          <w:szCs w:val="24"/>
          <w:lang w:eastAsia="zh-CN"/>
        </w:rPr>
        <w:t>综合协调组</w:t>
      </w:r>
      <w:r>
        <w:rPr>
          <w:rFonts w:hint="default" w:ascii="Times New Roman" w:hAnsi="Times New Roman" w:eastAsia="宋体" w:cs="Times New Roman"/>
          <w:color w:val="auto"/>
          <w:sz w:val="24"/>
          <w:szCs w:val="24"/>
          <w:lang w:eastAsia="zh-CN"/>
        </w:rPr>
        <w:t>：由</w:t>
      </w:r>
      <w:r>
        <w:rPr>
          <w:rFonts w:hint="eastAsia" w:ascii="Times New Roman" w:hAnsi="Times New Roman" w:eastAsia="宋体" w:cs="Times New Roman"/>
          <w:color w:val="auto"/>
          <w:sz w:val="24"/>
          <w:szCs w:val="24"/>
          <w:lang w:eastAsia="zh-CN"/>
        </w:rPr>
        <w:t>金新宗</w:t>
      </w:r>
      <w:r>
        <w:rPr>
          <w:rFonts w:hint="default" w:ascii="Times New Roman" w:hAnsi="Times New Roman" w:eastAsia="宋体" w:cs="Times New Roman"/>
          <w:color w:val="auto"/>
          <w:sz w:val="24"/>
          <w:szCs w:val="24"/>
          <w:lang w:eastAsia="zh-CN"/>
        </w:rPr>
        <w:t>负责（联系电话：</w:t>
      </w:r>
      <w:r>
        <w:rPr>
          <w:rFonts w:hint="eastAsia" w:ascii="Times New Roman" w:hAnsi="Times New Roman" w:eastAsia="宋体" w:cs="Times New Roman"/>
          <w:color w:val="auto"/>
          <w:sz w:val="24"/>
          <w:szCs w:val="24"/>
          <w:lang w:eastAsia="zh-CN"/>
        </w:rPr>
        <w:t>13964425236</w:t>
      </w:r>
      <w:r>
        <w:rPr>
          <w:rFonts w:hint="default" w:ascii="Times New Roman" w:hAnsi="Times New Roman" w:eastAsia="宋体" w:cs="Times New Roman"/>
          <w:color w:val="auto"/>
          <w:sz w:val="24"/>
          <w:szCs w:val="24"/>
          <w:lang w:eastAsia="zh-CN"/>
        </w:rPr>
        <w:t>）；负责现场通讯和对外联系。</w:t>
      </w:r>
      <w:r>
        <w:rPr>
          <w:rFonts w:ascii="Times New Roman" w:hAnsi="Times New Roman" w:eastAsia="宋体"/>
          <w:color w:val="auto"/>
          <w:sz w:val="24"/>
        </w:rPr>
        <w:t>其职责：</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eastAsia" w:ascii="Times New Roman" w:hAnsi="Times New Roman" w:eastAsia="宋体" w:cs="宋体"/>
          <w:color w:val="auto"/>
          <w:sz w:val="24"/>
          <w:lang w:val="en-US" w:eastAsia="zh-CN"/>
        </w:rPr>
        <w:t>1）</w:t>
      </w:r>
      <w:r>
        <w:rPr>
          <w:rFonts w:ascii="Times New Roman" w:hAnsi="Times New Roman" w:eastAsia="宋体"/>
          <w:color w:val="auto"/>
          <w:sz w:val="24"/>
        </w:rPr>
        <w:t>确保建立24小时有效的内部、外部通讯联络的畅通。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eastAsia" w:ascii="Times New Roman" w:hAnsi="Times New Roman" w:eastAsia="宋体" w:cs="宋体"/>
          <w:color w:val="auto"/>
          <w:sz w:val="24"/>
          <w:lang w:val="en-US" w:eastAsia="zh-CN"/>
        </w:rPr>
        <w:t>2）</w:t>
      </w:r>
      <w:r>
        <w:rPr>
          <w:rFonts w:ascii="Times New Roman" w:hAnsi="Times New Roman" w:eastAsia="宋体"/>
          <w:color w:val="auto"/>
          <w:sz w:val="24"/>
        </w:rPr>
        <w:t>负责与运输人员的联络。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eastAsia" w:ascii="Times New Roman" w:hAnsi="Times New Roman" w:eastAsia="宋体" w:cs="宋体"/>
          <w:color w:val="auto"/>
          <w:sz w:val="24"/>
          <w:lang w:val="en-US" w:eastAsia="zh-CN"/>
        </w:rPr>
        <w:t>3）</w:t>
      </w:r>
      <w:r>
        <w:rPr>
          <w:rFonts w:ascii="Times New Roman" w:hAnsi="Times New Roman" w:eastAsia="宋体"/>
          <w:color w:val="auto"/>
          <w:sz w:val="24"/>
        </w:rPr>
        <w:t>负责报警联络。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default" w:ascii="Times New Roman" w:hAnsi="Times New Roman" w:eastAsia="宋体" w:cs="Times New Roman"/>
          <w:color w:val="auto"/>
          <w:sz w:val="24"/>
          <w:szCs w:val="24"/>
          <w:lang w:val="en-US" w:eastAsia="zh-CN"/>
        </w:rPr>
        <w:t>④</w:t>
      </w:r>
      <w:r>
        <w:rPr>
          <w:rFonts w:hint="eastAsia" w:ascii="Times New Roman" w:hAnsi="Times New Roman" w:eastAsia="宋体" w:cs="Times New Roman"/>
          <w:color w:val="auto"/>
          <w:sz w:val="24"/>
          <w:szCs w:val="24"/>
          <w:lang w:eastAsia="zh-CN"/>
        </w:rPr>
        <w:t>医疗卫生组</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郭瑞花</w:t>
      </w:r>
      <w:r>
        <w:rPr>
          <w:rFonts w:hint="default" w:ascii="Times New Roman" w:hAnsi="Times New Roman" w:eastAsia="宋体" w:cs="Times New Roman"/>
          <w:color w:val="auto"/>
          <w:sz w:val="24"/>
          <w:szCs w:val="24"/>
          <w:lang w:eastAsia="zh-CN"/>
        </w:rPr>
        <w:t>负责（联系电话：</w:t>
      </w:r>
      <w:r>
        <w:rPr>
          <w:rFonts w:hint="eastAsia" w:ascii="Times New Roman" w:hAnsi="Times New Roman" w:eastAsia="宋体" w:cs="Times New Roman"/>
          <w:color w:val="auto"/>
          <w:sz w:val="24"/>
          <w:szCs w:val="24"/>
          <w:lang w:val="en-US" w:eastAsia="zh-CN"/>
        </w:rPr>
        <w:t>13806488186</w:t>
      </w:r>
      <w:r>
        <w:rPr>
          <w:rFonts w:hint="default" w:ascii="Times New Roman" w:hAnsi="Times New Roman" w:eastAsia="宋体" w:cs="Times New Roman"/>
          <w:color w:val="auto"/>
          <w:sz w:val="24"/>
          <w:szCs w:val="24"/>
          <w:lang w:eastAsia="zh-CN"/>
        </w:rPr>
        <w:t>）。</w:t>
      </w:r>
      <w:r>
        <w:rPr>
          <w:rFonts w:ascii="Times New Roman" w:hAnsi="Times New Roman" w:eastAsia="宋体"/>
          <w:color w:val="auto"/>
          <w:sz w:val="24"/>
        </w:rPr>
        <w:t>在事故发生后，应急救护小组要对伤员进行现场分类和急救处理，并及时转送医院。</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ascii="Times New Roman" w:hAnsi="Times New Roman" w:eastAsia="宋体"/>
          <w:color w:val="auto"/>
          <w:sz w:val="24"/>
        </w:rPr>
        <w:t>其职责：</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eastAsia" w:ascii="Times New Roman" w:hAnsi="Times New Roman" w:eastAsia="宋体" w:cs="宋体"/>
          <w:color w:val="auto"/>
          <w:sz w:val="24"/>
          <w:lang w:val="en-US" w:eastAsia="zh-CN"/>
        </w:rPr>
        <w:t>1）</w:t>
      </w:r>
      <w:r>
        <w:rPr>
          <w:rFonts w:ascii="Times New Roman" w:hAnsi="Times New Roman" w:eastAsia="宋体"/>
          <w:color w:val="auto"/>
          <w:sz w:val="24"/>
        </w:rPr>
        <w:t>向当时医疗机构发出求救信号及信息，报告事故发生地及人员伤亡情况，提供必要的救治。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eastAsia" w:ascii="Times New Roman" w:hAnsi="Times New Roman" w:eastAsia="宋体" w:cs="宋体"/>
          <w:color w:val="auto"/>
          <w:sz w:val="24"/>
          <w:lang w:val="en-US" w:eastAsia="zh-CN"/>
        </w:rPr>
        <w:t>2）</w:t>
      </w:r>
      <w:r>
        <w:rPr>
          <w:rFonts w:ascii="Times New Roman" w:hAnsi="Times New Roman" w:eastAsia="宋体"/>
          <w:color w:val="auto"/>
          <w:sz w:val="24"/>
        </w:rPr>
        <w:t>进入事故发生区或中毒危害区，抢救伤员及中毒人员。</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eastAsia" w:ascii="Times New Roman" w:hAnsi="Times New Roman" w:eastAsia="宋体" w:cs="宋体"/>
          <w:color w:val="auto"/>
          <w:sz w:val="24"/>
          <w:lang w:val="en-US" w:eastAsia="zh-CN"/>
        </w:rPr>
        <w:t>3）</w:t>
      </w:r>
      <w:r>
        <w:rPr>
          <w:rFonts w:ascii="Times New Roman" w:hAnsi="Times New Roman" w:eastAsia="宋体"/>
          <w:color w:val="auto"/>
          <w:sz w:val="24"/>
        </w:rPr>
        <w:t>指导危害区事故发生区公众进行自救及互救。</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eastAsia" w:ascii="Times New Roman" w:hAnsi="Times New Roman" w:eastAsia="宋体" w:cs="宋体"/>
          <w:color w:val="auto"/>
          <w:sz w:val="24"/>
          <w:lang w:val="en-US" w:eastAsia="zh-CN"/>
        </w:rPr>
        <w:t>4）</w:t>
      </w:r>
      <w:r>
        <w:rPr>
          <w:rFonts w:ascii="Times New Roman" w:hAnsi="Times New Roman" w:eastAsia="宋体"/>
          <w:color w:val="auto"/>
          <w:sz w:val="24"/>
        </w:rPr>
        <w:t>集中清点输送伤员。</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ascii="Times New Roman" w:hAnsi="Times New Roman" w:eastAsia="宋体"/>
          <w:color w:val="auto"/>
          <w:sz w:val="24"/>
        </w:rPr>
      </w:pPr>
      <w:r>
        <w:rPr>
          <w:rFonts w:hint="eastAsia" w:ascii="Times New Roman" w:hAnsi="Times New Roman" w:eastAsia="宋体" w:cs="Times New Roman"/>
          <w:color w:val="auto"/>
          <w:sz w:val="24"/>
          <w:szCs w:val="24"/>
          <w:lang w:eastAsia="zh-CN"/>
        </w:rPr>
        <w:t>⑤安全警戒组</w:t>
      </w:r>
      <w:r>
        <w:rPr>
          <w:rFonts w:hint="default" w:ascii="Times New Roman" w:hAnsi="Times New Roman" w:eastAsia="宋体" w:cs="Times New Roman"/>
          <w:color w:val="auto"/>
          <w:sz w:val="24"/>
          <w:szCs w:val="24"/>
          <w:lang w:eastAsia="zh-CN"/>
        </w:rPr>
        <w:t>：由</w:t>
      </w:r>
      <w:r>
        <w:rPr>
          <w:rFonts w:hint="eastAsia" w:ascii="Times New Roman" w:hAnsi="Times New Roman" w:eastAsia="宋体" w:cs="Times New Roman"/>
          <w:color w:val="auto"/>
          <w:sz w:val="24"/>
          <w:szCs w:val="24"/>
          <w:lang w:eastAsia="zh-CN"/>
        </w:rPr>
        <w:t>宫元良</w:t>
      </w:r>
      <w:r>
        <w:rPr>
          <w:rFonts w:hint="default" w:ascii="Times New Roman" w:hAnsi="Times New Roman" w:eastAsia="宋体" w:cs="Times New Roman"/>
          <w:color w:val="auto"/>
          <w:sz w:val="24"/>
          <w:szCs w:val="24"/>
          <w:lang w:eastAsia="zh-CN"/>
        </w:rPr>
        <w:t>负责（联系电话：</w:t>
      </w:r>
      <w:r>
        <w:rPr>
          <w:rFonts w:hint="eastAsia" w:ascii="Times New Roman" w:hAnsi="Times New Roman" w:eastAsia="宋体" w:cs="Times New Roman"/>
          <w:color w:val="auto"/>
          <w:sz w:val="24"/>
          <w:szCs w:val="24"/>
          <w:lang w:val="en-US" w:eastAsia="zh-CN"/>
        </w:rPr>
        <w:t>13573355355</w:t>
      </w:r>
      <w:r>
        <w:rPr>
          <w:rFonts w:hint="default" w:ascii="Times New Roman" w:hAnsi="Times New Roman" w:eastAsia="宋体" w:cs="Times New Roman"/>
          <w:color w:val="auto"/>
          <w:sz w:val="24"/>
          <w:szCs w:val="24"/>
          <w:lang w:eastAsia="zh-CN"/>
        </w:rPr>
        <w:t>），</w:t>
      </w:r>
      <w:r>
        <w:rPr>
          <w:rFonts w:ascii="Times New Roman" w:hAnsi="Times New Roman" w:eastAsia="宋体"/>
          <w:color w:val="auto"/>
          <w:sz w:val="24"/>
        </w:rPr>
        <w:t>维持厂区治安，控制事故区域边界人员及车辆的进出，保证救援器材、物资的畅通和道路导向。</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⑥应急保障组</w:t>
      </w:r>
      <w:r>
        <w:rPr>
          <w:rFonts w:hint="default" w:ascii="Times New Roman" w:hAnsi="Times New Roman" w:eastAsia="宋体" w:cs="Times New Roman"/>
          <w:color w:val="auto"/>
          <w:sz w:val="24"/>
          <w:szCs w:val="24"/>
          <w:lang w:val="en-US" w:eastAsia="zh-CN"/>
        </w:rPr>
        <w:t>：由</w:t>
      </w:r>
      <w:r>
        <w:rPr>
          <w:rFonts w:hint="default" w:ascii="Times New Roman" w:hAnsi="Times New Roman" w:eastAsia="宋体" w:cs="Times New Roman"/>
          <w:color w:val="auto"/>
          <w:sz w:val="24"/>
          <w:szCs w:val="24"/>
          <w:lang w:eastAsia="zh-CN"/>
        </w:rPr>
        <w:t>陈福</w:t>
      </w:r>
      <w:r>
        <w:rPr>
          <w:rFonts w:hint="default" w:ascii="Times New Roman" w:hAnsi="Times New Roman" w:eastAsia="宋体" w:cs="Times New Roman"/>
          <w:color w:val="auto"/>
          <w:sz w:val="24"/>
          <w:szCs w:val="24"/>
          <w:lang w:val="en-US" w:eastAsia="zh-CN"/>
        </w:rPr>
        <w:t>负责（联系电话：</w:t>
      </w:r>
      <w:r>
        <w:rPr>
          <w:rFonts w:hint="default" w:ascii="Times New Roman" w:hAnsi="Times New Roman" w:eastAsia="宋体" w:cs="Times New Roman"/>
          <w:color w:val="auto"/>
          <w:sz w:val="24"/>
          <w:szCs w:val="24"/>
          <w:lang w:eastAsia="zh-CN"/>
        </w:rPr>
        <w:t>13606438397</w:t>
      </w:r>
      <w:r>
        <w:rPr>
          <w:rFonts w:hint="default" w:ascii="Times New Roman" w:hAnsi="Times New Roman" w:eastAsia="宋体" w:cs="Times New Roman"/>
          <w:color w:val="auto"/>
          <w:sz w:val="24"/>
          <w:szCs w:val="24"/>
          <w:lang w:val="en-US" w:eastAsia="zh-CN"/>
        </w:rPr>
        <w:t>），</w:t>
      </w:r>
      <w:r>
        <w:rPr>
          <w:rFonts w:ascii="Times New Roman" w:hAnsi="Times New Roman" w:eastAsia="宋体"/>
          <w:color w:val="auto"/>
          <w:sz w:val="24"/>
        </w:rPr>
        <w:t>其职责：负责事故应急所需消防器材及设施，应急救援人员安全防护用品的采购、保管。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⑦</w:t>
      </w:r>
      <w:r>
        <w:rPr>
          <w:rFonts w:hint="eastAsia" w:ascii="Times New Roman" w:hAnsi="Times New Roman" w:eastAsia="宋体" w:cs="Times New Roman"/>
          <w:color w:val="auto"/>
          <w:sz w:val="24"/>
          <w:szCs w:val="24"/>
          <w:lang w:eastAsia="zh-CN"/>
        </w:rPr>
        <w:t>环境应急监测组</w:t>
      </w:r>
      <w:r>
        <w:rPr>
          <w:rFonts w:hint="default" w:ascii="Times New Roman" w:hAnsi="Times New Roman" w:eastAsia="宋体" w:cs="Times New Roman"/>
          <w:color w:val="auto"/>
          <w:sz w:val="24"/>
          <w:szCs w:val="24"/>
          <w:lang w:eastAsia="zh-CN"/>
        </w:rPr>
        <w:t>：由</w:t>
      </w:r>
      <w:r>
        <w:rPr>
          <w:rFonts w:hint="eastAsia" w:ascii="Times New Roman" w:hAnsi="Times New Roman" w:eastAsia="宋体" w:cs="Times New Roman"/>
          <w:color w:val="auto"/>
          <w:sz w:val="24"/>
          <w:szCs w:val="24"/>
          <w:lang w:eastAsia="zh-CN"/>
        </w:rPr>
        <w:t>罗东</w:t>
      </w:r>
      <w:r>
        <w:rPr>
          <w:rFonts w:hint="default" w:ascii="Times New Roman" w:hAnsi="Times New Roman" w:eastAsia="宋体" w:cs="Times New Roman"/>
          <w:color w:val="auto"/>
          <w:sz w:val="24"/>
          <w:szCs w:val="24"/>
          <w:lang w:eastAsia="zh-CN"/>
        </w:rPr>
        <w:t>负责（联系电话：</w:t>
      </w:r>
      <w:r>
        <w:rPr>
          <w:rFonts w:hint="eastAsia" w:ascii="Times New Roman" w:hAnsi="Times New Roman" w:eastAsia="宋体" w:cs="Times New Roman"/>
          <w:color w:val="auto"/>
          <w:sz w:val="24"/>
          <w:szCs w:val="24"/>
          <w:lang w:eastAsia="zh-CN"/>
        </w:rPr>
        <w:t>13853381420</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ascii="Times New Roman" w:hAnsi="Times New Roman" w:eastAsia="宋体"/>
          <w:color w:val="auto"/>
          <w:sz w:val="24"/>
        </w:rPr>
        <w:t>其职责：</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eastAsia" w:ascii="Times New Roman" w:hAnsi="Times New Roman" w:eastAsia="宋体" w:cs="宋体"/>
          <w:color w:val="auto"/>
          <w:sz w:val="24"/>
          <w:lang w:val="en-US" w:eastAsia="zh-CN"/>
        </w:rPr>
        <w:t>1）</w:t>
      </w:r>
      <w:r>
        <w:rPr>
          <w:rFonts w:ascii="Times New Roman" w:hAnsi="Times New Roman" w:eastAsia="宋体"/>
          <w:color w:val="auto"/>
          <w:sz w:val="24"/>
        </w:rPr>
        <w:t>负责突发环境事件的应急监测，掌握第一手监测资料，并配合地方环境监测机构进行应急监测工作。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eastAsia" w:ascii="Times New Roman" w:hAnsi="Times New Roman" w:eastAsia="宋体" w:cs="宋体"/>
          <w:color w:val="auto"/>
          <w:sz w:val="24"/>
          <w:lang w:val="en-US" w:eastAsia="zh-CN"/>
        </w:rPr>
        <w:t>2）</w:t>
      </w:r>
      <w:r>
        <w:rPr>
          <w:rFonts w:ascii="Times New Roman" w:hAnsi="Times New Roman" w:eastAsia="宋体"/>
          <w:color w:val="auto"/>
          <w:sz w:val="24"/>
        </w:rPr>
        <w:t>负责环保设施的运行情况的上报工作。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eastAsia" w:ascii="Times New Roman" w:hAnsi="Times New Roman" w:eastAsia="宋体" w:cs="宋体"/>
          <w:color w:val="auto"/>
          <w:sz w:val="24"/>
          <w:lang w:val="en-US" w:eastAsia="zh-CN"/>
        </w:rPr>
        <w:t>3）</w:t>
      </w:r>
      <w:r>
        <w:rPr>
          <w:rFonts w:ascii="Times New Roman" w:hAnsi="Times New Roman" w:eastAsia="宋体"/>
          <w:color w:val="auto"/>
          <w:sz w:val="24"/>
        </w:rPr>
        <w:t>负责环保设施的相关后处理工作实施。</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⑧现场处置组</w:t>
      </w:r>
      <w:r>
        <w:rPr>
          <w:rFonts w:hint="default" w:ascii="Times New Roman" w:hAnsi="Times New Roman" w:eastAsia="宋体" w:cs="Times New Roman"/>
          <w:color w:val="auto"/>
          <w:sz w:val="24"/>
          <w:szCs w:val="24"/>
          <w:lang w:eastAsia="zh-CN"/>
        </w:rPr>
        <w:t>：由</w:t>
      </w:r>
      <w:r>
        <w:rPr>
          <w:rFonts w:hint="eastAsia" w:ascii="Times New Roman" w:hAnsi="Times New Roman" w:eastAsia="宋体" w:cs="Times New Roman"/>
          <w:color w:val="auto"/>
          <w:sz w:val="24"/>
          <w:szCs w:val="24"/>
          <w:lang w:eastAsia="zh-CN"/>
        </w:rPr>
        <w:t>王聿亮</w:t>
      </w:r>
      <w:r>
        <w:rPr>
          <w:rFonts w:hint="default" w:ascii="Times New Roman" w:hAnsi="Times New Roman" w:eastAsia="宋体" w:cs="Times New Roman"/>
          <w:color w:val="auto"/>
          <w:sz w:val="24"/>
          <w:szCs w:val="24"/>
          <w:lang w:eastAsia="zh-CN"/>
        </w:rPr>
        <w:t>负责（联系电话：</w:t>
      </w:r>
      <w:r>
        <w:rPr>
          <w:rFonts w:hint="eastAsia" w:ascii="Times New Roman" w:hAnsi="Times New Roman" w:eastAsia="宋体" w:cs="Times New Roman"/>
          <w:color w:val="auto"/>
          <w:sz w:val="24"/>
          <w:szCs w:val="24"/>
          <w:lang w:eastAsia="zh-CN"/>
        </w:rPr>
        <w:t>15054598816</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color w:val="auto"/>
          <w:sz w:val="24"/>
        </w:rPr>
      </w:pPr>
      <w:r>
        <w:rPr>
          <w:rFonts w:hint="eastAsia" w:ascii="Times New Roman" w:hAnsi="Times New Roman" w:eastAsia="宋体"/>
          <w:color w:val="auto"/>
          <w:sz w:val="24"/>
          <w:lang w:val="en-US" w:eastAsia="zh-CN"/>
        </w:rPr>
        <w:t>1）</w:t>
      </w:r>
      <w:r>
        <w:rPr>
          <w:rFonts w:ascii="Times New Roman" w:hAnsi="Times New Roman" w:eastAsia="宋体"/>
          <w:color w:val="auto"/>
          <w:sz w:val="24"/>
        </w:rPr>
        <w:t>在指挥部的指挥下参加抢险救援；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olor w:val="auto"/>
          <w:sz w:val="24"/>
        </w:rPr>
      </w:pPr>
      <w:r>
        <w:rPr>
          <w:rFonts w:hint="eastAsia" w:ascii="Times New Roman" w:hAnsi="Times New Roman" w:eastAsia="宋体"/>
          <w:color w:val="auto"/>
          <w:sz w:val="24"/>
          <w:lang w:val="en-US" w:eastAsia="zh-CN"/>
        </w:rPr>
        <w:t>2）</w:t>
      </w:r>
      <w:r>
        <w:rPr>
          <w:rFonts w:ascii="Times New Roman" w:hAnsi="Times New Roman" w:eastAsia="宋体"/>
          <w:color w:val="auto"/>
          <w:sz w:val="24"/>
        </w:rPr>
        <w:t>负责组织当班人员在事件发生时将发生区域内的人员、物资抢救到安全地点，防止事态扩大。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上述应急分队根据实际事故规模和严重程度而设定，若事故规模较小，可以考虑合并上述职责分工或直接由事故应急救援指挥部负责相关职责的完成</w:t>
      </w:r>
      <w:r>
        <w:rPr>
          <w:rFonts w:hint="eastAsia" w:ascii="Times New Roman" w:hAnsi="Times New Roman" w:eastAsia="宋体" w:cs="Times New Roman"/>
          <w:color w:val="auto"/>
          <w:sz w:val="24"/>
          <w:szCs w:val="24"/>
          <w:lang w:eastAsia="zh-CN"/>
        </w:rPr>
        <w:t>，各应急救援组进入现场救援需按照要求佩戴好个体防护用品</w:t>
      </w:r>
      <w:r>
        <w:rPr>
          <w:rFonts w:hint="default" w:ascii="Times New Roman" w:hAnsi="Times New Roman" w:eastAsia="宋体" w:cs="Times New Roman"/>
          <w:color w:val="auto"/>
          <w:sz w:val="24"/>
          <w:szCs w:val="24"/>
        </w:rPr>
        <w:t>。</w:t>
      </w:r>
    </w:p>
    <w:p>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表</w:t>
      </w:r>
      <w:r>
        <w:rPr>
          <w:rFonts w:hint="eastAsia" w:ascii="Times New Roman" w:hAnsi="Times New Roman" w:eastAsia="宋体" w:cs="Times New Roman"/>
          <w:b/>
          <w:color w:val="auto"/>
          <w:sz w:val="24"/>
          <w:szCs w:val="24"/>
          <w:lang w:val="en-US" w:eastAsia="zh-CN"/>
        </w:rPr>
        <w:t>6.6</w:t>
      </w:r>
      <w:r>
        <w:rPr>
          <w:rFonts w:hint="default" w:ascii="Times New Roman" w:hAnsi="Times New Roman" w:eastAsia="宋体" w:cs="Times New Roman"/>
          <w:b/>
          <w:color w:val="auto"/>
          <w:sz w:val="24"/>
          <w:szCs w:val="24"/>
          <w:lang w:val="en-US" w:eastAsia="zh-CN"/>
        </w:rPr>
        <w:t>-</w:t>
      </w:r>
      <w:r>
        <w:rPr>
          <w:rFonts w:hint="eastAsia" w:ascii="Times New Roman" w:hAnsi="Times New Roman" w:eastAsia="宋体" w:cs="Times New Roman"/>
          <w:b/>
          <w:color w:val="auto"/>
          <w:sz w:val="24"/>
          <w:szCs w:val="24"/>
          <w:lang w:val="en-US" w:eastAsia="zh-CN"/>
        </w:rPr>
        <w:t>5</w:t>
      </w:r>
      <w:r>
        <w:rPr>
          <w:rFonts w:hint="default" w:ascii="Times New Roman" w:hAnsi="Times New Roman" w:eastAsia="宋体" w:cs="Times New Roman"/>
          <w:b/>
          <w:color w:val="auto"/>
          <w:sz w:val="24"/>
          <w:szCs w:val="24"/>
        </w:rPr>
        <w:t xml:space="preserve"> </w:t>
      </w:r>
      <w:r>
        <w:rPr>
          <w:rFonts w:hint="default" w:ascii="Times New Roman" w:hAnsi="Times New Roman" w:eastAsia="宋体" w:cs="Times New Roman"/>
          <w:b/>
          <w:color w:val="auto"/>
          <w:sz w:val="24"/>
          <w:szCs w:val="24"/>
          <w:lang w:eastAsia="zh-CN"/>
        </w:rPr>
        <w:t>应急队伍联络方式一览表</w:t>
      </w:r>
    </w:p>
    <w:tbl>
      <w:tblPr>
        <w:tblStyle w:val="18"/>
        <w:tblW w:w="486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0"/>
        <w:gridCol w:w="768"/>
        <w:gridCol w:w="1020"/>
        <w:gridCol w:w="1274"/>
        <w:gridCol w:w="1904"/>
        <w:gridCol w:w="1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548" w:type="pct"/>
            <w:gridSpan w:val="2"/>
            <w:tcBorders>
              <w:right w:val="single" w:color="auto" w:sz="4" w:space="0"/>
            </w:tcBorders>
            <w:noWrap w:val="0"/>
            <w:vAlign w:val="center"/>
          </w:tcPr>
          <w:p>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单位、部门</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联系人</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联系方式</w:t>
            </w:r>
          </w:p>
        </w:tc>
        <w:tc>
          <w:tcPr>
            <w:tcW w:w="1148" w:type="pct"/>
            <w:tcBorders>
              <w:left w:val="single" w:color="auto" w:sz="4" w:space="0"/>
              <w:right w:val="single" w:color="auto" w:sz="4" w:space="0"/>
            </w:tcBorders>
            <w:noWrap w:val="0"/>
            <w:vAlign w:val="center"/>
          </w:tcPr>
          <w:p>
            <w:pPr>
              <w:jc w:val="both"/>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电话</w:t>
            </w:r>
          </w:p>
        </w:tc>
        <w:tc>
          <w:tcPr>
            <w:tcW w:w="919" w:type="pct"/>
            <w:tcBorders>
              <w:left w:val="single" w:color="auto" w:sz="4" w:space="0"/>
            </w:tcBorders>
            <w:noWrap w:val="0"/>
            <w:vAlign w:val="center"/>
          </w:tcPr>
          <w:p>
            <w:pPr>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职务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548" w:type="pct"/>
            <w:gridSpan w:val="2"/>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24小时应急咨询电话</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陈福</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电话</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0533-</w:t>
            </w:r>
            <w:r>
              <w:rPr>
                <w:rFonts w:hint="default" w:ascii="Times New Roman" w:hAnsi="Times New Roman" w:eastAsia="宋体" w:cs="Times New Roman"/>
                <w:color w:val="auto"/>
                <w:sz w:val="21"/>
                <w:szCs w:val="21"/>
                <w:lang w:eastAsia="zh-CN"/>
              </w:rPr>
              <w:t>8710238</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消防科处长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548" w:type="pct"/>
            <w:gridSpan w:val="2"/>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公司应急总指挥</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周涛</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rPr>
              <w:t>13754776222</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rPr>
              <w:t>总经理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548" w:type="pct"/>
            <w:gridSpan w:val="2"/>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公司应急副总指挥</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黄金红</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lang w:val="en-US" w:eastAsia="zh-CN"/>
              </w:rPr>
              <w:t>13589512090</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rPr>
              <w:t>副总经理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restart"/>
            <w:tcBorders>
              <w:right w:val="single" w:color="auto" w:sz="4" w:space="0"/>
            </w:tcBorders>
            <w:noWrap w:val="0"/>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应急保障组</w:t>
            </w: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组长</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陈福</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13606438397</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消防科处长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continue"/>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组员</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郑峰</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13864469678</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消防科主任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continue"/>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组员</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陈同水</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13754758445</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消防科主任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restart"/>
            <w:tcBorders>
              <w:right w:val="single" w:color="auto" w:sz="4" w:space="0"/>
            </w:tcBorders>
            <w:noWrap w:val="0"/>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现场处置组</w:t>
            </w: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组长</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王聿亮</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15054598816</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厂长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continue"/>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组员</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李晓</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18353314555</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安全办科长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continue"/>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组员</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王红波</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手机</w:t>
            </w:r>
          </w:p>
        </w:tc>
        <w:tc>
          <w:tcPr>
            <w:tcW w:w="1148" w:type="pct"/>
            <w:tcBorders>
              <w:left w:val="single" w:color="auto" w:sz="4" w:space="0"/>
              <w:right w:val="single" w:color="auto" w:sz="4" w:space="0"/>
            </w:tcBorders>
            <w:noWrap w:val="0"/>
            <w:vAlign w:val="center"/>
          </w:tcPr>
          <w:p>
            <w:pPr>
              <w:tabs>
                <w:tab w:val="center" w:pos="812"/>
                <w:tab w:val="right" w:pos="1505"/>
              </w:tabs>
              <w:ind w:firstLine="210" w:firstLineChars="100"/>
              <w:jc w:val="both"/>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15064328858</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消防科科长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restart"/>
            <w:tcBorders>
              <w:right w:val="single" w:color="auto" w:sz="4" w:space="0"/>
            </w:tcBorders>
            <w:noWrap w:val="0"/>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环境应急监测组</w:t>
            </w: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组长</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罗东</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13853381420</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环保处处长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continue"/>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组员</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麻守荣</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13405337947</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环保处科长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continue"/>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组员</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王学</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18905332322</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环保处科长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restart"/>
            <w:tcBorders>
              <w:right w:val="single" w:color="auto" w:sz="4" w:space="0"/>
            </w:tcBorders>
            <w:noWrap w:val="0"/>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综合协调组</w:t>
            </w: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组长</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金新宗</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13964425236</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安全办处长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continue"/>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组员</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王同镇</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13475578910</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安全办科长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continue"/>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组员</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何恒胜</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13335224035</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安全办科长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restart"/>
            <w:tcBorders>
              <w:right w:val="single" w:color="auto" w:sz="4" w:space="0"/>
            </w:tcBorders>
            <w:noWrap w:val="0"/>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医疗卫生组</w:t>
            </w: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组长</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郭瑞花</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13806488186</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仓储处处长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continue"/>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组员</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金晓</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18865330261</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仓储处科长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continue"/>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组员</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伊晓玲</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13355277151</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仓储处科长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restart"/>
            <w:tcBorders>
              <w:right w:val="single" w:color="auto" w:sz="4" w:space="0"/>
            </w:tcBorders>
            <w:noWrap w:val="0"/>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安全警戒组</w:t>
            </w: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组长</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eastAsia="zh-CN"/>
              </w:rPr>
              <w:t>宫元良</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rPr>
              <w:t>13573355355</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副厂级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continue"/>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组员</w:t>
            </w:r>
          </w:p>
        </w:tc>
        <w:tc>
          <w:tcPr>
            <w:tcW w:w="615" w:type="pct"/>
            <w:tcBorders>
              <w:left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20"/>
                <w:szCs w:val="20"/>
                <w:u w:val="none"/>
                <w:lang w:val="en-US" w:eastAsia="zh-CN" w:bidi="ar"/>
              </w:rPr>
              <w:t>王会江</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13583383151</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副科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5" w:type="pct"/>
            <w:vMerge w:val="continue"/>
            <w:tcBorders>
              <w:right w:val="single" w:color="auto" w:sz="4" w:space="0"/>
            </w:tcBorders>
            <w:noWrap w:val="0"/>
            <w:vAlign w:val="center"/>
          </w:tcPr>
          <w:p>
            <w:pPr>
              <w:jc w:val="center"/>
              <w:rPr>
                <w:rFonts w:hint="default" w:ascii="Times New Roman" w:hAnsi="Times New Roman" w:eastAsia="宋体" w:cs="Times New Roman"/>
                <w:color w:val="auto"/>
                <w:sz w:val="21"/>
                <w:szCs w:val="21"/>
              </w:rPr>
            </w:pPr>
          </w:p>
        </w:tc>
        <w:tc>
          <w:tcPr>
            <w:tcW w:w="462"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组员</w:t>
            </w:r>
          </w:p>
        </w:tc>
        <w:tc>
          <w:tcPr>
            <w:tcW w:w="615"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周水广</w:t>
            </w:r>
          </w:p>
        </w:tc>
        <w:tc>
          <w:tcPr>
            <w:tcW w:w="76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手机</w:t>
            </w:r>
          </w:p>
        </w:tc>
        <w:tc>
          <w:tcPr>
            <w:tcW w:w="1148"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13518638964</w:t>
            </w:r>
          </w:p>
        </w:tc>
        <w:tc>
          <w:tcPr>
            <w:tcW w:w="919"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职工</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ascii="Times New Roman" w:hAnsi="Times New Roman"/>
          <w:sz w:val="24"/>
          <w:szCs w:val="24"/>
          <w:lang w:val="en-US"/>
        </w:rPr>
      </w:pPr>
      <w:r>
        <w:rPr>
          <w:rFonts w:hint="eastAsia" w:ascii="Times New Roman" w:hAnsi="Times New Roman"/>
          <w:sz w:val="24"/>
          <w:szCs w:val="24"/>
          <w:lang w:val="en-US" w:eastAsia="zh-CN"/>
        </w:rPr>
        <w:t xml:space="preserve"> </w:t>
      </w: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 xml:space="preserve">1.6 </w:t>
      </w:r>
      <w:r>
        <w:rPr>
          <w:rFonts w:hint="eastAsia" w:ascii="Times New Roman" w:hAnsi="Times New Roman"/>
          <w:b/>
          <w:bCs/>
          <w:sz w:val="24"/>
          <w:szCs w:val="24"/>
          <w:highlight w:val="none"/>
          <w:lang w:val="en-US" w:eastAsia="zh-CN"/>
        </w:rPr>
        <w:t>现有工程应急防控措施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contextualSpacing/>
        <w:textAlignment w:val="auto"/>
        <w:rPr>
          <w:rFonts w:hint="default" w:ascii="Times New Roman" w:hAnsi="Times New Roman" w:eastAsia="宋体" w:cs="Times New Roman"/>
          <w:color w:val="auto"/>
          <w:sz w:val="24"/>
        </w:rPr>
      </w:pPr>
      <w:r>
        <w:rPr>
          <w:rFonts w:hint="eastAsia" w:ascii="Times New Roman" w:hAnsi="Times New Roman"/>
          <w:sz w:val="24"/>
          <w:szCs w:val="24"/>
          <w:lang w:val="en-US" w:eastAsia="zh-CN"/>
        </w:rPr>
        <w:t>1、</w:t>
      </w:r>
      <w:r>
        <w:rPr>
          <w:rFonts w:hint="default" w:ascii="Times New Roman" w:hAnsi="Times New Roman" w:eastAsia="宋体" w:cs="Times New Roman"/>
          <w:color w:val="auto"/>
          <w:sz w:val="24"/>
        </w:rPr>
        <w:t>三级防控体系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一级防控体系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在装置开工、停工、检修、生产过程中，以及可能发生含有可燃、有毒液体等对环境有污染液体漫流的装置单元区周围，建有围堰和导流设施；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根据围堰内可能泄漏液体的特性设置集水沟槽、排水口；</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围堰外设闸阀切换井，正常情况下雨排水系统阀门关闭，受污染水排入污水处理系统，清净雨水切入雨排系统，切换时间按照《石油化工污水处理设计规范》(SH3095-2000)执行；</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在巡检通道经过的围堰处设置指示标志和警示标识；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5</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在围堰内设置围堰裙角、地面防腐防渗处理。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二级防控体系</w:t>
      </w:r>
    </w:p>
    <w:p>
      <w:pPr>
        <w:keepNext w:val="0"/>
        <w:keepLines w:val="0"/>
        <w:pageBreakBefore w:val="0"/>
        <w:widowControl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无法利用围堰、围挡控制物料和被污染水时，关闭雨排水系统的阀门，将事故污染水排入事故缓冲设施</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事故水池）。事故缓冲设施根据实际情况考虑采取防渗、防腐、防冻、防洪、抗浮、抗震等措施。正常情况事故缓冲设施</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事故水池）应做到不存水，事故发生时应及时打开进水阀门，收集事故水。雨排系统与污水排放系统做到雨污分流。</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本企业设置</w:t>
      </w:r>
      <w:r>
        <w:rPr>
          <w:rFonts w:hint="eastAsia" w:ascii="Times New Roman" w:hAnsi="Times New Roman" w:eastAsia="宋体" w:cs="Times New Roman"/>
          <w:color w:val="auto"/>
          <w:sz w:val="24"/>
          <w:szCs w:val="24"/>
          <w:lang w:val="en-US" w:eastAsia="zh-CN"/>
        </w:rPr>
        <w:t>30</w:t>
      </w:r>
      <w:r>
        <w:rPr>
          <w:rFonts w:hint="default" w:ascii="Times New Roman" w:hAnsi="Times New Roman" w:eastAsia="宋体" w:cs="Times New Roman"/>
          <w:color w:val="auto"/>
          <w:sz w:val="24"/>
          <w:szCs w:val="24"/>
          <w:lang w:val="en-US" w:eastAsia="zh-CN"/>
        </w:rPr>
        <w:t>00</w:t>
      </w:r>
      <w:r>
        <w:rPr>
          <w:rFonts w:hint="default" w:ascii="Times New Roman" w:hAnsi="Times New Roman" w:eastAsia="宋体" w:cs="Times New Roman"/>
          <w:color w:val="auto"/>
          <w:sz w:val="24"/>
          <w:szCs w:val="24"/>
          <w:lang w:eastAsia="zh-CN"/>
        </w:rPr>
        <w:t>m</w:t>
      </w:r>
      <w:r>
        <w:rPr>
          <w:rFonts w:hint="default" w:ascii="Times New Roman" w:hAnsi="Times New Roman" w:eastAsia="宋体" w:cs="Times New Roman"/>
          <w:color w:val="auto"/>
          <w:sz w:val="24"/>
          <w:szCs w:val="24"/>
          <w:vertAlign w:val="superscript"/>
          <w:lang w:eastAsia="zh-CN"/>
        </w:rPr>
        <w:t>3</w:t>
      </w:r>
      <w:r>
        <w:rPr>
          <w:rFonts w:hint="default" w:ascii="Times New Roman" w:hAnsi="Times New Roman" w:eastAsia="宋体" w:cs="Times New Roman"/>
          <w:color w:val="auto"/>
          <w:sz w:val="24"/>
          <w:szCs w:val="24"/>
          <w:vertAlign w:val="baseline"/>
          <w:lang w:eastAsia="zh-CN"/>
        </w:rPr>
        <w:t>的</w:t>
      </w:r>
      <w:r>
        <w:rPr>
          <w:rFonts w:hint="default" w:ascii="Times New Roman" w:hAnsi="Times New Roman" w:eastAsia="宋体" w:cs="Times New Roman"/>
          <w:color w:val="auto"/>
          <w:sz w:val="24"/>
          <w:szCs w:val="24"/>
          <w:lang w:eastAsia="zh-CN"/>
        </w:rPr>
        <w:t>事故水池。</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三级防控体系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企业对厂区污水及雨水总排口设置切断措施，防止事故情况下物料经雨水及污水管线进入地表水水体。</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一、二级预防与控制体系的围堰、围堤事故缓冲设施无法控制污染物料和废水时，排入公司事故水池。</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作为终端防控措施，建有1座</w:t>
      </w:r>
      <w:r>
        <w:rPr>
          <w:rFonts w:hint="eastAsia" w:ascii="Times New Roman" w:hAnsi="Times New Roman" w:eastAsia="宋体" w:cs="Times New Roman"/>
          <w:color w:val="auto"/>
          <w:sz w:val="24"/>
          <w:szCs w:val="24"/>
          <w:lang w:val="en-US" w:eastAsia="zh-CN"/>
        </w:rPr>
        <w:t>300</w:t>
      </w:r>
      <w:r>
        <w:rPr>
          <w:rFonts w:hint="default"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lang w:eastAsia="zh-CN"/>
        </w:rPr>
        <w:t>m</w:t>
      </w:r>
      <w:r>
        <w:rPr>
          <w:rFonts w:hint="default" w:ascii="Times New Roman" w:hAnsi="Times New Roman" w:eastAsia="宋体" w:cs="Times New Roman"/>
          <w:color w:val="auto"/>
          <w:sz w:val="24"/>
          <w:szCs w:val="24"/>
          <w:vertAlign w:val="superscript"/>
          <w:lang w:eastAsia="zh-CN"/>
        </w:rPr>
        <w:t xml:space="preserve"> 3</w:t>
      </w:r>
      <w:r>
        <w:rPr>
          <w:rFonts w:hint="default" w:ascii="Times New Roman" w:hAnsi="Times New Roman" w:eastAsia="宋体" w:cs="Times New Roman"/>
          <w:color w:val="auto"/>
          <w:sz w:val="24"/>
          <w:szCs w:val="24"/>
          <w:lang w:eastAsia="zh-CN"/>
        </w:rPr>
        <w:t>事故水池，在二级防控措施不能满足使用要求时，将物料及消防水等引入该事故水池，防止污染物进入地表水水体。</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综上所述，本装置发生火灾事故时，消防污水不会直接排放到周围水体中，导致水体受到污染。项目事故状态时的消防污水排入厂区事故水池暂存。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发生小量的泄漏时，收集于容器中，当用水冲洗地面时，冲洗水必须进入事故水池。当发生大量的泄漏时，构筑围堤或挖坑收集；收集后回收利用，不乱置乱弃。</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2、环境风险防控与应急措施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生产设施及罐区四周设有安全通道可直达安全区域，周边配备消防栓、干粉灭火器、消防沙池、消防水带，应急救援器材室内配备过滤式防毒面具等。</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1）截流措施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生产车间装置区内及罐区设置隔堤、导排沟。仓库四周设置收集槽并与事故池连通。全厂总的雨排口设置切断装置，并安排专人负责。</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2）事故排水收集措施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企业根据相关规范建设一座</w:t>
      </w:r>
      <w:r>
        <w:rPr>
          <w:rFonts w:hint="eastAsia" w:ascii="Times New Roman" w:hAnsi="Times New Roman" w:eastAsia="宋体" w:cs="Times New Roman"/>
          <w:color w:val="auto"/>
          <w:sz w:val="24"/>
          <w:szCs w:val="24"/>
          <w:lang w:val="en-US" w:eastAsia="zh-CN"/>
        </w:rPr>
        <w:t>30</w:t>
      </w:r>
      <w:r>
        <w:rPr>
          <w:rFonts w:hint="default" w:ascii="Times New Roman" w:hAnsi="Times New Roman" w:eastAsia="宋体" w:cs="Times New Roman"/>
          <w:color w:val="auto"/>
          <w:sz w:val="24"/>
          <w:szCs w:val="24"/>
          <w:lang w:val="en-US" w:eastAsia="zh-CN"/>
        </w:rPr>
        <w:t>00m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eastAsia="zh-CN"/>
        </w:rPr>
        <w:t>的事故水池，具体服务范围为全厂。根据企业环境影响评价文件以及安全现状评价报告的计算结果可知，企业的事故池能满足事故状态下事故水收集的要求。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罐区初期雨水和少量事故水经过手动阀收集到事故池内。</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3）雨水系统防控措施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雨、污水系统分离，雨水经过落水孔进入清净下水系统，经过收集池排入市政雨水系统，收集池内日常保持足够的事故排水缓冲容量；雨污分离系统有专用闸阀进行切换直接自流进入事故应急池收集待化验处理；具有事故水系统总排口关闭设施，有专人负责在紧急情况下关闭事故水总排口。</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4）生产废水处理系统防控措施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受污染的循环冷却水、雨水、消防水等经事故池收集后，排入生产污水处理系统；厂区设有事故池暂存事故废水；具有生产废水总排口监视及关闭设施，有专人负责启闭，确保泄漏物、受污染的消防水、不合格废水不排出厂外。</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5）其他风险防控措施落实情况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sz w:val="28"/>
          <w:szCs w:val="28"/>
          <w:lang w:eastAsia="zh-CN"/>
        </w:rPr>
      </w:pPr>
      <w:r>
        <w:rPr>
          <w:rFonts w:hint="default" w:ascii="Times New Roman" w:hAnsi="Times New Roman" w:eastAsia="宋体" w:cs="Times New Roman"/>
          <w:color w:val="auto"/>
          <w:sz w:val="24"/>
          <w:szCs w:val="24"/>
          <w:lang w:eastAsia="zh-CN"/>
        </w:rPr>
        <w:t>企业将生产装置区、罐区、仓库、废水管网、事故池、污水处理站作为重点防渗区，办公区、生活污水管网作为一般防渗区。</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b/>
          <w:bCs/>
          <w:color w:val="auto"/>
          <w:sz w:val="28"/>
          <w:szCs w:val="28"/>
        </w:rPr>
      </w:pPr>
      <w:r>
        <w:rPr>
          <w:rFonts w:hint="eastAsia" w:ascii="Times New Roman" w:hAnsi="Times New Roman"/>
          <w:b/>
          <w:bCs/>
          <w:color w:val="auto"/>
          <w:sz w:val="28"/>
          <w:szCs w:val="28"/>
          <w:lang w:val="en-US" w:eastAsia="zh-CN"/>
        </w:rPr>
        <w:t>6.6</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2</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本</w:t>
      </w:r>
      <w:r>
        <w:rPr>
          <w:rFonts w:hint="eastAsia" w:ascii="Times New Roman" w:hAnsi="Times New Roman"/>
          <w:b/>
          <w:bCs/>
          <w:color w:val="auto"/>
          <w:sz w:val="28"/>
          <w:szCs w:val="28"/>
        </w:rPr>
        <w:t>项目风险评价</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2.1</w:t>
      </w:r>
      <w:r>
        <w:rPr>
          <w:rFonts w:hint="eastAsia" w:ascii="Times New Roman" w:hAnsi="Times New Roman"/>
          <w:b/>
          <w:bCs/>
          <w:sz w:val="24"/>
          <w:szCs w:val="24"/>
          <w:highlight w:val="none"/>
          <w:lang w:val="en-US" w:eastAsia="zh-CN"/>
        </w:rPr>
        <w:t>风险识别范围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风险识别范围包括物质风险识别、生产系统危险性识别、风险物质向环境转移的途径识别。</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2.2</w:t>
      </w:r>
      <w:r>
        <w:rPr>
          <w:rFonts w:hint="eastAsia" w:ascii="Times New Roman" w:hAnsi="Times New Roman"/>
          <w:b/>
          <w:bCs/>
          <w:sz w:val="24"/>
          <w:szCs w:val="24"/>
          <w:highlight w:val="none"/>
          <w:lang w:val="en-US" w:eastAsia="zh-CN"/>
        </w:rPr>
        <w:t>物质风险识别</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sz w:val="24"/>
          <w:szCs w:val="24"/>
          <w:lang w:val="en-US" w:eastAsia="zh-CN"/>
        </w:rPr>
      </w:pPr>
      <w:r>
        <w:rPr>
          <w:rFonts w:hint="eastAsia"/>
          <w:sz w:val="24"/>
          <w:szCs w:val="24"/>
          <w:lang w:val="en-US" w:eastAsia="zh-CN"/>
        </w:rPr>
        <w:t>物质风险识别包括主要原辅材料、燃料、中间产品、副产品、最终产品、污染物、火灾和爆炸伴生/次生物等。本项目不产生副产品。本项目原辅材料、最终产品及排放的污染物涉及危险化学品的主要是氢氧化钠、</w:t>
      </w:r>
      <w:r>
        <w:rPr>
          <w:rFonts w:hint="default" w:ascii="Times New Roman" w:hAnsi="Times New Roman" w:cs="Times New Roman"/>
          <w:color w:val="auto"/>
          <w:sz w:val="24"/>
          <w:szCs w:val="24"/>
          <w:lang w:val="en-US" w:eastAsia="zh-CN"/>
        </w:rPr>
        <w:t>H</w:t>
      </w:r>
      <w:r>
        <w:rPr>
          <w:rFonts w:hint="default" w:ascii="Times New Roman" w:hAnsi="Times New Roman" w:cs="Times New Roman"/>
          <w:color w:val="auto"/>
          <w:sz w:val="24"/>
          <w:szCs w:val="24"/>
          <w:vertAlign w:val="subscript"/>
          <w:lang w:val="en-US" w:eastAsia="zh-CN"/>
        </w:rPr>
        <w:t>2</w:t>
      </w:r>
      <w:r>
        <w:rPr>
          <w:rFonts w:hint="default" w:ascii="Times New Roman" w:hAnsi="Times New Roman" w:cs="Times New Roman"/>
          <w:color w:val="auto"/>
          <w:sz w:val="24"/>
          <w:szCs w:val="24"/>
          <w:lang w:val="en-US" w:eastAsia="zh-CN"/>
        </w:rPr>
        <w:t>O</w:t>
      </w:r>
      <w:r>
        <w:rPr>
          <w:rFonts w:hint="default" w:ascii="Times New Roman" w:hAnsi="Times New Roman" w:cs="Times New Roman"/>
          <w:color w:val="auto"/>
          <w:sz w:val="24"/>
          <w:szCs w:val="24"/>
          <w:vertAlign w:val="subscript"/>
          <w:lang w:val="en-US" w:eastAsia="zh-CN"/>
        </w:rPr>
        <w:t>2</w:t>
      </w:r>
      <w:r>
        <w:rPr>
          <w:rFonts w:hint="eastAsia"/>
          <w:sz w:val="24"/>
          <w:szCs w:val="24"/>
          <w:lang w:val="en-US" w:eastAsia="zh-CN"/>
        </w:rPr>
        <w:t>、氨、天然气、</w:t>
      </w:r>
      <w:r>
        <w:rPr>
          <w:rFonts w:hint="default" w:ascii="Times New Roman" w:hAnsi="Times New Roman" w:cs="Times New Roman"/>
          <w:sz w:val="24"/>
          <w:szCs w:val="24"/>
          <w:lang w:val="en-US" w:eastAsia="zh-CN"/>
        </w:rPr>
        <w:t>DTPA</w:t>
      </w:r>
      <w:r>
        <w:rPr>
          <w:rFonts w:hint="eastAsia" w:ascii="Times New Roman" w:hAnsi="Times New Roman" w:cs="Times New Roman"/>
          <w:sz w:val="24"/>
          <w:szCs w:val="24"/>
          <w:lang w:val="en-US" w:eastAsia="zh-CN"/>
        </w:rPr>
        <w:t>和CaO</w:t>
      </w:r>
      <w:r>
        <w:rPr>
          <w:rFonts w:hint="eastAsia"/>
          <w:sz w:val="24"/>
          <w:szCs w:val="24"/>
          <w:lang w:val="en-US" w:eastAsia="zh-CN"/>
        </w:rPr>
        <w:t>等。火灾和爆炸伴生/次生物主要涉及一氧化碳、二氧化碳。危险物质理化性质及危险特性分别见表</w:t>
      </w:r>
      <w:r>
        <w:rPr>
          <w:rFonts w:hint="eastAsia" w:ascii="Times New Roman" w:hAnsi="Times New Roman" w:cs="Times New Roman"/>
          <w:sz w:val="24"/>
          <w:szCs w:val="24"/>
          <w:lang w:val="en-US" w:eastAsia="zh-CN"/>
        </w:rPr>
        <w:t>6.6</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6</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6.6</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10</w:t>
      </w:r>
      <w:r>
        <w:rPr>
          <w:rFonts w:hint="eastAsia"/>
          <w:sz w:val="24"/>
          <w:szCs w:val="24"/>
          <w:lang w:val="en-US" w:eastAsia="zh-CN"/>
        </w:rPr>
        <w:t>。</w:t>
      </w:r>
    </w:p>
    <w:p>
      <w:pPr>
        <w:pStyle w:val="25"/>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baseline"/>
        <w:rPr>
          <w:rFonts w:hint="eastAsia"/>
          <w:lang w:val="en-US" w:eastAsia="zh-CN"/>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eastAsia"/>
          <w:b/>
          <w:bCs/>
          <w:sz w:val="24"/>
          <w:szCs w:val="24"/>
          <w:lang w:val="en-US" w:eastAsia="zh-CN"/>
        </w:rPr>
        <w:t xml:space="preserve"> 天然气的理化性质、危险特性及应急防范措施一览表</w:t>
      </w:r>
    </w:p>
    <w:tbl>
      <w:tblPr>
        <w:tblStyle w:val="18"/>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3" w:type="dxa"/>
          <w:bottom w:w="0" w:type="dxa"/>
          <w:right w:w="113" w:type="dxa"/>
        </w:tblCellMar>
      </w:tblPr>
      <w:tblGrid>
        <w:gridCol w:w="652"/>
        <w:gridCol w:w="1133"/>
        <w:gridCol w:w="1274"/>
        <w:gridCol w:w="1130"/>
        <w:gridCol w:w="521"/>
        <w:gridCol w:w="1451"/>
        <w:gridCol w:w="677"/>
        <w:gridCol w:w="132"/>
        <w:gridCol w:w="15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restart"/>
            <w:tcBorders>
              <w:tl2br w:val="nil"/>
              <w:tr2bl w:val="nil"/>
            </w:tcBorders>
            <w:noWrap w:val="0"/>
            <w:vAlign w:val="center"/>
          </w:tcPr>
          <w:p>
            <w:pPr>
              <w:pStyle w:val="27"/>
              <w:spacing w:before="46"/>
              <w:ind w:left="199" w:leftChars="95" w:right="1381" w:firstLine="0" w:firstLineChars="0"/>
              <w:jc w:val="both"/>
              <w:rPr>
                <w:rFonts w:hint="default" w:eastAsia="宋体"/>
                <w:sz w:val="21"/>
                <w:lang w:val="en-US" w:eastAsia="zh-CN"/>
              </w:rPr>
            </w:pPr>
            <w:r>
              <w:rPr>
                <w:rFonts w:hint="eastAsia"/>
                <w:sz w:val="21"/>
                <w:lang w:val="en-US" w:eastAsia="zh-CN"/>
              </w:rPr>
              <w:t>标识</w:t>
            </w:r>
          </w:p>
        </w:tc>
        <w:tc>
          <w:tcPr>
            <w:tcW w:w="2381" w:type="pct"/>
            <w:gridSpan w:val="4"/>
            <w:tcBorders>
              <w:tl2br w:val="nil"/>
              <w:tr2bl w:val="nil"/>
            </w:tcBorders>
            <w:noWrap w:val="0"/>
            <w:vAlign w:val="center"/>
          </w:tcPr>
          <w:p>
            <w:pPr>
              <w:pStyle w:val="27"/>
              <w:spacing w:before="46"/>
              <w:ind w:right="1381"/>
              <w:jc w:val="center"/>
              <w:rPr>
                <w:sz w:val="21"/>
              </w:rPr>
            </w:pPr>
            <w:r>
              <w:rPr>
                <w:rFonts w:hint="eastAsia"/>
                <w:sz w:val="21"/>
                <w:lang w:val="en-US" w:eastAsia="zh-CN"/>
              </w:rPr>
              <w:t xml:space="preserve">            </w:t>
            </w:r>
            <w:r>
              <w:rPr>
                <w:sz w:val="21"/>
              </w:rPr>
              <w:t>中文名：甲烷</w:t>
            </w:r>
          </w:p>
        </w:tc>
        <w:tc>
          <w:tcPr>
            <w:tcW w:w="2236" w:type="pct"/>
            <w:gridSpan w:val="4"/>
            <w:tcBorders>
              <w:tl2br w:val="nil"/>
              <w:tr2bl w:val="nil"/>
            </w:tcBorders>
            <w:noWrap w:val="0"/>
            <w:vAlign w:val="center"/>
          </w:tcPr>
          <w:p>
            <w:pPr>
              <w:pStyle w:val="27"/>
              <w:spacing w:before="46"/>
              <w:jc w:val="center"/>
              <w:rPr>
                <w:rFonts w:ascii="Times New Roman" w:eastAsia="Times New Roman"/>
                <w:sz w:val="21"/>
              </w:rPr>
            </w:pPr>
            <w:r>
              <w:rPr>
                <w:sz w:val="21"/>
              </w:rPr>
              <w:t>英文名：</w:t>
            </w:r>
            <w:r>
              <w:rPr>
                <w:rFonts w:ascii="Times New Roman" w:eastAsia="Times New Roman"/>
                <w:sz w:val="21"/>
              </w:rPr>
              <w:t>Methane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59" w:hRule="atLeast"/>
          <w:jc w:val="center"/>
        </w:trPr>
        <w:tc>
          <w:tcPr>
            <w:tcW w:w="382" w:type="pct"/>
            <w:vMerge w:val="continue"/>
            <w:tcBorders>
              <w:tl2br w:val="nil"/>
              <w:tr2bl w:val="nil"/>
            </w:tcBorders>
            <w:noWrap w:val="0"/>
            <w:vAlign w:val="center"/>
          </w:tcPr>
          <w:p>
            <w:pPr>
              <w:pStyle w:val="27"/>
              <w:spacing w:before="68"/>
              <w:ind w:left="931"/>
              <w:rPr>
                <w:sz w:val="21"/>
              </w:rPr>
            </w:pPr>
          </w:p>
        </w:tc>
        <w:tc>
          <w:tcPr>
            <w:tcW w:w="2075" w:type="pct"/>
            <w:gridSpan w:val="3"/>
            <w:tcBorders>
              <w:tl2br w:val="nil"/>
              <w:tr2bl w:val="nil"/>
            </w:tcBorders>
            <w:noWrap w:val="0"/>
            <w:vAlign w:val="center"/>
          </w:tcPr>
          <w:p>
            <w:pPr>
              <w:pStyle w:val="27"/>
              <w:spacing w:before="68"/>
              <w:ind w:left="931"/>
              <w:rPr>
                <w:rFonts w:ascii="Times New Roman" w:eastAsia="Times New Roman"/>
                <w:sz w:val="21"/>
              </w:rPr>
            </w:pPr>
            <w:r>
              <w:rPr>
                <w:sz w:val="21"/>
              </w:rPr>
              <w:t>分子式：</w:t>
            </w:r>
            <w:r>
              <w:rPr>
                <w:rFonts w:ascii="Times New Roman" w:eastAsia="Times New Roman"/>
                <w:sz w:val="21"/>
              </w:rPr>
              <w:t>CH</w:t>
            </w:r>
            <w:r>
              <w:rPr>
                <w:rFonts w:ascii="Times New Roman" w:eastAsia="Times New Roman"/>
                <w:sz w:val="21"/>
                <w:vertAlign w:val="subscript"/>
              </w:rPr>
              <w:t>4</w:t>
            </w:r>
          </w:p>
        </w:tc>
        <w:tc>
          <w:tcPr>
            <w:tcW w:w="1157" w:type="pct"/>
            <w:gridSpan w:val="2"/>
            <w:tcBorders>
              <w:tl2br w:val="nil"/>
              <w:tr2bl w:val="nil"/>
            </w:tcBorders>
            <w:noWrap w:val="0"/>
            <w:vAlign w:val="center"/>
          </w:tcPr>
          <w:p>
            <w:pPr>
              <w:pStyle w:val="27"/>
              <w:spacing w:before="68"/>
              <w:jc w:val="center"/>
              <w:rPr>
                <w:rFonts w:ascii="Times New Roman" w:eastAsia="Times New Roman"/>
                <w:sz w:val="21"/>
              </w:rPr>
            </w:pPr>
            <w:r>
              <w:rPr>
                <w:sz w:val="21"/>
              </w:rPr>
              <w:t>分子量：</w:t>
            </w:r>
            <w:r>
              <w:rPr>
                <w:rFonts w:ascii="Times New Roman" w:eastAsia="Times New Roman"/>
                <w:sz w:val="21"/>
              </w:rPr>
              <w:t>16.04</w:t>
            </w:r>
          </w:p>
        </w:tc>
        <w:tc>
          <w:tcPr>
            <w:tcW w:w="1384" w:type="pct"/>
            <w:gridSpan w:val="3"/>
            <w:tcBorders>
              <w:tl2br w:val="nil"/>
              <w:tr2bl w:val="nil"/>
            </w:tcBorders>
            <w:noWrap w:val="0"/>
            <w:vAlign w:val="center"/>
          </w:tcPr>
          <w:p>
            <w:pPr>
              <w:pStyle w:val="27"/>
              <w:spacing w:before="68"/>
              <w:jc w:val="center"/>
              <w:rPr>
                <w:rFonts w:ascii="Times New Roman" w:eastAsia="Times New Roman"/>
                <w:sz w:val="21"/>
              </w:rPr>
            </w:pPr>
            <w:r>
              <w:rPr>
                <w:rFonts w:ascii="Times New Roman" w:eastAsia="Times New Roman"/>
                <w:sz w:val="21"/>
              </w:rPr>
              <w:t>CAS</w:t>
            </w:r>
            <w:r>
              <w:rPr>
                <w:sz w:val="21"/>
              </w:rPr>
              <w:t>号：</w:t>
            </w:r>
            <w:r>
              <w:rPr>
                <w:rFonts w:ascii="Times New Roman" w:eastAsia="Times New Roman"/>
                <w:sz w:val="21"/>
              </w:rPr>
              <w:t>74-82-8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59" w:hRule="atLeast"/>
          <w:jc w:val="center"/>
        </w:trPr>
        <w:tc>
          <w:tcPr>
            <w:tcW w:w="382" w:type="pct"/>
            <w:vMerge w:val="continue"/>
            <w:tcBorders>
              <w:tl2br w:val="nil"/>
              <w:tr2bl w:val="nil"/>
            </w:tcBorders>
            <w:noWrap w:val="0"/>
            <w:vAlign w:val="center"/>
          </w:tcPr>
          <w:p>
            <w:pPr>
              <w:pStyle w:val="27"/>
              <w:tabs>
                <w:tab w:val="left" w:pos="909"/>
              </w:tabs>
              <w:spacing w:before="68"/>
              <w:ind w:left="17"/>
              <w:jc w:val="center"/>
              <w:rPr>
                <w:sz w:val="21"/>
              </w:rPr>
            </w:pPr>
          </w:p>
        </w:tc>
        <w:tc>
          <w:tcPr>
            <w:tcW w:w="4617" w:type="pct"/>
            <w:gridSpan w:val="8"/>
            <w:tcBorders>
              <w:tl2br w:val="nil"/>
              <w:tr2bl w:val="nil"/>
            </w:tcBorders>
            <w:noWrap w:val="0"/>
            <w:vAlign w:val="center"/>
          </w:tcPr>
          <w:p>
            <w:pPr>
              <w:pStyle w:val="27"/>
              <w:tabs>
                <w:tab w:val="left" w:pos="909"/>
              </w:tabs>
              <w:spacing w:before="68"/>
              <w:ind w:left="17"/>
              <w:jc w:val="center"/>
              <w:rPr>
                <w:sz w:val="21"/>
              </w:rPr>
            </w:pPr>
            <w:r>
              <w:rPr>
                <w:sz w:val="21"/>
              </w:rPr>
              <w:t>第</w:t>
            </w:r>
            <w:r>
              <w:rPr>
                <w:rFonts w:ascii="Times New Roman" w:eastAsia="Times New Roman"/>
                <w:sz w:val="21"/>
              </w:rPr>
              <w:t>2.1</w:t>
            </w:r>
            <w:r>
              <w:rPr>
                <w:sz w:val="21"/>
              </w:rPr>
              <w:t>类</w:t>
            </w:r>
            <w:r>
              <w:rPr>
                <w:sz w:val="21"/>
              </w:rPr>
              <w:tab/>
            </w:r>
            <w:r>
              <w:rPr>
                <w:sz w:val="21"/>
              </w:rPr>
              <w:t>易</w:t>
            </w:r>
            <w:r>
              <w:rPr>
                <w:spacing w:val="-3"/>
                <w:sz w:val="21"/>
              </w:rPr>
              <w:t>燃</w:t>
            </w:r>
            <w:r>
              <w:rPr>
                <w:sz w:val="21"/>
              </w:rPr>
              <w:t>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restart"/>
            <w:tcBorders>
              <w:tl2br w:val="nil"/>
              <w:tr2bl w:val="nil"/>
            </w:tcBorders>
            <w:noWrap w:val="0"/>
            <w:vAlign w:val="center"/>
          </w:tcPr>
          <w:p>
            <w:pPr>
              <w:pStyle w:val="27"/>
              <w:spacing w:before="49"/>
              <w:ind w:left="17"/>
              <w:jc w:val="center"/>
              <w:rPr>
                <w:rFonts w:hint="eastAsia" w:eastAsia="宋体"/>
                <w:sz w:val="21"/>
                <w:lang w:val="en-US" w:eastAsia="zh-CN"/>
              </w:rPr>
            </w:pPr>
            <w:r>
              <w:rPr>
                <w:rFonts w:hint="eastAsia"/>
                <w:sz w:val="21"/>
                <w:lang w:val="en-US" w:eastAsia="zh-CN"/>
              </w:rPr>
              <w:t>理化性质</w:t>
            </w:r>
          </w:p>
        </w:tc>
        <w:tc>
          <w:tcPr>
            <w:tcW w:w="4617" w:type="pct"/>
            <w:gridSpan w:val="8"/>
            <w:tcBorders>
              <w:tl2br w:val="nil"/>
              <w:tr2bl w:val="nil"/>
            </w:tcBorders>
            <w:noWrap w:val="0"/>
            <w:vAlign w:val="center"/>
          </w:tcPr>
          <w:p>
            <w:pPr>
              <w:pStyle w:val="27"/>
              <w:spacing w:before="49"/>
              <w:ind w:left="17"/>
              <w:jc w:val="center"/>
              <w:rPr>
                <w:sz w:val="21"/>
              </w:rPr>
            </w:pPr>
            <w:r>
              <w:rPr>
                <w:sz w:val="21"/>
              </w:rPr>
              <w:t>外观与性状：无色无味气体。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continue"/>
            <w:tcBorders>
              <w:tl2br w:val="nil"/>
              <w:tr2bl w:val="nil"/>
            </w:tcBorders>
            <w:noWrap w:val="0"/>
            <w:vAlign w:val="center"/>
          </w:tcPr>
          <w:p>
            <w:pPr>
              <w:pStyle w:val="27"/>
              <w:spacing w:before="46"/>
              <w:ind w:left="698"/>
              <w:rPr>
                <w:sz w:val="21"/>
              </w:rPr>
            </w:pPr>
          </w:p>
        </w:tc>
        <w:tc>
          <w:tcPr>
            <w:tcW w:w="1412" w:type="pct"/>
            <w:gridSpan w:val="2"/>
            <w:tcBorders>
              <w:tl2br w:val="nil"/>
              <w:tr2bl w:val="nil"/>
            </w:tcBorders>
            <w:noWrap w:val="0"/>
            <w:vAlign w:val="center"/>
          </w:tcPr>
          <w:p>
            <w:pPr>
              <w:pStyle w:val="27"/>
              <w:spacing w:before="46"/>
              <w:ind w:left="698"/>
              <w:rPr>
                <w:sz w:val="21"/>
              </w:rPr>
            </w:pPr>
            <w:r>
              <w:rPr>
                <w:sz w:val="21"/>
              </w:rPr>
              <w:t>熔点（℃）</w:t>
            </w:r>
          </w:p>
        </w:tc>
        <w:tc>
          <w:tcPr>
            <w:tcW w:w="968" w:type="pct"/>
            <w:gridSpan w:val="2"/>
            <w:tcBorders>
              <w:tl2br w:val="nil"/>
              <w:tr2bl w:val="nil"/>
            </w:tcBorders>
            <w:noWrap w:val="0"/>
            <w:vAlign w:val="center"/>
          </w:tcPr>
          <w:p>
            <w:pPr>
              <w:pStyle w:val="27"/>
              <w:spacing w:before="60"/>
              <w:ind w:left="549"/>
              <w:rPr>
                <w:rFonts w:ascii="Times New Roman"/>
                <w:sz w:val="21"/>
              </w:rPr>
            </w:pPr>
            <w:r>
              <w:rPr>
                <w:rFonts w:ascii="Times New Roman"/>
                <w:sz w:val="21"/>
              </w:rPr>
              <w:t>-182.6</w:t>
            </w:r>
          </w:p>
        </w:tc>
        <w:tc>
          <w:tcPr>
            <w:tcW w:w="1248" w:type="pct"/>
            <w:gridSpan w:val="2"/>
            <w:tcBorders>
              <w:tl2br w:val="nil"/>
              <w:tr2bl w:val="nil"/>
            </w:tcBorders>
            <w:noWrap w:val="0"/>
            <w:vAlign w:val="center"/>
          </w:tcPr>
          <w:p>
            <w:pPr>
              <w:pStyle w:val="27"/>
              <w:spacing w:before="46"/>
              <w:jc w:val="center"/>
              <w:rPr>
                <w:sz w:val="21"/>
              </w:rPr>
            </w:pPr>
            <w:r>
              <w:rPr>
                <w:sz w:val="21"/>
              </w:rPr>
              <w:t>相对密度（空气</w:t>
            </w:r>
            <w:r>
              <w:rPr>
                <w:rFonts w:ascii="Times New Roman" w:eastAsia="Times New Roman"/>
                <w:sz w:val="21"/>
              </w:rPr>
              <w:t>=1</w:t>
            </w:r>
            <w:r>
              <w:rPr>
                <w:sz w:val="21"/>
              </w:rPr>
              <w:t>）</w:t>
            </w:r>
          </w:p>
        </w:tc>
        <w:tc>
          <w:tcPr>
            <w:tcW w:w="987" w:type="pct"/>
            <w:gridSpan w:val="2"/>
            <w:tcBorders>
              <w:tl2br w:val="nil"/>
              <w:tr2bl w:val="nil"/>
            </w:tcBorders>
            <w:noWrap w:val="0"/>
            <w:vAlign w:val="center"/>
          </w:tcPr>
          <w:p>
            <w:pPr>
              <w:pStyle w:val="27"/>
              <w:spacing w:before="60"/>
              <w:ind w:left="296" w:right="281"/>
              <w:jc w:val="center"/>
              <w:rPr>
                <w:rFonts w:ascii="Times New Roman"/>
                <w:sz w:val="21"/>
              </w:rPr>
            </w:pPr>
            <w:r>
              <w:rPr>
                <w:rFonts w:ascii="Times New Roman"/>
                <w:sz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continue"/>
            <w:tcBorders>
              <w:tl2br w:val="nil"/>
              <w:tr2bl w:val="nil"/>
            </w:tcBorders>
            <w:noWrap w:val="0"/>
            <w:vAlign w:val="center"/>
          </w:tcPr>
          <w:p>
            <w:pPr>
              <w:pStyle w:val="27"/>
              <w:spacing w:before="46"/>
              <w:ind w:left="698"/>
              <w:rPr>
                <w:sz w:val="21"/>
              </w:rPr>
            </w:pPr>
          </w:p>
        </w:tc>
        <w:tc>
          <w:tcPr>
            <w:tcW w:w="1412" w:type="pct"/>
            <w:gridSpan w:val="2"/>
            <w:tcBorders>
              <w:tl2br w:val="nil"/>
              <w:tr2bl w:val="nil"/>
            </w:tcBorders>
            <w:noWrap w:val="0"/>
            <w:vAlign w:val="center"/>
          </w:tcPr>
          <w:p>
            <w:pPr>
              <w:pStyle w:val="27"/>
              <w:spacing w:before="46"/>
              <w:ind w:left="698"/>
              <w:rPr>
                <w:sz w:val="21"/>
              </w:rPr>
            </w:pPr>
            <w:r>
              <w:rPr>
                <w:sz w:val="21"/>
              </w:rPr>
              <w:t>沸点（℃）</w:t>
            </w:r>
          </w:p>
        </w:tc>
        <w:tc>
          <w:tcPr>
            <w:tcW w:w="968" w:type="pct"/>
            <w:gridSpan w:val="2"/>
            <w:tcBorders>
              <w:tl2br w:val="nil"/>
              <w:tr2bl w:val="nil"/>
            </w:tcBorders>
            <w:noWrap w:val="0"/>
            <w:vAlign w:val="center"/>
          </w:tcPr>
          <w:p>
            <w:pPr>
              <w:pStyle w:val="27"/>
              <w:spacing w:before="60"/>
              <w:ind w:left="549"/>
              <w:rPr>
                <w:rFonts w:ascii="Times New Roman"/>
                <w:sz w:val="21"/>
              </w:rPr>
            </w:pPr>
            <w:r>
              <w:rPr>
                <w:rFonts w:ascii="Times New Roman"/>
                <w:sz w:val="21"/>
              </w:rPr>
              <w:t>-161.4</w:t>
            </w:r>
          </w:p>
        </w:tc>
        <w:tc>
          <w:tcPr>
            <w:tcW w:w="1248" w:type="pct"/>
            <w:gridSpan w:val="2"/>
            <w:tcBorders>
              <w:tl2br w:val="nil"/>
              <w:tr2bl w:val="nil"/>
            </w:tcBorders>
            <w:noWrap w:val="0"/>
            <w:vAlign w:val="center"/>
          </w:tcPr>
          <w:p>
            <w:pPr>
              <w:pStyle w:val="27"/>
              <w:spacing w:before="46"/>
              <w:jc w:val="center"/>
              <w:rPr>
                <w:sz w:val="21"/>
              </w:rPr>
            </w:pPr>
            <w:r>
              <w:rPr>
                <w:sz w:val="21"/>
              </w:rPr>
              <w:t>相对密度（水＝</w:t>
            </w:r>
            <w:r>
              <w:rPr>
                <w:rFonts w:ascii="Times New Roman" w:eastAsia="Times New Roman"/>
                <w:sz w:val="21"/>
              </w:rPr>
              <w:t>1</w:t>
            </w:r>
            <w:r>
              <w:rPr>
                <w:sz w:val="21"/>
              </w:rPr>
              <w:t>）</w:t>
            </w:r>
          </w:p>
        </w:tc>
        <w:tc>
          <w:tcPr>
            <w:tcW w:w="987" w:type="pct"/>
            <w:gridSpan w:val="2"/>
            <w:tcBorders>
              <w:tl2br w:val="nil"/>
              <w:tr2bl w:val="nil"/>
            </w:tcBorders>
            <w:noWrap w:val="0"/>
            <w:vAlign w:val="center"/>
          </w:tcPr>
          <w:p>
            <w:pPr>
              <w:pStyle w:val="27"/>
              <w:spacing w:before="46"/>
              <w:ind w:right="281"/>
              <w:jc w:val="center"/>
              <w:rPr>
                <w:sz w:val="21"/>
              </w:rPr>
            </w:pPr>
            <w:r>
              <w:rPr>
                <w:rFonts w:ascii="Times New Roman" w:hAnsi="Times New Roman" w:eastAsia="Times New Roman"/>
                <w:sz w:val="21"/>
              </w:rPr>
              <w:t>0.42</w:t>
            </w:r>
            <w:r>
              <w:rPr>
                <w:rFonts w:hint="eastAsia" w:ascii="Times New Roman" w:hAnsi="Times New Roman"/>
                <w:sz w:val="21"/>
                <w:lang w:val="en-US" w:eastAsia="zh-CN"/>
              </w:rPr>
              <w:t xml:space="preserve">          </w:t>
            </w:r>
            <w:r>
              <w:rPr>
                <w:sz w:val="21"/>
              </w:rPr>
              <w:t>（</w:t>
            </w:r>
            <w:r>
              <w:rPr>
                <w:rFonts w:ascii="Times New Roman" w:hAnsi="Times New Roman" w:eastAsia="Times New Roman"/>
                <w:sz w:val="21"/>
              </w:rPr>
              <w:t>-164</w:t>
            </w:r>
            <w:r>
              <w:rPr>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38" w:hRule="atLeast"/>
          <w:jc w:val="center"/>
        </w:trPr>
        <w:tc>
          <w:tcPr>
            <w:tcW w:w="382" w:type="pct"/>
            <w:vMerge w:val="continue"/>
            <w:tcBorders>
              <w:tl2br w:val="nil"/>
              <w:tr2bl w:val="nil"/>
            </w:tcBorders>
            <w:noWrap w:val="0"/>
            <w:vAlign w:val="center"/>
          </w:tcPr>
          <w:p>
            <w:pPr>
              <w:pStyle w:val="27"/>
              <w:spacing w:before="47"/>
              <w:ind w:left="307"/>
              <w:rPr>
                <w:sz w:val="21"/>
              </w:rPr>
            </w:pPr>
          </w:p>
        </w:tc>
        <w:tc>
          <w:tcPr>
            <w:tcW w:w="1412" w:type="pct"/>
            <w:gridSpan w:val="2"/>
            <w:tcBorders>
              <w:tl2br w:val="nil"/>
              <w:tr2bl w:val="nil"/>
            </w:tcBorders>
            <w:noWrap w:val="0"/>
            <w:vAlign w:val="center"/>
          </w:tcPr>
          <w:p>
            <w:pPr>
              <w:pStyle w:val="27"/>
              <w:spacing w:before="47"/>
              <w:ind w:left="307"/>
              <w:rPr>
                <w:sz w:val="21"/>
              </w:rPr>
            </w:pPr>
            <w:r>
              <w:rPr>
                <w:sz w:val="21"/>
              </w:rPr>
              <w:t>饱和蒸汽压（</w:t>
            </w:r>
            <w:r>
              <w:rPr>
                <w:rFonts w:ascii="Times New Roman" w:eastAsia="Times New Roman"/>
                <w:sz w:val="21"/>
              </w:rPr>
              <w:t>KPa</w:t>
            </w:r>
            <w:r>
              <w:rPr>
                <w:sz w:val="21"/>
              </w:rPr>
              <w:t>）</w:t>
            </w:r>
          </w:p>
        </w:tc>
        <w:tc>
          <w:tcPr>
            <w:tcW w:w="968" w:type="pct"/>
            <w:gridSpan w:val="2"/>
            <w:tcBorders>
              <w:tl2br w:val="nil"/>
              <w:tr2bl w:val="nil"/>
            </w:tcBorders>
            <w:noWrap w:val="0"/>
            <w:vAlign w:val="center"/>
          </w:tcPr>
          <w:p>
            <w:pPr>
              <w:pStyle w:val="27"/>
              <w:spacing w:before="47"/>
              <w:ind w:left="139"/>
              <w:rPr>
                <w:rFonts w:ascii="Times New Roman" w:hAnsi="Times New Roman"/>
                <w:sz w:val="21"/>
              </w:rPr>
            </w:pPr>
            <w:r>
              <w:rPr>
                <w:rFonts w:ascii="Times New Roman" w:hAnsi="Times New Roman"/>
                <w:sz w:val="21"/>
              </w:rPr>
              <w:t>53.32(-168.8</w:t>
            </w:r>
            <w:r>
              <w:rPr>
                <w:sz w:val="21"/>
              </w:rPr>
              <w:t>℃</w:t>
            </w:r>
            <w:r>
              <w:rPr>
                <w:rFonts w:ascii="Times New Roman" w:hAnsi="Times New Roman"/>
                <w:sz w:val="21"/>
              </w:rPr>
              <w:t>)</w:t>
            </w:r>
          </w:p>
        </w:tc>
        <w:tc>
          <w:tcPr>
            <w:tcW w:w="1248" w:type="pct"/>
            <w:gridSpan w:val="2"/>
            <w:tcBorders>
              <w:tl2br w:val="nil"/>
              <w:tr2bl w:val="nil"/>
            </w:tcBorders>
            <w:noWrap w:val="0"/>
            <w:vAlign w:val="center"/>
          </w:tcPr>
          <w:p>
            <w:pPr>
              <w:pStyle w:val="27"/>
              <w:spacing w:before="47"/>
              <w:jc w:val="center"/>
              <w:rPr>
                <w:sz w:val="21"/>
              </w:rPr>
            </w:pPr>
            <w:r>
              <w:rPr>
                <w:sz w:val="21"/>
              </w:rPr>
              <w:t>爆炸极限</w:t>
            </w:r>
          </w:p>
        </w:tc>
        <w:tc>
          <w:tcPr>
            <w:tcW w:w="987" w:type="pct"/>
            <w:gridSpan w:val="2"/>
            <w:tcBorders>
              <w:tl2br w:val="nil"/>
              <w:tr2bl w:val="nil"/>
            </w:tcBorders>
            <w:noWrap w:val="0"/>
            <w:vAlign w:val="center"/>
          </w:tcPr>
          <w:p>
            <w:pPr>
              <w:pStyle w:val="27"/>
              <w:spacing w:before="61"/>
              <w:ind w:left="296" w:right="281"/>
              <w:jc w:val="center"/>
              <w:rPr>
                <w:rFonts w:ascii="Times New Roman"/>
                <w:sz w:val="21"/>
              </w:rPr>
            </w:pPr>
            <w:r>
              <w:rPr>
                <w:rFonts w:ascii="Times New Roman"/>
                <w:sz w:val="21"/>
              </w:rPr>
              <w:t>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continue"/>
            <w:tcBorders>
              <w:tl2br w:val="nil"/>
              <w:tr2bl w:val="nil"/>
            </w:tcBorders>
            <w:noWrap w:val="0"/>
            <w:vAlign w:val="center"/>
          </w:tcPr>
          <w:p>
            <w:pPr>
              <w:pStyle w:val="27"/>
              <w:spacing w:before="49"/>
              <w:ind w:left="487"/>
              <w:rPr>
                <w:sz w:val="21"/>
              </w:rPr>
            </w:pPr>
          </w:p>
        </w:tc>
        <w:tc>
          <w:tcPr>
            <w:tcW w:w="1412" w:type="pct"/>
            <w:gridSpan w:val="2"/>
            <w:tcBorders>
              <w:tl2br w:val="nil"/>
              <w:tr2bl w:val="nil"/>
            </w:tcBorders>
            <w:noWrap w:val="0"/>
            <w:vAlign w:val="center"/>
          </w:tcPr>
          <w:p>
            <w:pPr>
              <w:pStyle w:val="27"/>
              <w:spacing w:before="49"/>
              <w:ind w:left="487"/>
              <w:rPr>
                <w:sz w:val="21"/>
              </w:rPr>
            </w:pPr>
            <w:r>
              <w:rPr>
                <w:sz w:val="21"/>
              </w:rPr>
              <w:t>临界温度（℃）</w:t>
            </w:r>
          </w:p>
        </w:tc>
        <w:tc>
          <w:tcPr>
            <w:tcW w:w="968" w:type="pct"/>
            <w:gridSpan w:val="2"/>
            <w:tcBorders>
              <w:tl2br w:val="nil"/>
              <w:tr2bl w:val="nil"/>
            </w:tcBorders>
            <w:noWrap w:val="0"/>
            <w:vAlign w:val="center"/>
          </w:tcPr>
          <w:p>
            <w:pPr>
              <w:pStyle w:val="27"/>
              <w:spacing w:before="63"/>
              <w:ind w:left="549"/>
              <w:rPr>
                <w:rFonts w:ascii="Times New Roman"/>
                <w:sz w:val="21"/>
              </w:rPr>
            </w:pPr>
            <w:r>
              <w:rPr>
                <w:rFonts w:ascii="Times New Roman"/>
                <w:sz w:val="21"/>
              </w:rPr>
              <w:t>-82.25</w:t>
            </w:r>
          </w:p>
        </w:tc>
        <w:tc>
          <w:tcPr>
            <w:tcW w:w="1248" w:type="pct"/>
            <w:gridSpan w:val="2"/>
            <w:tcBorders>
              <w:tl2br w:val="nil"/>
              <w:tr2bl w:val="nil"/>
            </w:tcBorders>
            <w:noWrap w:val="0"/>
            <w:vAlign w:val="center"/>
          </w:tcPr>
          <w:p>
            <w:pPr>
              <w:pStyle w:val="27"/>
              <w:spacing w:before="49"/>
              <w:ind w:left="410"/>
              <w:rPr>
                <w:sz w:val="21"/>
              </w:rPr>
            </w:pPr>
            <w:r>
              <w:rPr>
                <w:sz w:val="21"/>
              </w:rPr>
              <w:t>临界压力（</w:t>
            </w:r>
            <w:r>
              <w:rPr>
                <w:rFonts w:ascii="Times New Roman" w:eastAsia="Times New Roman"/>
                <w:sz w:val="21"/>
              </w:rPr>
              <w:t>KPa</w:t>
            </w:r>
            <w:r>
              <w:rPr>
                <w:sz w:val="21"/>
              </w:rPr>
              <w:t>）</w:t>
            </w:r>
          </w:p>
        </w:tc>
        <w:tc>
          <w:tcPr>
            <w:tcW w:w="987" w:type="pct"/>
            <w:gridSpan w:val="2"/>
            <w:tcBorders>
              <w:tl2br w:val="nil"/>
              <w:tr2bl w:val="nil"/>
            </w:tcBorders>
            <w:noWrap w:val="0"/>
            <w:vAlign w:val="center"/>
          </w:tcPr>
          <w:p>
            <w:pPr>
              <w:pStyle w:val="27"/>
              <w:spacing w:before="63"/>
              <w:ind w:left="296" w:right="281"/>
              <w:jc w:val="center"/>
              <w:rPr>
                <w:rFonts w:ascii="Times New Roman"/>
                <w:sz w:val="21"/>
              </w:rPr>
            </w:pPr>
            <w:r>
              <w:rPr>
                <w:rFonts w:ascii="Times New Roman"/>
                <w:sz w:val="21"/>
              </w:rPr>
              <w:t>4.59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continue"/>
            <w:tcBorders>
              <w:tl2br w:val="nil"/>
              <w:tr2bl w:val="nil"/>
            </w:tcBorders>
            <w:noWrap w:val="0"/>
            <w:vAlign w:val="center"/>
          </w:tcPr>
          <w:p>
            <w:pPr>
              <w:pStyle w:val="27"/>
              <w:spacing w:before="49"/>
              <w:ind w:left="15"/>
              <w:jc w:val="center"/>
              <w:rPr>
                <w:sz w:val="21"/>
              </w:rPr>
            </w:pPr>
          </w:p>
        </w:tc>
        <w:tc>
          <w:tcPr>
            <w:tcW w:w="4617" w:type="pct"/>
            <w:gridSpan w:val="8"/>
            <w:tcBorders>
              <w:tl2br w:val="nil"/>
              <w:tr2bl w:val="nil"/>
            </w:tcBorders>
            <w:noWrap w:val="0"/>
            <w:vAlign w:val="center"/>
          </w:tcPr>
          <w:p>
            <w:pPr>
              <w:pStyle w:val="27"/>
              <w:spacing w:before="49"/>
              <w:ind w:left="15"/>
              <w:jc w:val="center"/>
              <w:rPr>
                <w:sz w:val="21"/>
              </w:rPr>
            </w:pPr>
            <w:r>
              <w:rPr>
                <w:sz w:val="21"/>
              </w:rPr>
              <w:t>溶解性：微溶于水，溶于醇、乙醚。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599" w:hRule="atLeast"/>
          <w:jc w:val="center"/>
        </w:trPr>
        <w:tc>
          <w:tcPr>
            <w:tcW w:w="382" w:type="pct"/>
            <w:vMerge w:val="restart"/>
            <w:tcBorders>
              <w:tl2br w:val="nil"/>
              <w:tr2bl w:val="nil"/>
            </w:tcBorders>
            <w:noWrap w:val="0"/>
            <w:vAlign w:val="center"/>
          </w:tcPr>
          <w:p>
            <w:pPr>
              <w:pStyle w:val="27"/>
              <w:spacing w:before="178"/>
              <w:ind w:left="17"/>
              <w:jc w:val="center"/>
              <w:rPr>
                <w:rFonts w:hint="default" w:eastAsia="宋体"/>
                <w:sz w:val="21"/>
                <w:lang w:val="en-US" w:eastAsia="zh-CN"/>
              </w:rPr>
            </w:pPr>
            <w:r>
              <w:rPr>
                <w:rFonts w:hint="eastAsia"/>
                <w:sz w:val="21"/>
                <w:lang w:val="en-US" w:eastAsia="zh-CN"/>
              </w:rPr>
              <w:t>毒性及健康危害</w:t>
            </w:r>
          </w:p>
        </w:tc>
        <w:tc>
          <w:tcPr>
            <w:tcW w:w="664" w:type="pct"/>
            <w:tcBorders>
              <w:tl2br w:val="nil"/>
              <w:tr2bl w:val="nil"/>
            </w:tcBorders>
            <w:noWrap w:val="0"/>
            <w:vAlign w:val="center"/>
          </w:tcPr>
          <w:p>
            <w:pPr>
              <w:pStyle w:val="27"/>
              <w:spacing w:before="178"/>
              <w:ind w:left="17"/>
              <w:jc w:val="center"/>
              <w:rPr>
                <w:sz w:val="21"/>
              </w:rPr>
            </w:pPr>
            <w:r>
              <w:rPr>
                <w:sz w:val="21"/>
              </w:rPr>
              <w:t>急性毒性</w:t>
            </w:r>
          </w:p>
        </w:tc>
        <w:tc>
          <w:tcPr>
            <w:tcW w:w="3952" w:type="pct"/>
            <w:gridSpan w:val="7"/>
            <w:tcBorders>
              <w:tl2br w:val="nil"/>
              <w:tr2bl w:val="nil"/>
            </w:tcBorders>
            <w:noWrap w:val="0"/>
            <w:vAlign w:val="center"/>
          </w:tcPr>
          <w:p>
            <w:pPr>
              <w:pStyle w:val="27"/>
              <w:spacing w:before="27"/>
              <w:ind w:left="164" w:right="44"/>
              <w:jc w:val="center"/>
              <w:rPr>
                <w:sz w:val="21"/>
              </w:rPr>
            </w:pPr>
            <w:r>
              <w:rPr>
                <w:rFonts w:ascii="Times New Roman" w:eastAsia="Times New Roman"/>
                <w:sz w:val="21"/>
              </w:rPr>
              <w:t>87%</w:t>
            </w:r>
            <w:r>
              <w:rPr>
                <w:sz w:val="21"/>
              </w:rPr>
              <w:t>浓度使小鼠窒息，</w:t>
            </w:r>
            <w:r>
              <w:rPr>
                <w:rFonts w:ascii="Times New Roman" w:eastAsia="Times New Roman"/>
                <w:sz w:val="21"/>
              </w:rPr>
              <w:t>90%</w:t>
            </w:r>
            <w:r>
              <w:rPr>
                <w:sz w:val="21"/>
              </w:rPr>
              <w:t>时致呼吸停止。只在极高浓度时为单纯性窒息剂。</w:t>
            </w:r>
          </w:p>
          <w:p>
            <w:pPr>
              <w:pStyle w:val="27"/>
              <w:spacing w:before="31" w:line="252" w:lineRule="exact"/>
              <w:ind w:left="164" w:right="44"/>
              <w:jc w:val="center"/>
              <w:rPr>
                <w:sz w:val="21"/>
              </w:rPr>
            </w:pPr>
            <w:r>
              <w:rPr>
                <w:rFonts w:ascii="Times New Roman" w:eastAsia="Times New Roman"/>
                <w:sz w:val="21"/>
              </w:rPr>
              <w:t>LC</w:t>
            </w:r>
            <w:r>
              <w:rPr>
                <w:rFonts w:ascii="Times New Roman" w:eastAsia="Times New Roman"/>
                <w:sz w:val="21"/>
                <w:vertAlign w:val="subscript"/>
              </w:rPr>
              <w:t>50</w:t>
            </w:r>
            <w:r>
              <w:rPr>
                <w:sz w:val="21"/>
                <w:vertAlign w:val="baseline"/>
              </w:rPr>
              <w:t>：</w:t>
            </w:r>
            <w:r>
              <w:rPr>
                <w:rFonts w:ascii="Times New Roman" w:eastAsia="Times New Roman"/>
                <w:sz w:val="21"/>
                <w:vertAlign w:val="baseline"/>
              </w:rPr>
              <w:t>50pph/2h</w:t>
            </w:r>
            <w:r>
              <w:rPr>
                <w:sz w:val="21"/>
                <w:vertAlign w:val="baseline"/>
              </w:rPr>
              <w:t>（小鼠吸入）。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continue"/>
            <w:tcBorders>
              <w:tl2br w:val="nil"/>
              <w:tr2bl w:val="nil"/>
            </w:tcBorders>
            <w:noWrap w:val="0"/>
            <w:vAlign w:val="center"/>
          </w:tcPr>
          <w:p>
            <w:pPr>
              <w:pStyle w:val="27"/>
              <w:spacing w:before="49"/>
              <w:ind w:left="17"/>
              <w:jc w:val="center"/>
              <w:rPr>
                <w:sz w:val="21"/>
              </w:rPr>
            </w:pPr>
          </w:p>
        </w:tc>
        <w:tc>
          <w:tcPr>
            <w:tcW w:w="664" w:type="pct"/>
            <w:tcBorders>
              <w:tl2br w:val="nil"/>
              <w:tr2bl w:val="nil"/>
            </w:tcBorders>
            <w:noWrap w:val="0"/>
            <w:vAlign w:val="center"/>
          </w:tcPr>
          <w:p>
            <w:pPr>
              <w:pStyle w:val="27"/>
              <w:spacing w:before="49"/>
              <w:ind w:left="17"/>
              <w:jc w:val="center"/>
              <w:rPr>
                <w:sz w:val="21"/>
              </w:rPr>
            </w:pPr>
            <w:r>
              <w:rPr>
                <w:sz w:val="21"/>
              </w:rPr>
              <w:t>侵入途径</w:t>
            </w:r>
          </w:p>
        </w:tc>
        <w:tc>
          <w:tcPr>
            <w:tcW w:w="3952" w:type="pct"/>
            <w:gridSpan w:val="7"/>
            <w:tcBorders>
              <w:tl2br w:val="nil"/>
              <w:tr2bl w:val="nil"/>
            </w:tcBorders>
            <w:noWrap w:val="0"/>
            <w:vAlign w:val="center"/>
          </w:tcPr>
          <w:p>
            <w:pPr>
              <w:pStyle w:val="27"/>
              <w:spacing w:before="49"/>
              <w:ind w:left="164" w:right="44"/>
              <w:jc w:val="center"/>
              <w:rPr>
                <w:sz w:val="21"/>
              </w:rPr>
            </w:pPr>
            <w:r>
              <w:rPr>
                <w:sz w:val="21"/>
              </w:rPr>
              <w:t>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899" w:hRule="atLeast"/>
          <w:jc w:val="center"/>
        </w:trPr>
        <w:tc>
          <w:tcPr>
            <w:tcW w:w="382" w:type="pct"/>
            <w:vMerge w:val="continue"/>
            <w:tcBorders>
              <w:tl2br w:val="nil"/>
              <w:tr2bl w:val="nil"/>
            </w:tcBorders>
            <w:noWrap w:val="0"/>
            <w:vAlign w:val="center"/>
          </w:tcPr>
          <w:p>
            <w:pPr>
              <w:pStyle w:val="27"/>
              <w:ind w:left="17"/>
              <w:jc w:val="center"/>
              <w:rPr>
                <w:sz w:val="21"/>
              </w:rPr>
            </w:pPr>
          </w:p>
        </w:tc>
        <w:tc>
          <w:tcPr>
            <w:tcW w:w="664" w:type="pct"/>
            <w:tcBorders>
              <w:tl2br w:val="nil"/>
              <w:tr2bl w:val="nil"/>
            </w:tcBorders>
            <w:noWrap w:val="0"/>
            <w:vAlign w:val="center"/>
          </w:tcPr>
          <w:p>
            <w:pPr>
              <w:pStyle w:val="27"/>
              <w:ind w:left="17"/>
              <w:jc w:val="center"/>
              <w:rPr>
                <w:sz w:val="21"/>
              </w:rPr>
            </w:pPr>
            <w:r>
              <w:rPr>
                <w:sz w:val="21"/>
              </w:rPr>
              <w:t>健康危害</w:t>
            </w:r>
          </w:p>
        </w:tc>
        <w:tc>
          <w:tcPr>
            <w:tcW w:w="3952" w:type="pct"/>
            <w:gridSpan w:val="7"/>
            <w:tcBorders>
              <w:tl2br w:val="nil"/>
              <w:tr2bl w:val="nil"/>
            </w:tcBorders>
            <w:noWrap w:val="0"/>
            <w:vAlign w:val="center"/>
          </w:tcPr>
          <w:p>
            <w:pPr>
              <w:pStyle w:val="27"/>
              <w:spacing w:before="27" w:line="266" w:lineRule="auto"/>
              <w:ind w:left="112" w:right="-15" w:hanging="106"/>
              <w:jc w:val="center"/>
              <w:rPr>
                <w:sz w:val="21"/>
              </w:rPr>
            </w:pPr>
            <w:r>
              <w:rPr>
                <w:spacing w:val="-12"/>
                <w:sz w:val="21"/>
              </w:rPr>
              <w:t xml:space="preserve">空气中甲烷浓度过高，能使人窒息。当空气中甲烷达 </w:t>
            </w:r>
            <w:r>
              <w:rPr>
                <w:rFonts w:ascii="Times New Roman" w:eastAsia="Times New Roman"/>
                <w:sz w:val="21"/>
              </w:rPr>
              <w:t>25</w:t>
            </w:r>
            <w:r>
              <w:rPr>
                <w:sz w:val="21"/>
              </w:rPr>
              <w:t>％～</w:t>
            </w:r>
            <w:r>
              <w:rPr>
                <w:rFonts w:ascii="Times New Roman" w:eastAsia="Times New Roman"/>
                <w:sz w:val="21"/>
              </w:rPr>
              <w:t>30</w:t>
            </w:r>
            <w:r>
              <w:rPr>
                <w:spacing w:val="-9"/>
                <w:sz w:val="21"/>
              </w:rPr>
              <w:t>％时，可引起头痛头</w:t>
            </w:r>
            <w:r>
              <w:rPr>
                <w:spacing w:val="-5"/>
                <w:sz w:val="21"/>
              </w:rPr>
              <w:t>晕、乏力、注意力不集中、呼吸和心跳加速、共济失调。若不及时脱离，可致</w:t>
            </w:r>
            <w:r>
              <w:rPr>
                <w:sz w:val="21"/>
              </w:rPr>
              <w:t>窒息死亡。皮肤接触液化气体可致冻伤。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continue"/>
            <w:tcBorders>
              <w:tl2br w:val="nil"/>
              <w:tr2bl w:val="nil"/>
            </w:tcBorders>
            <w:noWrap w:val="0"/>
            <w:vAlign w:val="center"/>
          </w:tcPr>
          <w:p>
            <w:pPr>
              <w:pStyle w:val="27"/>
              <w:spacing w:before="49"/>
              <w:ind w:left="17"/>
              <w:jc w:val="center"/>
              <w:rPr>
                <w:sz w:val="21"/>
              </w:rPr>
            </w:pPr>
          </w:p>
        </w:tc>
        <w:tc>
          <w:tcPr>
            <w:tcW w:w="664" w:type="pct"/>
            <w:tcBorders>
              <w:tl2br w:val="nil"/>
              <w:tr2bl w:val="nil"/>
            </w:tcBorders>
            <w:noWrap w:val="0"/>
            <w:vAlign w:val="center"/>
          </w:tcPr>
          <w:p>
            <w:pPr>
              <w:pStyle w:val="27"/>
              <w:spacing w:before="49"/>
              <w:ind w:left="17"/>
              <w:jc w:val="center"/>
              <w:rPr>
                <w:sz w:val="21"/>
              </w:rPr>
            </w:pPr>
            <w:r>
              <w:rPr>
                <w:sz w:val="21"/>
              </w:rPr>
              <w:t>环境危害</w:t>
            </w:r>
          </w:p>
        </w:tc>
        <w:tc>
          <w:tcPr>
            <w:tcW w:w="3952" w:type="pct"/>
            <w:gridSpan w:val="7"/>
            <w:tcBorders>
              <w:tl2br w:val="nil"/>
              <w:tr2bl w:val="nil"/>
            </w:tcBorders>
            <w:noWrap w:val="0"/>
            <w:vAlign w:val="center"/>
          </w:tcPr>
          <w:p>
            <w:pPr>
              <w:pStyle w:val="27"/>
              <w:spacing w:before="49"/>
              <w:ind w:left="164" w:right="44"/>
              <w:jc w:val="center"/>
              <w:rPr>
                <w:sz w:val="21"/>
              </w:rPr>
            </w:pPr>
            <w:r>
              <w:rPr>
                <w:sz w:val="21"/>
              </w:rPr>
              <w:t>对环境有害。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600" w:hRule="atLeast"/>
          <w:jc w:val="center"/>
        </w:trPr>
        <w:tc>
          <w:tcPr>
            <w:tcW w:w="382" w:type="pct"/>
            <w:vMerge w:val="restart"/>
            <w:tcBorders>
              <w:tl2br w:val="nil"/>
              <w:tr2bl w:val="nil"/>
            </w:tcBorders>
            <w:noWrap w:val="0"/>
            <w:vAlign w:val="center"/>
          </w:tcPr>
          <w:p>
            <w:pPr>
              <w:pStyle w:val="27"/>
              <w:spacing w:before="178"/>
              <w:ind w:left="17"/>
              <w:jc w:val="center"/>
              <w:rPr>
                <w:rFonts w:hint="eastAsia" w:eastAsia="宋体"/>
                <w:sz w:val="21"/>
                <w:lang w:val="en-US" w:eastAsia="zh-CN"/>
              </w:rPr>
            </w:pPr>
            <w:r>
              <w:rPr>
                <w:rFonts w:hint="eastAsia"/>
                <w:sz w:val="21"/>
                <w:lang w:val="en-US" w:eastAsia="zh-CN"/>
              </w:rPr>
              <w:t>急救措施</w:t>
            </w:r>
          </w:p>
        </w:tc>
        <w:tc>
          <w:tcPr>
            <w:tcW w:w="664" w:type="pct"/>
            <w:tcBorders>
              <w:tl2br w:val="nil"/>
              <w:tr2bl w:val="nil"/>
            </w:tcBorders>
            <w:noWrap w:val="0"/>
            <w:vAlign w:val="center"/>
          </w:tcPr>
          <w:p>
            <w:pPr>
              <w:pStyle w:val="27"/>
              <w:spacing w:before="178"/>
              <w:ind w:left="17"/>
              <w:jc w:val="center"/>
              <w:rPr>
                <w:sz w:val="21"/>
              </w:rPr>
            </w:pPr>
            <w:r>
              <w:rPr>
                <w:sz w:val="21"/>
              </w:rPr>
              <w:t>皮肤接触</w:t>
            </w:r>
          </w:p>
        </w:tc>
        <w:tc>
          <w:tcPr>
            <w:tcW w:w="3952" w:type="pct"/>
            <w:gridSpan w:val="7"/>
            <w:tcBorders>
              <w:tl2br w:val="nil"/>
              <w:tr2bl w:val="nil"/>
            </w:tcBorders>
            <w:noWrap w:val="0"/>
            <w:vAlign w:val="center"/>
          </w:tcPr>
          <w:p>
            <w:pPr>
              <w:pStyle w:val="27"/>
              <w:spacing w:before="27"/>
              <w:ind w:left="171" w:right="44"/>
              <w:jc w:val="center"/>
              <w:rPr>
                <w:sz w:val="21"/>
              </w:rPr>
            </w:pPr>
            <w:r>
              <w:rPr>
                <w:spacing w:val="-8"/>
                <w:sz w:val="21"/>
              </w:rPr>
              <w:t xml:space="preserve">如果发生冻伤：将患部浸泡于保持在 </w:t>
            </w:r>
            <w:r>
              <w:rPr>
                <w:rFonts w:ascii="Times New Roman" w:hAnsi="Times New Roman" w:eastAsia="Times New Roman"/>
                <w:sz w:val="21"/>
              </w:rPr>
              <w:t>38</w:t>
            </w:r>
            <w:r>
              <w:rPr>
                <w:sz w:val="21"/>
              </w:rPr>
              <w:t>～</w:t>
            </w:r>
            <w:r>
              <w:rPr>
                <w:rFonts w:ascii="Times New Roman" w:hAnsi="Times New Roman" w:eastAsia="Times New Roman"/>
                <w:sz w:val="21"/>
              </w:rPr>
              <w:t>42</w:t>
            </w:r>
            <w:r>
              <w:rPr>
                <w:spacing w:val="-8"/>
                <w:sz w:val="21"/>
              </w:rPr>
              <w:t>℃的温水中复温。不要涂擦。不要使</w:t>
            </w:r>
            <w:r>
              <w:rPr>
                <w:sz w:val="21"/>
              </w:rPr>
              <w:t>用热水或辐射热。使用清洁、干燥的敷料包扎。如有不适感，就医。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299" w:hRule="atLeast"/>
          <w:jc w:val="center"/>
        </w:trPr>
        <w:tc>
          <w:tcPr>
            <w:tcW w:w="382" w:type="pct"/>
            <w:vMerge w:val="continue"/>
            <w:tcBorders>
              <w:tl2br w:val="nil"/>
              <w:tr2bl w:val="nil"/>
            </w:tcBorders>
            <w:noWrap w:val="0"/>
            <w:vAlign w:val="center"/>
          </w:tcPr>
          <w:p>
            <w:pPr>
              <w:pStyle w:val="27"/>
              <w:spacing w:before="27" w:line="252" w:lineRule="exact"/>
              <w:ind w:left="17"/>
              <w:jc w:val="center"/>
              <w:rPr>
                <w:sz w:val="21"/>
              </w:rPr>
            </w:pPr>
          </w:p>
        </w:tc>
        <w:tc>
          <w:tcPr>
            <w:tcW w:w="664" w:type="pct"/>
            <w:tcBorders>
              <w:tl2br w:val="nil"/>
              <w:tr2bl w:val="nil"/>
            </w:tcBorders>
            <w:noWrap w:val="0"/>
            <w:vAlign w:val="center"/>
          </w:tcPr>
          <w:p>
            <w:pPr>
              <w:pStyle w:val="27"/>
              <w:spacing w:before="27" w:line="252" w:lineRule="exact"/>
              <w:ind w:left="17"/>
              <w:jc w:val="center"/>
              <w:rPr>
                <w:sz w:val="21"/>
              </w:rPr>
            </w:pPr>
            <w:r>
              <w:rPr>
                <w:sz w:val="21"/>
              </w:rPr>
              <w:t>眼睛接触</w:t>
            </w:r>
          </w:p>
        </w:tc>
        <w:tc>
          <w:tcPr>
            <w:tcW w:w="3952" w:type="pct"/>
            <w:gridSpan w:val="7"/>
            <w:tcBorders>
              <w:tl2br w:val="nil"/>
              <w:tr2bl w:val="nil"/>
            </w:tcBorders>
            <w:noWrap w:val="0"/>
            <w:vAlign w:val="center"/>
          </w:tcPr>
          <w:p>
            <w:pPr>
              <w:pStyle w:val="27"/>
              <w:spacing w:before="27" w:line="252" w:lineRule="exact"/>
              <w:ind w:left="164" w:right="44"/>
              <w:jc w:val="center"/>
              <w:rPr>
                <w:sz w:val="21"/>
              </w:rPr>
            </w:pPr>
            <w:r>
              <w:rPr>
                <w:sz w:val="21"/>
              </w:rPr>
              <w:t>不会通过该途径接触。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602" w:hRule="atLeast"/>
          <w:jc w:val="center"/>
        </w:trPr>
        <w:tc>
          <w:tcPr>
            <w:tcW w:w="382" w:type="pct"/>
            <w:vMerge w:val="continue"/>
            <w:tcBorders>
              <w:tl2br w:val="nil"/>
              <w:tr2bl w:val="nil"/>
            </w:tcBorders>
            <w:noWrap w:val="0"/>
            <w:vAlign w:val="center"/>
          </w:tcPr>
          <w:p>
            <w:pPr>
              <w:pStyle w:val="27"/>
              <w:spacing w:before="178"/>
              <w:ind w:left="15"/>
              <w:jc w:val="center"/>
              <w:rPr>
                <w:sz w:val="21"/>
              </w:rPr>
            </w:pPr>
          </w:p>
        </w:tc>
        <w:tc>
          <w:tcPr>
            <w:tcW w:w="664" w:type="pct"/>
            <w:tcBorders>
              <w:tl2br w:val="nil"/>
              <w:tr2bl w:val="nil"/>
            </w:tcBorders>
            <w:noWrap w:val="0"/>
            <w:vAlign w:val="center"/>
          </w:tcPr>
          <w:p>
            <w:pPr>
              <w:pStyle w:val="27"/>
              <w:spacing w:before="178"/>
              <w:ind w:left="15"/>
              <w:jc w:val="center"/>
              <w:rPr>
                <w:sz w:val="21"/>
              </w:rPr>
            </w:pPr>
            <w:r>
              <w:rPr>
                <w:sz w:val="21"/>
              </w:rPr>
              <w:t>吸入</w:t>
            </w:r>
          </w:p>
        </w:tc>
        <w:tc>
          <w:tcPr>
            <w:tcW w:w="3952" w:type="pct"/>
            <w:gridSpan w:val="7"/>
            <w:tcBorders>
              <w:tl2br w:val="nil"/>
              <w:tr2bl w:val="nil"/>
            </w:tcBorders>
            <w:noWrap w:val="0"/>
            <w:vAlign w:val="center"/>
          </w:tcPr>
          <w:p>
            <w:pPr>
              <w:pStyle w:val="27"/>
              <w:spacing w:line="300" w:lineRule="exact"/>
              <w:ind w:left="1997" w:right="-15" w:hanging="1885"/>
              <w:jc w:val="both"/>
              <w:rPr>
                <w:sz w:val="21"/>
              </w:rPr>
            </w:pPr>
            <w:r>
              <w:rPr>
                <w:spacing w:val="-5"/>
                <w:sz w:val="21"/>
              </w:rPr>
              <w:t>迅速脱离现场至空气新鲜处。保持呼吸道通畅。如呼吸困难，给输氧。呼吸、心</w:t>
            </w:r>
            <w:r>
              <w:rPr>
                <w:spacing w:val="-4"/>
                <w:sz w:val="21"/>
              </w:rPr>
              <w:t>跳停止，立即进行心肺复苏术。就医。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37" w:hRule="atLeast"/>
          <w:jc w:val="center"/>
        </w:trPr>
        <w:tc>
          <w:tcPr>
            <w:tcW w:w="382" w:type="pct"/>
            <w:vMerge w:val="continue"/>
            <w:tcBorders>
              <w:tl2br w:val="nil"/>
              <w:tr2bl w:val="nil"/>
            </w:tcBorders>
            <w:noWrap w:val="0"/>
            <w:vAlign w:val="center"/>
          </w:tcPr>
          <w:p>
            <w:pPr>
              <w:pStyle w:val="27"/>
              <w:spacing w:before="46"/>
              <w:ind w:left="15"/>
              <w:jc w:val="center"/>
              <w:rPr>
                <w:sz w:val="21"/>
              </w:rPr>
            </w:pPr>
          </w:p>
        </w:tc>
        <w:tc>
          <w:tcPr>
            <w:tcW w:w="664" w:type="pct"/>
            <w:tcBorders>
              <w:tl2br w:val="nil"/>
              <w:tr2bl w:val="nil"/>
            </w:tcBorders>
            <w:noWrap w:val="0"/>
            <w:vAlign w:val="center"/>
          </w:tcPr>
          <w:p>
            <w:pPr>
              <w:pStyle w:val="27"/>
              <w:spacing w:before="46"/>
              <w:ind w:left="15"/>
              <w:jc w:val="center"/>
              <w:rPr>
                <w:sz w:val="21"/>
              </w:rPr>
            </w:pPr>
            <w:r>
              <w:rPr>
                <w:sz w:val="21"/>
              </w:rPr>
              <w:t>食入</w:t>
            </w:r>
          </w:p>
        </w:tc>
        <w:tc>
          <w:tcPr>
            <w:tcW w:w="3952" w:type="pct"/>
            <w:gridSpan w:val="7"/>
            <w:tcBorders>
              <w:tl2br w:val="nil"/>
              <w:tr2bl w:val="nil"/>
            </w:tcBorders>
            <w:noWrap w:val="0"/>
            <w:vAlign w:val="center"/>
          </w:tcPr>
          <w:p>
            <w:pPr>
              <w:pStyle w:val="27"/>
              <w:spacing w:before="46"/>
              <w:ind w:left="164" w:right="44"/>
              <w:jc w:val="center"/>
              <w:rPr>
                <w:sz w:val="21"/>
              </w:rPr>
            </w:pPr>
            <w:r>
              <w:rPr>
                <w:sz w:val="21"/>
              </w:rPr>
              <w:t>不会通过该途径接触。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901" w:hRule="atLeast"/>
          <w:jc w:val="center"/>
        </w:trPr>
        <w:tc>
          <w:tcPr>
            <w:tcW w:w="382" w:type="pct"/>
            <w:vMerge w:val="restart"/>
            <w:tcBorders>
              <w:tl2br w:val="nil"/>
              <w:tr2bl w:val="nil"/>
            </w:tcBorders>
            <w:noWrap w:val="0"/>
            <w:vAlign w:val="center"/>
          </w:tcPr>
          <w:p>
            <w:pPr>
              <w:pStyle w:val="27"/>
              <w:ind w:left="17"/>
              <w:jc w:val="center"/>
              <w:rPr>
                <w:rFonts w:hint="default" w:eastAsia="宋体"/>
                <w:sz w:val="21"/>
                <w:lang w:val="en-US" w:eastAsia="zh-CN"/>
              </w:rPr>
            </w:pPr>
            <w:r>
              <w:rPr>
                <w:rFonts w:hint="eastAsia"/>
                <w:sz w:val="21"/>
                <w:lang w:val="en-US" w:eastAsia="zh-CN"/>
              </w:rPr>
              <w:t>消防措施</w:t>
            </w:r>
          </w:p>
        </w:tc>
        <w:tc>
          <w:tcPr>
            <w:tcW w:w="664" w:type="pct"/>
            <w:tcBorders>
              <w:tl2br w:val="nil"/>
              <w:tr2bl w:val="nil"/>
            </w:tcBorders>
            <w:noWrap w:val="0"/>
            <w:vAlign w:val="center"/>
          </w:tcPr>
          <w:p>
            <w:pPr>
              <w:pStyle w:val="27"/>
              <w:ind w:left="17"/>
              <w:jc w:val="center"/>
              <w:rPr>
                <w:sz w:val="21"/>
              </w:rPr>
            </w:pPr>
          </w:p>
          <w:p>
            <w:pPr>
              <w:pStyle w:val="27"/>
              <w:ind w:left="17"/>
              <w:jc w:val="center"/>
              <w:rPr>
                <w:sz w:val="21"/>
              </w:rPr>
            </w:pPr>
            <w:r>
              <w:rPr>
                <w:sz w:val="21"/>
              </w:rPr>
              <w:t>危险特性</w:t>
            </w:r>
          </w:p>
        </w:tc>
        <w:tc>
          <w:tcPr>
            <w:tcW w:w="3952" w:type="pct"/>
            <w:gridSpan w:val="7"/>
            <w:tcBorders>
              <w:tl2br w:val="nil"/>
              <w:tr2bl w:val="nil"/>
            </w:tcBorders>
            <w:noWrap w:val="0"/>
            <w:vAlign w:val="center"/>
          </w:tcPr>
          <w:p>
            <w:pPr>
              <w:pStyle w:val="27"/>
              <w:spacing w:line="300" w:lineRule="exact"/>
              <w:ind w:left="112" w:right="-15" w:hanging="2"/>
              <w:jc w:val="center"/>
              <w:rPr>
                <w:sz w:val="21"/>
              </w:rPr>
            </w:pPr>
            <w:r>
              <w:rPr>
                <w:spacing w:val="-4"/>
                <w:sz w:val="21"/>
              </w:rPr>
              <w:t>易燃，与空气混合能形成爆炸性混合物，遇热源和明火有燃烧爆炸的危险。与五</w:t>
            </w:r>
            <w:r>
              <w:rPr>
                <w:spacing w:val="-5"/>
                <w:sz w:val="21"/>
              </w:rPr>
              <w:t>氧化溴、氯气、次氯酸、三氟化氮、液氧、二氟化氧及其它强氧化剂接触剧烈反应。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595" w:hRule="atLeast"/>
          <w:jc w:val="center"/>
        </w:trPr>
        <w:tc>
          <w:tcPr>
            <w:tcW w:w="382" w:type="pct"/>
            <w:vMerge w:val="continue"/>
            <w:tcBorders>
              <w:tl2br w:val="nil"/>
              <w:tr2bl w:val="nil"/>
            </w:tcBorders>
            <w:noWrap w:val="0"/>
            <w:vAlign w:val="center"/>
          </w:tcPr>
          <w:p>
            <w:pPr>
              <w:pStyle w:val="27"/>
              <w:spacing w:before="31" w:line="250" w:lineRule="exact"/>
              <w:ind w:left="15"/>
              <w:jc w:val="center"/>
              <w:rPr>
                <w:w w:val="100"/>
                <w:sz w:val="21"/>
              </w:rPr>
            </w:pPr>
          </w:p>
        </w:tc>
        <w:tc>
          <w:tcPr>
            <w:tcW w:w="664" w:type="pct"/>
            <w:tcBorders>
              <w:tl2br w:val="nil"/>
              <w:tr2bl w:val="nil"/>
            </w:tcBorders>
            <w:noWrap w:val="0"/>
            <w:vAlign w:val="center"/>
          </w:tcPr>
          <w:p>
            <w:pPr>
              <w:pStyle w:val="27"/>
              <w:spacing w:before="26"/>
              <w:ind w:left="17"/>
              <w:jc w:val="center"/>
              <w:rPr>
                <w:sz w:val="21"/>
              </w:rPr>
            </w:pPr>
            <w:r>
              <w:rPr>
                <w:sz w:val="21"/>
              </w:rPr>
              <w:t>有害燃烧产</w:t>
            </w:r>
          </w:p>
          <w:p>
            <w:pPr>
              <w:pStyle w:val="27"/>
              <w:spacing w:before="31" w:line="250" w:lineRule="exact"/>
              <w:ind w:left="15"/>
              <w:jc w:val="center"/>
              <w:rPr>
                <w:sz w:val="21"/>
              </w:rPr>
            </w:pPr>
            <w:r>
              <w:rPr>
                <w:w w:val="100"/>
                <w:sz w:val="21"/>
              </w:rPr>
              <w:t>物</w:t>
            </w:r>
          </w:p>
        </w:tc>
        <w:tc>
          <w:tcPr>
            <w:tcW w:w="3952" w:type="pct"/>
            <w:gridSpan w:val="7"/>
            <w:tcBorders>
              <w:tl2br w:val="nil"/>
              <w:tr2bl w:val="nil"/>
            </w:tcBorders>
            <w:noWrap w:val="0"/>
            <w:vAlign w:val="center"/>
          </w:tcPr>
          <w:p>
            <w:pPr>
              <w:pStyle w:val="27"/>
              <w:spacing w:before="174"/>
              <w:ind w:left="156" w:right="35"/>
              <w:jc w:val="center"/>
              <w:rPr>
                <w:sz w:val="21"/>
              </w:rPr>
            </w:pPr>
            <w:r>
              <w:rPr>
                <w:sz w:val="21"/>
              </w:rPr>
              <w:t>一氧化碳。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899" w:hRule="atLeast"/>
          <w:jc w:val="center"/>
        </w:trPr>
        <w:tc>
          <w:tcPr>
            <w:tcW w:w="382" w:type="pct"/>
            <w:vMerge w:val="continue"/>
            <w:tcBorders>
              <w:tl2br w:val="nil"/>
              <w:tr2bl w:val="nil"/>
            </w:tcBorders>
            <w:noWrap w:val="0"/>
            <w:vAlign w:val="center"/>
          </w:tcPr>
          <w:p>
            <w:pPr>
              <w:pStyle w:val="27"/>
              <w:spacing w:before="178" w:line="266" w:lineRule="auto"/>
              <w:ind w:left="125" w:right="105"/>
              <w:rPr>
                <w:sz w:val="21"/>
              </w:rPr>
            </w:pPr>
          </w:p>
        </w:tc>
        <w:tc>
          <w:tcPr>
            <w:tcW w:w="664" w:type="pct"/>
            <w:tcBorders>
              <w:tl2br w:val="nil"/>
              <w:tr2bl w:val="nil"/>
            </w:tcBorders>
            <w:noWrap w:val="0"/>
            <w:vAlign w:val="center"/>
          </w:tcPr>
          <w:p>
            <w:pPr>
              <w:pStyle w:val="27"/>
              <w:spacing w:before="178" w:line="266" w:lineRule="auto"/>
              <w:ind w:left="125" w:right="105"/>
              <w:jc w:val="center"/>
              <w:rPr>
                <w:sz w:val="21"/>
              </w:rPr>
            </w:pPr>
            <w:r>
              <w:rPr>
                <w:sz w:val="21"/>
              </w:rPr>
              <w:t>灭火方法及灭火剂</w:t>
            </w:r>
          </w:p>
        </w:tc>
        <w:tc>
          <w:tcPr>
            <w:tcW w:w="3952" w:type="pct"/>
            <w:gridSpan w:val="7"/>
            <w:tcBorders>
              <w:tl2br w:val="nil"/>
              <w:tr2bl w:val="nil"/>
            </w:tcBorders>
            <w:noWrap w:val="0"/>
            <w:vAlign w:val="center"/>
          </w:tcPr>
          <w:p>
            <w:pPr>
              <w:pStyle w:val="27"/>
              <w:spacing w:line="300" w:lineRule="exact"/>
              <w:ind w:left="112" w:right="-15"/>
              <w:jc w:val="center"/>
              <w:rPr>
                <w:sz w:val="21"/>
              </w:rPr>
            </w:pPr>
            <w:r>
              <w:rPr>
                <w:spacing w:val="-5"/>
                <w:sz w:val="21"/>
              </w:rPr>
              <w:t>切断气源。若不能切断气源，则不允许熄灭泄漏处的火焰。消防人员必须佩戴空</w:t>
            </w:r>
            <w:r>
              <w:rPr>
                <w:spacing w:val="-13"/>
                <w:sz w:val="21"/>
              </w:rPr>
              <w:t>气呼吸器、穿全身防火防毒服，在上风向灭火。尽可能将容器从火场移至空旷处喷水保持火场容器冷却，直至灭火结束。用雾状水、泡沫、二氧化碳、干粉灭火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00" w:hRule="atLeast"/>
          <w:jc w:val="center"/>
        </w:trPr>
        <w:tc>
          <w:tcPr>
            <w:tcW w:w="382" w:type="pct"/>
            <w:vMerge w:val="restart"/>
            <w:tcBorders>
              <w:tl2br w:val="nil"/>
              <w:tr2bl w:val="nil"/>
            </w:tcBorders>
            <w:noWrap w:val="0"/>
            <w:vAlign w:val="center"/>
          </w:tcPr>
          <w:p>
            <w:pPr>
              <w:pStyle w:val="27"/>
              <w:spacing w:before="29" w:line="250" w:lineRule="exact"/>
              <w:ind w:left="321"/>
              <w:rPr>
                <w:rFonts w:hint="eastAsia" w:ascii="Times New Roman" w:eastAsia="宋体"/>
                <w:sz w:val="21"/>
                <w:lang w:val="en-US" w:eastAsia="zh-CN"/>
              </w:rPr>
            </w:pPr>
          </w:p>
          <w:p>
            <w:pPr>
              <w:pStyle w:val="27"/>
              <w:spacing w:before="29" w:line="250" w:lineRule="exact"/>
              <w:ind w:left="321"/>
              <w:rPr>
                <w:rFonts w:hint="eastAsia" w:ascii="Times New Roman" w:eastAsia="宋体"/>
                <w:sz w:val="21"/>
                <w:lang w:val="en-US" w:eastAsia="zh-CN"/>
              </w:rPr>
            </w:pPr>
          </w:p>
          <w:p>
            <w:pPr>
              <w:pStyle w:val="27"/>
              <w:spacing w:before="29" w:line="250" w:lineRule="exact"/>
              <w:rPr>
                <w:rFonts w:hint="eastAsia" w:ascii="Times New Roman" w:eastAsia="宋体"/>
                <w:sz w:val="21"/>
                <w:lang w:val="en-US" w:eastAsia="zh-CN"/>
              </w:rPr>
            </w:pPr>
          </w:p>
          <w:p>
            <w:pPr>
              <w:pStyle w:val="27"/>
              <w:spacing w:before="29" w:line="250" w:lineRule="exact"/>
              <w:rPr>
                <w:rFonts w:hint="eastAsia" w:ascii="Times New Roman" w:eastAsia="宋体"/>
                <w:sz w:val="21"/>
                <w:lang w:val="en-US" w:eastAsia="zh-CN"/>
              </w:rPr>
            </w:pPr>
          </w:p>
          <w:p>
            <w:pPr>
              <w:pStyle w:val="27"/>
              <w:spacing w:before="29" w:line="250" w:lineRule="exact"/>
              <w:rPr>
                <w:rFonts w:hint="eastAsia" w:ascii="Times New Roman" w:eastAsia="宋体"/>
                <w:sz w:val="21"/>
                <w:lang w:val="en-US" w:eastAsia="zh-CN"/>
              </w:rPr>
            </w:pPr>
          </w:p>
          <w:p>
            <w:pPr>
              <w:pStyle w:val="27"/>
              <w:spacing w:before="29" w:line="250" w:lineRule="exact"/>
              <w:jc w:val="center"/>
              <w:rPr>
                <w:rFonts w:hint="eastAsia" w:ascii="Times New Roman" w:eastAsia="宋体"/>
                <w:sz w:val="21"/>
                <w:lang w:val="en-US" w:eastAsia="zh-CN"/>
              </w:rPr>
            </w:pPr>
          </w:p>
          <w:p>
            <w:pPr>
              <w:pStyle w:val="27"/>
              <w:spacing w:before="29" w:line="250" w:lineRule="exact"/>
              <w:jc w:val="center"/>
              <w:rPr>
                <w:rFonts w:hint="default" w:ascii="Times New Roman" w:eastAsia="宋体"/>
                <w:sz w:val="21"/>
                <w:lang w:val="en-US" w:eastAsia="zh-CN"/>
              </w:rPr>
            </w:pPr>
            <w:r>
              <w:rPr>
                <w:rFonts w:hint="eastAsia" w:ascii="Times New Roman" w:eastAsia="宋体"/>
                <w:sz w:val="21"/>
                <w:lang w:val="en-US" w:eastAsia="zh-CN"/>
              </w:rPr>
              <w:t>接触控制和个体防护</w:t>
            </w:r>
          </w:p>
        </w:tc>
        <w:tc>
          <w:tcPr>
            <w:tcW w:w="1412" w:type="pct"/>
            <w:gridSpan w:val="2"/>
            <w:tcBorders>
              <w:tl2br w:val="nil"/>
              <w:tr2bl w:val="nil"/>
            </w:tcBorders>
            <w:noWrap w:val="0"/>
            <w:vAlign w:val="center"/>
          </w:tcPr>
          <w:p>
            <w:pPr>
              <w:pStyle w:val="27"/>
              <w:spacing w:before="29" w:line="250" w:lineRule="exact"/>
              <w:ind w:left="321"/>
              <w:jc w:val="center"/>
              <w:rPr>
                <w:sz w:val="21"/>
              </w:rPr>
            </w:pPr>
            <w:r>
              <w:rPr>
                <w:rFonts w:ascii="Times New Roman" w:eastAsia="Times New Roman"/>
                <w:sz w:val="21"/>
              </w:rPr>
              <w:t>MAC</w:t>
            </w:r>
            <w:r>
              <w:rPr>
                <w:sz w:val="21"/>
              </w:rPr>
              <w:t>（</w:t>
            </w:r>
            <w:r>
              <w:rPr>
                <w:rFonts w:ascii="Times New Roman" w:eastAsia="Times New Roman"/>
                <w:sz w:val="21"/>
              </w:rPr>
              <w:t>mg/m</w:t>
            </w:r>
            <w:r>
              <w:rPr>
                <w:rFonts w:ascii="Times New Roman" w:eastAsia="Times New Roman"/>
                <w:sz w:val="21"/>
                <w:vertAlign w:val="superscript"/>
              </w:rPr>
              <w:t>3</w:t>
            </w:r>
            <w:r>
              <w:rPr>
                <w:sz w:val="21"/>
                <w:vertAlign w:val="baseline"/>
              </w:rPr>
              <w:t>）</w:t>
            </w:r>
          </w:p>
        </w:tc>
        <w:tc>
          <w:tcPr>
            <w:tcW w:w="968" w:type="pct"/>
            <w:gridSpan w:val="2"/>
            <w:tcBorders>
              <w:tl2br w:val="nil"/>
              <w:tr2bl w:val="nil"/>
            </w:tcBorders>
            <w:noWrap w:val="0"/>
            <w:vAlign w:val="center"/>
          </w:tcPr>
          <w:p>
            <w:pPr>
              <w:pStyle w:val="27"/>
              <w:spacing w:before="43" w:line="236" w:lineRule="exact"/>
              <w:jc w:val="center"/>
              <w:rPr>
                <w:rFonts w:ascii="Times New Roman"/>
                <w:sz w:val="21"/>
              </w:rPr>
            </w:pPr>
            <w:r>
              <w:rPr>
                <w:rFonts w:ascii="Times New Roman"/>
                <w:w w:val="100"/>
                <w:sz w:val="21"/>
              </w:rPr>
              <w:t>1</w:t>
            </w:r>
          </w:p>
        </w:tc>
        <w:tc>
          <w:tcPr>
            <w:tcW w:w="1326" w:type="pct"/>
            <w:gridSpan w:val="3"/>
            <w:tcBorders>
              <w:tl2br w:val="nil"/>
              <w:tr2bl w:val="nil"/>
            </w:tcBorders>
            <w:noWrap w:val="0"/>
            <w:vAlign w:val="center"/>
          </w:tcPr>
          <w:p>
            <w:pPr>
              <w:pStyle w:val="27"/>
              <w:spacing w:before="29" w:line="250" w:lineRule="exact"/>
              <w:ind w:left="142" w:right="134"/>
              <w:jc w:val="center"/>
              <w:rPr>
                <w:sz w:val="21"/>
              </w:rPr>
            </w:pPr>
            <w:r>
              <w:rPr>
                <w:rFonts w:ascii="Times New Roman" w:eastAsia="Times New Roman"/>
                <w:sz w:val="21"/>
              </w:rPr>
              <w:t>TLV-C</w:t>
            </w:r>
            <w:r>
              <w:rPr>
                <w:sz w:val="21"/>
              </w:rPr>
              <w:t>（</w:t>
            </w:r>
            <w:r>
              <w:rPr>
                <w:rFonts w:ascii="Times New Roman" w:eastAsia="Times New Roman"/>
                <w:sz w:val="21"/>
              </w:rPr>
              <w:t>ppm</w:t>
            </w:r>
            <w:r>
              <w:rPr>
                <w:sz w:val="21"/>
              </w:rPr>
              <w:t>）</w:t>
            </w:r>
          </w:p>
        </w:tc>
        <w:tc>
          <w:tcPr>
            <w:tcW w:w="909" w:type="pct"/>
            <w:tcBorders>
              <w:tl2br w:val="nil"/>
              <w:tr2bl w:val="nil"/>
            </w:tcBorders>
            <w:noWrap w:val="0"/>
            <w:vAlign w:val="center"/>
          </w:tcPr>
          <w:p>
            <w:pPr>
              <w:pStyle w:val="27"/>
              <w:spacing w:before="43" w:line="236" w:lineRule="exact"/>
              <w:ind w:right="1018"/>
              <w:jc w:val="center"/>
              <w:rPr>
                <w:rFonts w:hint="eastAsia" w:ascii="Times New Roman" w:eastAsia="宋体"/>
                <w:sz w:val="21"/>
                <w:lang w:val="en-US" w:eastAsia="zh-CN"/>
              </w:rPr>
            </w:pPr>
            <w:r>
              <w:rPr>
                <w:rFonts w:hint="eastAsia"/>
                <w:sz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continue"/>
            <w:tcBorders>
              <w:tl2br w:val="nil"/>
              <w:tr2bl w:val="nil"/>
            </w:tcBorders>
            <w:noWrap w:val="0"/>
            <w:vAlign w:val="center"/>
          </w:tcPr>
          <w:p>
            <w:pPr>
              <w:pStyle w:val="27"/>
              <w:spacing w:before="51"/>
              <w:ind w:left="146"/>
              <w:rPr>
                <w:rFonts w:ascii="Times New Roman" w:eastAsia="Times New Roman"/>
                <w:sz w:val="21"/>
              </w:rPr>
            </w:pPr>
          </w:p>
        </w:tc>
        <w:tc>
          <w:tcPr>
            <w:tcW w:w="1412" w:type="pct"/>
            <w:gridSpan w:val="2"/>
            <w:tcBorders>
              <w:tl2br w:val="nil"/>
              <w:tr2bl w:val="nil"/>
            </w:tcBorders>
            <w:noWrap w:val="0"/>
            <w:vAlign w:val="center"/>
          </w:tcPr>
          <w:p>
            <w:pPr>
              <w:pStyle w:val="27"/>
              <w:spacing w:before="51"/>
              <w:ind w:left="146"/>
              <w:jc w:val="center"/>
              <w:rPr>
                <w:sz w:val="21"/>
              </w:rPr>
            </w:pPr>
            <w:r>
              <w:rPr>
                <w:rFonts w:ascii="Times New Roman" w:eastAsia="Times New Roman"/>
                <w:sz w:val="21"/>
              </w:rPr>
              <w:t>PC-STEL</w:t>
            </w:r>
            <w:r>
              <w:rPr>
                <w:sz w:val="21"/>
              </w:rPr>
              <w:t>（</w:t>
            </w:r>
            <w:r>
              <w:rPr>
                <w:rFonts w:ascii="Times New Roman" w:eastAsia="Times New Roman"/>
                <w:sz w:val="21"/>
              </w:rPr>
              <w:t>mg/m</w:t>
            </w:r>
            <w:r>
              <w:rPr>
                <w:rFonts w:ascii="Times New Roman" w:eastAsia="Times New Roman"/>
                <w:sz w:val="21"/>
                <w:vertAlign w:val="superscript"/>
              </w:rPr>
              <w:t>3</w:t>
            </w:r>
            <w:r>
              <w:rPr>
                <w:sz w:val="21"/>
                <w:vertAlign w:val="baseline"/>
              </w:rPr>
              <w:t>）</w:t>
            </w:r>
          </w:p>
        </w:tc>
        <w:tc>
          <w:tcPr>
            <w:tcW w:w="968" w:type="pct"/>
            <w:gridSpan w:val="2"/>
            <w:tcBorders>
              <w:tl2br w:val="nil"/>
              <w:tr2bl w:val="nil"/>
            </w:tcBorders>
            <w:noWrap w:val="0"/>
            <w:vAlign w:val="center"/>
          </w:tcPr>
          <w:p>
            <w:pPr>
              <w:pStyle w:val="27"/>
              <w:spacing w:before="65"/>
              <w:jc w:val="center"/>
              <w:rPr>
                <w:rFonts w:hint="eastAsia" w:ascii="Times New Roman" w:eastAsia="宋体"/>
                <w:sz w:val="21"/>
                <w:lang w:eastAsia="zh-CN"/>
              </w:rPr>
            </w:pPr>
            <w:r>
              <w:rPr>
                <w:rFonts w:hint="eastAsia" w:ascii="Times New Roman"/>
                <w:sz w:val="21"/>
                <w:lang w:val="en-US" w:eastAsia="zh-CN"/>
              </w:rPr>
              <w:t>/</w:t>
            </w:r>
          </w:p>
        </w:tc>
        <w:tc>
          <w:tcPr>
            <w:tcW w:w="1326" w:type="pct"/>
            <w:gridSpan w:val="3"/>
            <w:tcBorders>
              <w:tl2br w:val="nil"/>
              <w:tr2bl w:val="nil"/>
            </w:tcBorders>
            <w:noWrap w:val="0"/>
            <w:vAlign w:val="center"/>
          </w:tcPr>
          <w:p>
            <w:pPr>
              <w:pStyle w:val="27"/>
              <w:spacing w:before="51"/>
              <w:ind w:left="142" w:right="134"/>
              <w:jc w:val="center"/>
              <w:rPr>
                <w:sz w:val="21"/>
              </w:rPr>
            </w:pPr>
            <w:r>
              <w:rPr>
                <w:rFonts w:ascii="Times New Roman" w:eastAsia="Times New Roman"/>
                <w:sz w:val="21"/>
              </w:rPr>
              <w:t>TLV-STEL</w:t>
            </w:r>
            <w:r>
              <w:rPr>
                <w:sz w:val="21"/>
              </w:rPr>
              <w:t>（</w:t>
            </w:r>
            <w:r>
              <w:rPr>
                <w:rFonts w:ascii="Times New Roman" w:eastAsia="Times New Roman"/>
                <w:sz w:val="21"/>
              </w:rPr>
              <w:t>ppm</w:t>
            </w:r>
            <w:r>
              <w:rPr>
                <w:sz w:val="21"/>
              </w:rPr>
              <w:t>）</w:t>
            </w:r>
          </w:p>
        </w:tc>
        <w:tc>
          <w:tcPr>
            <w:tcW w:w="909" w:type="pct"/>
            <w:tcBorders>
              <w:tl2br w:val="nil"/>
              <w:tr2bl w:val="nil"/>
            </w:tcBorders>
            <w:noWrap w:val="0"/>
            <w:vAlign w:val="center"/>
          </w:tcPr>
          <w:p>
            <w:pPr>
              <w:pStyle w:val="27"/>
              <w:spacing w:before="65"/>
              <w:ind w:right="1018" w:firstLine="210" w:firstLineChars="100"/>
              <w:jc w:val="both"/>
              <w:rPr>
                <w:rFonts w:hint="eastAsia" w:ascii="Times New Roman" w:eastAsia="宋体"/>
                <w:sz w:val="21"/>
                <w:lang w:eastAsia="zh-CN"/>
              </w:rPr>
            </w:pPr>
            <w:r>
              <w:rPr>
                <w:rFonts w:hint="eastAsia" w:ascii="Times New Roman"/>
                <w:sz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continue"/>
            <w:tcBorders>
              <w:tl2br w:val="nil"/>
              <w:tr2bl w:val="nil"/>
            </w:tcBorders>
            <w:noWrap w:val="0"/>
            <w:vAlign w:val="center"/>
          </w:tcPr>
          <w:p>
            <w:pPr>
              <w:pStyle w:val="27"/>
              <w:spacing w:before="49"/>
              <w:ind w:left="158"/>
              <w:rPr>
                <w:rFonts w:ascii="Times New Roman" w:eastAsia="Times New Roman"/>
                <w:sz w:val="21"/>
              </w:rPr>
            </w:pPr>
          </w:p>
        </w:tc>
        <w:tc>
          <w:tcPr>
            <w:tcW w:w="1412" w:type="pct"/>
            <w:gridSpan w:val="2"/>
            <w:tcBorders>
              <w:tl2br w:val="nil"/>
              <w:tr2bl w:val="nil"/>
            </w:tcBorders>
            <w:noWrap w:val="0"/>
            <w:vAlign w:val="center"/>
          </w:tcPr>
          <w:p>
            <w:pPr>
              <w:pStyle w:val="27"/>
              <w:spacing w:before="49"/>
              <w:ind w:left="158"/>
              <w:jc w:val="center"/>
              <w:rPr>
                <w:sz w:val="21"/>
              </w:rPr>
            </w:pPr>
            <w:r>
              <w:rPr>
                <w:rFonts w:ascii="Times New Roman" w:eastAsia="Times New Roman"/>
                <w:sz w:val="21"/>
              </w:rPr>
              <w:t>PC-TWA</w:t>
            </w:r>
            <w:r>
              <w:rPr>
                <w:sz w:val="21"/>
              </w:rPr>
              <w:t>（</w:t>
            </w:r>
            <w:r>
              <w:rPr>
                <w:rFonts w:ascii="Times New Roman" w:eastAsia="Times New Roman"/>
                <w:sz w:val="21"/>
              </w:rPr>
              <w:t>mg/m</w:t>
            </w:r>
            <w:r>
              <w:rPr>
                <w:rFonts w:ascii="Times New Roman" w:eastAsia="Times New Roman"/>
                <w:sz w:val="21"/>
                <w:vertAlign w:val="superscript"/>
              </w:rPr>
              <w:t>3</w:t>
            </w:r>
            <w:r>
              <w:rPr>
                <w:sz w:val="21"/>
                <w:vertAlign w:val="baseline"/>
              </w:rPr>
              <w:t>）</w:t>
            </w:r>
          </w:p>
        </w:tc>
        <w:tc>
          <w:tcPr>
            <w:tcW w:w="968" w:type="pct"/>
            <w:gridSpan w:val="2"/>
            <w:tcBorders>
              <w:tl2br w:val="nil"/>
              <w:tr2bl w:val="nil"/>
            </w:tcBorders>
            <w:noWrap w:val="0"/>
            <w:vAlign w:val="center"/>
          </w:tcPr>
          <w:p>
            <w:pPr>
              <w:pStyle w:val="27"/>
              <w:spacing w:before="63"/>
              <w:jc w:val="center"/>
              <w:rPr>
                <w:rFonts w:hint="eastAsia" w:ascii="Times New Roman" w:eastAsia="宋体"/>
                <w:sz w:val="21"/>
                <w:lang w:eastAsia="zh-CN"/>
              </w:rPr>
            </w:pPr>
            <w:r>
              <w:rPr>
                <w:rFonts w:hint="eastAsia" w:ascii="Times New Roman"/>
                <w:sz w:val="21"/>
                <w:lang w:val="en-US" w:eastAsia="zh-CN"/>
              </w:rPr>
              <w:t>/</w:t>
            </w:r>
          </w:p>
        </w:tc>
        <w:tc>
          <w:tcPr>
            <w:tcW w:w="1326" w:type="pct"/>
            <w:gridSpan w:val="3"/>
            <w:tcBorders>
              <w:tl2br w:val="nil"/>
              <w:tr2bl w:val="nil"/>
            </w:tcBorders>
            <w:noWrap w:val="0"/>
            <w:vAlign w:val="center"/>
          </w:tcPr>
          <w:p>
            <w:pPr>
              <w:pStyle w:val="27"/>
              <w:spacing w:before="49"/>
              <w:ind w:left="142" w:right="132"/>
              <w:jc w:val="center"/>
              <w:rPr>
                <w:sz w:val="21"/>
              </w:rPr>
            </w:pPr>
            <w:r>
              <w:rPr>
                <w:rFonts w:ascii="Times New Roman" w:eastAsia="Times New Roman"/>
                <w:sz w:val="21"/>
              </w:rPr>
              <w:t>TLV-TWA</w:t>
            </w:r>
            <w:r>
              <w:rPr>
                <w:sz w:val="21"/>
              </w:rPr>
              <w:t>（</w:t>
            </w:r>
            <w:r>
              <w:rPr>
                <w:rFonts w:ascii="Times New Roman" w:eastAsia="Times New Roman"/>
                <w:sz w:val="21"/>
              </w:rPr>
              <w:t>ppm</w:t>
            </w:r>
            <w:r>
              <w:rPr>
                <w:sz w:val="21"/>
              </w:rPr>
              <w:t>）</w:t>
            </w:r>
          </w:p>
        </w:tc>
        <w:tc>
          <w:tcPr>
            <w:tcW w:w="909" w:type="pct"/>
            <w:tcBorders>
              <w:tl2br w:val="nil"/>
              <w:tr2bl w:val="nil"/>
            </w:tcBorders>
            <w:noWrap w:val="0"/>
            <w:vAlign w:val="center"/>
          </w:tcPr>
          <w:p>
            <w:pPr>
              <w:pStyle w:val="27"/>
              <w:spacing w:before="63"/>
              <w:ind w:right="1018" w:firstLine="210" w:firstLineChars="100"/>
              <w:jc w:val="both"/>
              <w:rPr>
                <w:rFonts w:hint="eastAsia" w:ascii="Times New Roman" w:eastAsia="宋体"/>
                <w:sz w:val="21"/>
                <w:lang w:eastAsia="zh-CN"/>
              </w:rPr>
            </w:pPr>
            <w:r>
              <w:rPr>
                <w:rFonts w:hint="eastAsia" w:ascii="Times New Roman"/>
                <w:sz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continue"/>
            <w:tcBorders>
              <w:tl2br w:val="nil"/>
              <w:tr2bl w:val="nil"/>
            </w:tcBorders>
            <w:noWrap w:val="0"/>
            <w:vAlign w:val="center"/>
          </w:tcPr>
          <w:p>
            <w:pPr>
              <w:pStyle w:val="27"/>
              <w:spacing w:before="49"/>
              <w:ind w:left="17"/>
              <w:jc w:val="center"/>
              <w:rPr>
                <w:sz w:val="21"/>
              </w:rPr>
            </w:pPr>
          </w:p>
        </w:tc>
        <w:tc>
          <w:tcPr>
            <w:tcW w:w="664" w:type="pct"/>
            <w:tcBorders>
              <w:tl2br w:val="nil"/>
              <w:tr2bl w:val="nil"/>
            </w:tcBorders>
            <w:noWrap w:val="0"/>
            <w:vAlign w:val="center"/>
          </w:tcPr>
          <w:p>
            <w:pPr>
              <w:pStyle w:val="27"/>
              <w:spacing w:before="49"/>
              <w:ind w:left="17"/>
              <w:jc w:val="center"/>
              <w:rPr>
                <w:sz w:val="21"/>
              </w:rPr>
            </w:pPr>
            <w:r>
              <w:rPr>
                <w:sz w:val="21"/>
              </w:rPr>
              <w:t>工程控制</w:t>
            </w:r>
          </w:p>
        </w:tc>
        <w:tc>
          <w:tcPr>
            <w:tcW w:w="3952" w:type="pct"/>
            <w:gridSpan w:val="7"/>
            <w:tcBorders>
              <w:tl2br w:val="nil"/>
              <w:tr2bl w:val="nil"/>
            </w:tcBorders>
            <w:noWrap w:val="0"/>
            <w:vAlign w:val="center"/>
          </w:tcPr>
          <w:p>
            <w:pPr>
              <w:pStyle w:val="27"/>
              <w:spacing w:before="49"/>
              <w:ind w:left="151" w:right="35"/>
              <w:jc w:val="center"/>
              <w:rPr>
                <w:sz w:val="21"/>
              </w:rPr>
            </w:pPr>
            <w:r>
              <w:rPr>
                <w:sz w:val="21"/>
              </w:rPr>
              <w:t>生产过程密闭，全面通风。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90" w:hRule="atLeast"/>
          <w:jc w:val="center"/>
        </w:trPr>
        <w:tc>
          <w:tcPr>
            <w:tcW w:w="382" w:type="pct"/>
            <w:vMerge w:val="continue"/>
            <w:tcBorders>
              <w:tl2br w:val="nil"/>
              <w:tr2bl w:val="nil"/>
            </w:tcBorders>
            <w:noWrap w:val="0"/>
            <w:vAlign w:val="center"/>
          </w:tcPr>
          <w:p>
            <w:pPr>
              <w:pStyle w:val="27"/>
              <w:spacing w:before="31" w:line="250" w:lineRule="exact"/>
              <w:ind w:left="15"/>
              <w:jc w:val="center"/>
              <w:rPr>
                <w:w w:val="100"/>
                <w:sz w:val="21"/>
              </w:rPr>
            </w:pPr>
          </w:p>
        </w:tc>
        <w:tc>
          <w:tcPr>
            <w:tcW w:w="664" w:type="pct"/>
            <w:tcBorders>
              <w:tl2br w:val="nil"/>
              <w:tr2bl w:val="nil"/>
            </w:tcBorders>
            <w:noWrap w:val="0"/>
            <w:vAlign w:val="center"/>
          </w:tcPr>
          <w:p>
            <w:pPr>
              <w:pStyle w:val="27"/>
              <w:spacing w:before="29"/>
              <w:ind w:left="17"/>
              <w:jc w:val="center"/>
              <w:rPr>
                <w:sz w:val="21"/>
              </w:rPr>
            </w:pPr>
            <w:r>
              <w:rPr>
                <w:sz w:val="21"/>
              </w:rPr>
              <w:t>呼吸系统防</w:t>
            </w:r>
            <w:r>
              <w:rPr>
                <w:w w:val="100"/>
                <w:sz w:val="21"/>
              </w:rPr>
              <w:t>护</w:t>
            </w:r>
          </w:p>
        </w:tc>
        <w:tc>
          <w:tcPr>
            <w:tcW w:w="3952" w:type="pct"/>
            <w:gridSpan w:val="7"/>
            <w:tcBorders>
              <w:tl2br w:val="nil"/>
              <w:tr2bl w:val="nil"/>
            </w:tcBorders>
            <w:noWrap w:val="0"/>
            <w:vAlign w:val="center"/>
          </w:tcPr>
          <w:p>
            <w:pPr>
              <w:pStyle w:val="27"/>
              <w:spacing w:before="178"/>
              <w:ind w:left="350"/>
              <w:jc w:val="center"/>
              <w:rPr>
                <w:sz w:val="21"/>
              </w:rPr>
            </w:pPr>
            <w:r>
              <w:rPr>
                <w:sz w:val="21"/>
              </w:rPr>
              <w:t>一般不需要特殊防护，但建议特殊情况下，佩戴过滤式防毒面具</w:t>
            </w:r>
            <w:r>
              <w:rPr>
                <w:rFonts w:ascii="Times New Roman" w:eastAsia="Times New Roman"/>
                <w:sz w:val="21"/>
              </w:rPr>
              <w:t>(</w:t>
            </w:r>
            <w:r>
              <w:rPr>
                <w:sz w:val="21"/>
              </w:rPr>
              <w:t>半面罩</w:t>
            </w:r>
            <w:r>
              <w:rPr>
                <w:rFonts w:ascii="Times New Roman" w:eastAsia="Times New Roman"/>
                <w:sz w:val="21"/>
              </w:rPr>
              <w:t>)</w:t>
            </w:r>
            <w:r>
              <w:rPr>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continue"/>
            <w:tcBorders>
              <w:tl2br w:val="nil"/>
              <w:tr2bl w:val="nil"/>
            </w:tcBorders>
            <w:noWrap w:val="0"/>
            <w:vAlign w:val="center"/>
          </w:tcPr>
          <w:p>
            <w:pPr>
              <w:pStyle w:val="27"/>
              <w:spacing w:before="49"/>
              <w:ind w:left="17"/>
              <w:jc w:val="center"/>
              <w:rPr>
                <w:sz w:val="21"/>
              </w:rPr>
            </w:pPr>
          </w:p>
        </w:tc>
        <w:tc>
          <w:tcPr>
            <w:tcW w:w="664" w:type="pct"/>
            <w:tcBorders>
              <w:tl2br w:val="nil"/>
              <w:tr2bl w:val="nil"/>
            </w:tcBorders>
            <w:noWrap w:val="0"/>
            <w:vAlign w:val="center"/>
          </w:tcPr>
          <w:p>
            <w:pPr>
              <w:pStyle w:val="27"/>
              <w:spacing w:before="49"/>
              <w:ind w:left="17"/>
              <w:jc w:val="center"/>
              <w:rPr>
                <w:sz w:val="21"/>
              </w:rPr>
            </w:pPr>
            <w:r>
              <w:rPr>
                <w:sz w:val="21"/>
              </w:rPr>
              <w:t>眼睛防护</w:t>
            </w:r>
          </w:p>
        </w:tc>
        <w:tc>
          <w:tcPr>
            <w:tcW w:w="3952" w:type="pct"/>
            <w:gridSpan w:val="7"/>
            <w:tcBorders>
              <w:tl2br w:val="nil"/>
              <w:tr2bl w:val="nil"/>
            </w:tcBorders>
            <w:noWrap w:val="0"/>
            <w:vAlign w:val="center"/>
          </w:tcPr>
          <w:p>
            <w:pPr>
              <w:pStyle w:val="27"/>
              <w:spacing w:before="49"/>
              <w:ind w:left="154" w:right="35"/>
              <w:jc w:val="center"/>
              <w:rPr>
                <w:sz w:val="21"/>
              </w:rPr>
            </w:pPr>
            <w:r>
              <w:rPr>
                <w:sz w:val="21"/>
              </w:rPr>
              <w:t>一般不需要特殊防护，高浓度接触时可戴安全防护眼镜。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37" w:hRule="atLeast"/>
          <w:jc w:val="center"/>
        </w:trPr>
        <w:tc>
          <w:tcPr>
            <w:tcW w:w="382" w:type="pct"/>
            <w:vMerge w:val="continue"/>
            <w:tcBorders>
              <w:tl2br w:val="nil"/>
              <w:tr2bl w:val="nil"/>
            </w:tcBorders>
            <w:noWrap w:val="0"/>
            <w:vAlign w:val="center"/>
          </w:tcPr>
          <w:p>
            <w:pPr>
              <w:pStyle w:val="27"/>
              <w:spacing w:before="49"/>
              <w:ind w:left="17"/>
              <w:jc w:val="center"/>
              <w:rPr>
                <w:sz w:val="21"/>
              </w:rPr>
            </w:pPr>
          </w:p>
        </w:tc>
        <w:tc>
          <w:tcPr>
            <w:tcW w:w="664" w:type="pct"/>
            <w:tcBorders>
              <w:tl2br w:val="nil"/>
              <w:tr2bl w:val="nil"/>
            </w:tcBorders>
            <w:noWrap w:val="0"/>
            <w:vAlign w:val="center"/>
          </w:tcPr>
          <w:p>
            <w:pPr>
              <w:pStyle w:val="27"/>
              <w:spacing w:before="49"/>
              <w:ind w:left="17"/>
              <w:jc w:val="center"/>
              <w:rPr>
                <w:sz w:val="21"/>
              </w:rPr>
            </w:pPr>
            <w:r>
              <w:rPr>
                <w:sz w:val="21"/>
              </w:rPr>
              <w:t>身体防护</w:t>
            </w:r>
          </w:p>
        </w:tc>
        <w:tc>
          <w:tcPr>
            <w:tcW w:w="3952" w:type="pct"/>
            <w:gridSpan w:val="7"/>
            <w:tcBorders>
              <w:tl2br w:val="nil"/>
              <w:tr2bl w:val="nil"/>
            </w:tcBorders>
            <w:noWrap w:val="0"/>
            <w:vAlign w:val="center"/>
          </w:tcPr>
          <w:p>
            <w:pPr>
              <w:pStyle w:val="27"/>
              <w:spacing w:before="49"/>
              <w:ind w:left="156" w:right="35"/>
              <w:jc w:val="center"/>
              <w:rPr>
                <w:sz w:val="21"/>
              </w:rPr>
            </w:pPr>
            <w:r>
              <w:rPr>
                <w:sz w:val="21"/>
              </w:rPr>
              <w:t>穿防静电工作服。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340" w:hRule="atLeast"/>
          <w:jc w:val="center"/>
        </w:trPr>
        <w:tc>
          <w:tcPr>
            <w:tcW w:w="382" w:type="pct"/>
            <w:vMerge w:val="continue"/>
            <w:tcBorders>
              <w:tl2br w:val="nil"/>
              <w:tr2bl w:val="nil"/>
            </w:tcBorders>
            <w:noWrap w:val="0"/>
            <w:vAlign w:val="center"/>
          </w:tcPr>
          <w:p>
            <w:pPr>
              <w:pStyle w:val="27"/>
              <w:spacing w:before="52"/>
              <w:ind w:left="15"/>
              <w:jc w:val="center"/>
              <w:rPr>
                <w:sz w:val="21"/>
              </w:rPr>
            </w:pPr>
          </w:p>
        </w:tc>
        <w:tc>
          <w:tcPr>
            <w:tcW w:w="664" w:type="pct"/>
            <w:tcBorders>
              <w:tl2br w:val="nil"/>
              <w:tr2bl w:val="nil"/>
            </w:tcBorders>
            <w:noWrap w:val="0"/>
            <w:vAlign w:val="center"/>
          </w:tcPr>
          <w:p>
            <w:pPr>
              <w:pStyle w:val="27"/>
              <w:spacing w:before="52"/>
              <w:ind w:left="15"/>
              <w:jc w:val="center"/>
              <w:rPr>
                <w:sz w:val="21"/>
              </w:rPr>
            </w:pPr>
            <w:r>
              <w:rPr>
                <w:sz w:val="21"/>
              </w:rPr>
              <w:t>手防护</w:t>
            </w:r>
          </w:p>
        </w:tc>
        <w:tc>
          <w:tcPr>
            <w:tcW w:w="3952" w:type="pct"/>
            <w:gridSpan w:val="7"/>
            <w:tcBorders>
              <w:tl2br w:val="nil"/>
              <w:tr2bl w:val="nil"/>
            </w:tcBorders>
            <w:noWrap w:val="0"/>
            <w:vAlign w:val="center"/>
          </w:tcPr>
          <w:p>
            <w:pPr>
              <w:pStyle w:val="27"/>
              <w:spacing w:before="52"/>
              <w:ind w:left="154" w:right="35"/>
              <w:jc w:val="center"/>
              <w:rPr>
                <w:sz w:val="21"/>
              </w:rPr>
            </w:pPr>
            <w:r>
              <w:rPr>
                <w:sz w:val="21"/>
              </w:rPr>
              <w:t>戴一般作业防护手套。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599" w:hRule="atLeast"/>
          <w:jc w:val="center"/>
        </w:trPr>
        <w:tc>
          <w:tcPr>
            <w:tcW w:w="382" w:type="pct"/>
            <w:vMerge w:val="continue"/>
            <w:tcBorders>
              <w:tl2br w:val="nil"/>
              <w:tr2bl w:val="nil"/>
            </w:tcBorders>
            <w:noWrap w:val="0"/>
            <w:vAlign w:val="center"/>
          </w:tcPr>
          <w:p>
            <w:pPr>
              <w:pStyle w:val="27"/>
              <w:ind w:left="17"/>
              <w:jc w:val="center"/>
              <w:rPr>
                <w:sz w:val="21"/>
              </w:rPr>
            </w:pPr>
          </w:p>
        </w:tc>
        <w:tc>
          <w:tcPr>
            <w:tcW w:w="664" w:type="pct"/>
            <w:tcBorders>
              <w:tl2br w:val="nil"/>
              <w:tr2bl w:val="nil"/>
            </w:tcBorders>
            <w:noWrap w:val="0"/>
            <w:vAlign w:val="center"/>
          </w:tcPr>
          <w:p>
            <w:pPr>
              <w:pStyle w:val="27"/>
              <w:spacing w:before="1"/>
              <w:rPr>
                <w:sz w:val="14"/>
              </w:rPr>
            </w:pPr>
          </w:p>
          <w:p>
            <w:pPr>
              <w:pStyle w:val="27"/>
              <w:ind w:left="17"/>
              <w:jc w:val="center"/>
              <w:rPr>
                <w:sz w:val="21"/>
              </w:rPr>
            </w:pPr>
            <w:r>
              <w:rPr>
                <w:sz w:val="21"/>
              </w:rPr>
              <w:t>其它防护</w:t>
            </w:r>
          </w:p>
        </w:tc>
        <w:tc>
          <w:tcPr>
            <w:tcW w:w="3952" w:type="pct"/>
            <w:gridSpan w:val="7"/>
            <w:tcBorders>
              <w:tl2br w:val="nil"/>
              <w:tr2bl w:val="nil"/>
            </w:tcBorders>
            <w:noWrap w:val="0"/>
            <w:vAlign w:val="center"/>
          </w:tcPr>
          <w:p>
            <w:pPr>
              <w:pStyle w:val="27"/>
              <w:spacing w:before="29"/>
              <w:ind w:left="162" w:right="35"/>
              <w:jc w:val="center"/>
              <w:rPr>
                <w:sz w:val="21"/>
              </w:rPr>
            </w:pPr>
            <w:r>
              <w:rPr>
                <w:spacing w:val="-4"/>
                <w:sz w:val="21"/>
              </w:rPr>
              <w:t>工作现场严禁吸烟。避免长期反复接触。进入罐、限制性空间或其它高浓度区作</w:t>
            </w:r>
            <w:r>
              <w:rPr>
                <w:sz w:val="21"/>
              </w:rPr>
              <w:t>业，须有人监护。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2442" w:hRule="atLeast"/>
          <w:jc w:val="center"/>
        </w:trPr>
        <w:tc>
          <w:tcPr>
            <w:tcW w:w="382" w:type="pct"/>
            <w:tcBorders>
              <w:tl2br w:val="nil"/>
              <w:tr2bl w:val="nil"/>
            </w:tcBorders>
            <w:noWrap w:val="0"/>
            <w:vAlign w:val="center"/>
          </w:tcPr>
          <w:p>
            <w:pPr>
              <w:pStyle w:val="27"/>
              <w:ind w:left="17"/>
              <w:jc w:val="center"/>
              <w:rPr>
                <w:rFonts w:hint="default" w:eastAsia="宋体"/>
                <w:sz w:val="21"/>
                <w:lang w:val="en-US" w:eastAsia="zh-CN"/>
              </w:rPr>
            </w:pPr>
            <w:r>
              <w:rPr>
                <w:rFonts w:hint="eastAsia"/>
                <w:sz w:val="21"/>
                <w:lang w:val="en-US" w:eastAsia="zh-CN"/>
              </w:rPr>
              <w:t>泄露应急处理</w:t>
            </w:r>
          </w:p>
        </w:tc>
        <w:tc>
          <w:tcPr>
            <w:tcW w:w="664" w:type="pct"/>
            <w:tcBorders>
              <w:tl2br w:val="nil"/>
              <w:tr2bl w:val="nil"/>
            </w:tcBorders>
            <w:noWrap w:val="0"/>
            <w:vAlign w:val="center"/>
          </w:tcPr>
          <w:p>
            <w:pPr>
              <w:pStyle w:val="27"/>
              <w:ind w:left="17"/>
              <w:jc w:val="center"/>
              <w:rPr>
                <w:sz w:val="21"/>
              </w:rPr>
            </w:pPr>
            <w:r>
              <w:rPr>
                <w:sz w:val="21"/>
              </w:rPr>
              <w:t>应急处理</w:t>
            </w:r>
          </w:p>
        </w:tc>
        <w:tc>
          <w:tcPr>
            <w:tcW w:w="3952" w:type="pct"/>
            <w:gridSpan w:val="7"/>
            <w:tcBorders>
              <w:tl2br w:val="nil"/>
              <w:tr2bl w:val="nil"/>
            </w:tcBorders>
            <w:noWrap w:val="0"/>
            <w:vAlign w:val="center"/>
          </w:tcPr>
          <w:p>
            <w:pPr>
              <w:pStyle w:val="27"/>
              <w:spacing w:before="1" w:line="300" w:lineRule="atLeast"/>
              <w:ind w:left="112" w:right="-29"/>
              <w:jc w:val="center"/>
              <w:rPr>
                <w:sz w:val="21"/>
              </w:rPr>
            </w:pPr>
            <w:r>
              <w:rPr>
                <w:spacing w:val="-5"/>
                <w:sz w:val="21"/>
              </w:rPr>
              <w:t>消除所有点火源。根据气体的影响区域划定警戒区，无关人员从侧风、上风向撤离至安全区。建议应急处理人员戴正压自给式呼吸器，穿防静电服。液化气体泄</w:t>
            </w:r>
            <w:r>
              <w:rPr>
                <w:spacing w:val="-14"/>
                <w:sz w:val="21"/>
              </w:rPr>
              <w:t>漏时穿防静电、防寒服。作业时使用的所有设备应接地。禁止接触或跨越泄漏物</w:t>
            </w:r>
            <w:r>
              <w:rPr>
                <w:spacing w:val="-7"/>
                <w:sz w:val="21"/>
              </w:rPr>
              <w:t>尽可能切断泄漏源。若可能翻转容器，使之逸出气体而非液体。喷雾状水抑制蒸</w:t>
            </w:r>
            <w:r>
              <w:rPr>
                <w:spacing w:val="-14"/>
                <w:sz w:val="21"/>
              </w:rPr>
              <w:t>气或改变蒸气云流向，避免水流接触泄漏物。禁止用水直接冲击泄漏物或泄漏源</w:t>
            </w:r>
            <w:r>
              <w:rPr>
                <w:spacing w:val="-7"/>
                <w:sz w:val="21"/>
              </w:rPr>
              <w:t>防止气体通过下水道、通风系统和密闭性空间扩散。隔离泄漏区直至气体散尽。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2018" w:hRule="atLeast"/>
          <w:jc w:val="center"/>
        </w:trPr>
        <w:tc>
          <w:tcPr>
            <w:tcW w:w="382" w:type="pct"/>
            <w:vMerge w:val="restart"/>
            <w:tcBorders>
              <w:tl2br w:val="nil"/>
              <w:tr2bl w:val="nil"/>
            </w:tcBorders>
            <w:noWrap w:val="0"/>
            <w:vAlign w:val="center"/>
          </w:tcPr>
          <w:p>
            <w:pPr>
              <w:pStyle w:val="27"/>
              <w:spacing w:line="266" w:lineRule="auto"/>
              <w:ind w:right="105"/>
              <w:jc w:val="center"/>
              <w:rPr>
                <w:rFonts w:hint="default" w:eastAsia="宋体"/>
                <w:sz w:val="21"/>
                <w:lang w:val="en-US" w:eastAsia="zh-CN"/>
              </w:rPr>
            </w:pPr>
            <w:r>
              <w:rPr>
                <w:rFonts w:hint="eastAsia"/>
                <w:sz w:val="21"/>
                <w:lang w:val="en-US" w:eastAsia="zh-CN"/>
              </w:rPr>
              <w:t>操作处置与储存</w:t>
            </w:r>
          </w:p>
        </w:tc>
        <w:tc>
          <w:tcPr>
            <w:tcW w:w="664" w:type="pct"/>
            <w:tcBorders>
              <w:tl2br w:val="nil"/>
              <w:tr2bl w:val="nil"/>
            </w:tcBorders>
            <w:noWrap w:val="0"/>
            <w:vAlign w:val="center"/>
          </w:tcPr>
          <w:p>
            <w:pPr>
              <w:pStyle w:val="27"/>
              <w:spacing w:line="266" w:lineRule="auto"/>
              <w:ind w:right="105"/>
              <w:jc w:val="center"/>
              <w:rPr>
                <w:sz w:val="21"/>
              </w:rPr>
            </w:pPr>
            <w:r>
              <w:rPr>
                <w:rFonts w:hint="eastAsia"/>
                <w:sz w:val="21"/>
              </w:rPr>
              <w:t>操作注意事项</w:t>
            </w:r>
          </w:p>
        </w:tc>
        <w:tc>
          <w:tcPr>
            <w:tcW w:w="3952" w:type="pct"/>
            <w:gridSpan w:val="7"/>
            <w:tcBorders>
              <w:tl2br w:val="nil"/>
              <w:tr2bl w:val="nil"/>
            </w:tcBorders>
            <w:noWrap w:val="0"/>
            <w:vAlign w:val="center"/>
          </w:tcPr>
          <w:p>
            <w:pPr>
              <w:pStyle w:val="27"/>
              <w:spacing w:before="29" w:line="268" w:lineRule="auto"/>
              <w:ind w:left="112" w:right="-15"/>
              <w:jc w:val="center"/>
              <w:rPr>
                <w:sz w:val="21"/>
              </w:rPr>
            </w:pPr>
            <w:r>
              <w:rPr>
                <w:sz w:val="21"/>
              </w:rPr>
              <w:t>密闭操作，全面通风。操作人员必须经过专门培训，严格遵守操作规程。远离火种、热源，工作场所严禁吸烟。使用防爆型的通风系统和设备。防止气体泄漏到工作场所空气中。避免与氧化剂接触。在传送过程中，钢瓶和容器必须接地和跨接，防止产生静电。搬运时轻装轻卸，防止钢瓶及附件破损。配备相应品种和数量的消防器材及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3" w:type="dxa"/>
            <w:bottom w:w="0" w:type="dxa"/>
            <w:right w:w="113" w:type="dxa"/>
          </w:tblCellMar>
        </w:tblPrEx>
        <w:trPr>
          <w:trHeight w:val="1946" w:hRule="atLeast"/>
          <w:jc w:val="center"/>
        </w:trPr>
        <w:tc>
          <w:tcPr>
            <w:tcW w:w="382" w:type="pct"/>
            <w:vMerge w:val="continue"/>
            <w:tcBorders>
              <w:tl2br w:val="nil"/>
              <w:tr2bl w:val="nil"/>
            </w:tcBorders>
            <w:noWrap w:val="0"/>
            <w:vAlign w:val="center"/>
          </w:tcPr>
          <w:p>
            <w:pPr>
              <w:pStyle w:val="27"/>
              <w:spacing w:line="266" w:lineRule="auto"/>
              <w:ind w:left="333" w:right="105" w:hanging="209"/>
              <w:rPr>
                <w:sz w:val="21"/>
              </w:rPr>
            </w:pPr>
          </w:p>
        </w:tc>
        <w:tc>
          <w:tcPr>
            <w:tcW w:w="664" w:type="pct"/>
            <w:tcBorders>
              <w:tl2br w:val="nil"/>
              <w:tr2bl w:val="nil"/>
            </w:tcBorders>
            <w:noWrap w:val="0"/>
            <w:vAlign w:val="center"/>
          </w:tcPr>
          <w:p>
            <w:pPr>
              <w:pStyle w:val="27"/>
              <w:spacing w:line="266" w:lineRule="auto"/>
              <w:ind w:right="105"/>
              <w:jc w:val="center"/>
              <w:rPr>
                <w:sz w:val="21"/>
              </w:rPr>
            </w:pPr>
            <w:r>
              <w:rPr>
                <w:sz w:val="21"/>
              </w:rPr>
              <w:t>储存注意事项</w:t>
            </w:r>
          </w:p>
        </w:tc>
        <w:tc>
          <w:tcPr>
            <w:tcW w:w="3952" w:type="pct"/>
            <w:gridSpan w:val="7"/>
            <w:tcBorders>
              <w:tl2br w:val="nil"/>
              <w:tr2bl w:val="nil"/>
            </w:tcBorders>
            <w:noWrap w:val="0"/>
            <w:vAlign w:val="center"/>
          </w:tcPr>
          <w:p>
            <w:pPr>
              <w:pStyle w:val="27"/>
              <w:spacing w:before="29" w:line="266" w:lineRule="auto"/>
              <w:ind w:left="112" w:right="-87" w:firstLine="26"/>
              <w:jc w:val="center"/>
              <w:rPr>
                <w:sz w:val="21"/>
              </w:rPr>
            </w:pPr>
            <w:r>
              <w:rPr>
                <w:spacing w:val="-3"/>
                <w:sz w:val="21"/>
              </w:rPr>
              <w:t>用大型保温气柜在常压和相应的低温</w:t>
            </w:r>
            <w:r>
              <w:rPr>
                <w:sz w:val="21"/>
              </w:rPr>
              <w:t>（</w:t>
            </w:r>
            <w:r>
              <w:rPr>
                <w:rFonts w:ascii="Times New Roman" w:hAnsi="Times New Roman" w:eastAsia="Times New Roman"/>
                <w:sz w:val="21"/>
              </w:rPr>
              <w:t>-160</w:t>
            </w:r>
            <w:r>
              <w:rPr>
                <w:sz w:val="21"/>
              </w:rPr>
              <w:t>～</w:t>
            </w:r>
            <w:r>
              <w:rPr>
                <w:rFonts w:ascii="Times New Roman" w:hAnsi="Times New Roman" w:eastAsia="Times New Roman"/>
                <w:sz w:val="21"/>
              </w:rPr>
              <w:t>-164</w:t>
            </w:r>
            <w:r>
              <w:rPr>
                <w:sz w:val="21"/>
              </w:rPr>
              <w:t>℃）</w:t>
            </w:r>
            <w:r>
              <w:rPr>
                <w:spacing w:val="-3"/>
                <w:sz w:val="21"/>
              </w:rPr>
              <w:t>条件下储存。钢瓶装本品</w:t>
            </w:r>
            <w:r>
              <w:rPr>
                <w:spacing w:val="-4"/>
                <w:sz w:val="21"/>
              </w:rPr>
              <w:t xml:space="preserve">储存于阴凉、通风的易燃气体专用库房。远离火种、热源。库温不宜超过 </w:t>
            </w:r>
            <w:r>
              <w:rPr>
                <w:rFonts w:ascii="Times New Roman" w:hAnsi="Times New Roman" w:eastAsia="Times New Roman"/>
                <w:sz w:val="21"/>
              </w:rPr>
              <w:t>30</w:t>
            </w:r>
            <w:r>
              <w:rPr>
                <w:sz w:val="21"/>
              </w:rPr>
              <w:t>℃。</w:t>
            </w:r>
            <w:r>
              <w:rPr>
                <w:spacing w:val="-5"/>
                <w:sz w:val="21"/>
              </w:rPr>
              <w:t>应与氧化剂等分开存放，切忌混储。采用防爆型照明、通风设施。禁止使用易产</w:t>
            </w:r>
            <w:r>
              <w:rPr>
                <w:sz w:val="21"/>
              </w:rPr>
              <w:t>生火花的机械设备和工具。储区应备有泄漏应急处理设备。</w:t>
            </w:r>
          </w:p>
        </w:tc>
      </w:tr>
    </w:tbl>
    <w:p>
      <w:pPr>
        <w:pStyle w:val="2"/>
        <w:keepNext w:val="0"/>
        <w:keepLines w:val="0"/>
        <w:pageBreakBefore w:val="0"/>
        <w:widowControl w:val="0"/>
        <w:kinsoku/>
        <w:wordWrap/>
        <w:overflowPunct/>
        <w:topLinePunct w:val="0"/>
        <w:autoSpaceDE/>
        <w:autoSpaceDN/>
        <w:bidi w:val="0"/>
        <w:adjustRightInd/>
        <w:snapToGrid w:val="0"/>
        <w:spacing w:beforeLines="50" w:line="360" w:lineRule="auto"/>
        <w:ind w:left="0" w:leftChars="0" w:firstLine="0" w:firstLineChars="0"/>
        <w:jc w:val="center"/>
        <w:textAlignment w:val="auto"/>
        <w:rPr>
          <w:rFonts w:hint="eastAsia"/>
          <w:b/>
          <w:bCs/>
          <w:sz w:val="24"/>
          <w:szCs w:val="24"/>
          <w:lang w:val="en-US" w:eastAsia="zh-CN"/>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7</w:t>
      </w:r>
      <w:r>
        <w:rPr>
          <w:rFonts w:hint="eastAsia"/>
          <w:b/>
          <w:bCs/>
          <w:sz w:val="24"/>
          <w:szCs w:val="24"/>
          <w:lang w:val="en-US" w:eastAsia="zh-CN"/>
        </w:rPr>
        <w:t xml:space="preserve"> 氢氧化钠的理化性质、危险特性及应急防范措施一览表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827"/>
        <w:gridCol w:w="1050"/>
        <w:gridCol w:w="913"/>
        <w:gridCol w:w="1150"/>
        <w:gridCol w:w="1587"/>
        <w:gridCol w:w="1238"/>
        <w:gridCol w:w="1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97" w:hRule="atLeast"/>
          <w:jc w:val="center"/>
        </w:trPr>
        <w:tc>
          <w:tcPr>
            <w:tcW w:w="827"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品名</w:t>
            </w: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氢氧化钠</w:t>
            </w:r>
          </w:p>
        </w:tc>
        <w:tc>
          <w:tcPr>
            <w:tcW w:w="913"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别名</w:t>
            </w:r>
          </w:p>
        </w:tc>
        <w:tc>
          <w:tcPr>
            <w:tcW w:w="2737" w:type="dxa"/>
            <w:gridSpan w:val="2"/>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苛性钠；烧碱；火碱；固碱</w:t>
            </w:r>
          </w:p>
        </w:tc>
        <w:tc>
          <w:tcPr>
            <w:tcW w:w="1238"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英文名</w:t>
            </w:r>
          </w:p>
        </w:tc>
        <w:tc>
          <w:tcPr>
            <w:tcW w:w="159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Sodiun hydroxide；Caustic soda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97" w:hRule="atLeast"/>
          <w:jc w:val="center"/>
        </w:trPr>
        <w:tc>
          <w:tcPr>
            <w:tcW w:w="82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理</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化</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性</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质</w:t>
            </w: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分子式</w:t>
            </w:r>
          </w:p>
        </w:tc>
        <w:tc>
          <w:tcPr>
            <w:tcW w:w="913"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NaOH</w:t>
            </w:r>
          </w:p>
        </w:tc>
        <w:tc>
          <w:tcPr>
            <w:tcW w:w="11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分子量</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40.01</w:t>
            </w:r>
          </w:p>
        </w:tc>
        <w:tc>
          <w:tcPr>
            <w:tcW w:w="1238"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熔　点</w:t>
            </w:r>
          </w:p>
        </w:tc>
        <w:tc>
          <w:tcPr>
            <w:tcW w:w="159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318.4℃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97" w:hRule="atLeast"/>
          <w:jc w:val="center"/>
        </w:trPr>
        <w:tc>
          <w:tcPr>
            <w:tcW w:w="82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沸　点</w:t>
            </w:r>
          </w:p>
        </w:tc>
        <w:tc>
          <w:tcPr>
            <w:tcW w:w="913"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1390℃</w:t>
            </w:r>
          </w:p>
        </w:tc>
        <w:tc>
          <w:tcPr>
            <w:tcW w:w="11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相对密度</w:t>
            </w:r>
          </w:p>
        </w:tc>
        <w:tc>
          <w:tcPr>
            <w:tcW w:w="1587"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2.12</w:t>
            </w:r>
          </w:p>
        </w:tc>
        <w:tc>
          <w:tcPr>
            <w:tcW w:w="1238"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危险标记</w:t>
            </w:r>
          </w:p>
        </w:tc>
        <w:tc>
          <w:tcPr>
            <w:tcW w:w="159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20(碱性腐蚀品)</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97" w:hRule="atLeast"/>
          <w:jc w:val="center"/>
        </w:trPr>
        <w:tc>
          <w:tcPr>
            <w:tcW w:w="82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外观气味</w:t>
            </w:r>
          </w:p>
        </w:tc>
        <w:tc>
          <w:tcPr>
            <w:tcW w:w="6478" w:type="dxa"/>
            <w:gridSpan w:val="5"/>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白色不透明固体，易潮解。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97" w:hRule="atLeast"/>
          <w:jc w:val="center"/>
        </w:trPr>
        <w:tc>
          <w:tcPr>
            <w:tcW w:w="82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溶解性</w:t>
            </w:r>
          </w:p>
        </w:tc>
        <w:tc>
          <w:tcPr>
            <w:tcW w:w="6478" w:type="dxa"/>
            <w:gridSpan w:val="5"/>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易溶于水、乙醇、甘油，不溶于丙酮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1168" w:hRule="atLeast"/>
          <w:jc w:val="center"/>
        </w:trPr>
        <w:tc>
          <w:tcPr>
            <w:tcW w:w="827"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稳定性和</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危险性</w:t>
            </w:r>
          </w:p>
        </w:tc>
        <w:tc>
          <w:tcPr>
            <w:tcW w:w="7528" w:type="dxa"/>
            <w:gridSpan w:val="6"/>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384" w:firstLineChars="183"/>
              <w:jc w:val="center"/>
              <w:textAlignment w:val="auto"/>
              <w:rPr>
                <w:rFonts w:hint="eastAsia" w:ascii="Times New Roman" w:hAnsi="Times New Roman" w:eastAsia="宋体"/>
                <w:szCs w:val="21"/>
              </w:rPr>
            </w:pPr>
            <w:r>
              <w:rPr>
                <w:rFonts w:hint="eastAsia" w:ascii="Times New Roman" w:hAnsi="Times New Roman" w:eastAsia="宋体"/>
                <w:szCs w:val="21"/>
              </w:rPr>
              <w:t>稳定性：不会燃烧，</w:t>
            </w:r>
            <w:r>
              <w:rPr>
                <w:rFonts w:ascii="Times New Roman" w:hAnsi="Times New Roman" w:eastAsia="宋体"/>
                <w:szCs w:val="21"/>
              </w:rPr>
              <w:t>易溶于</w:t>
            </w:r>
            <w:r>
              <w:rPr>
                <w:rFonts w:ascii="Times New Roman" w:hAnsi="Times New Roman" w:eastAsia="宋体"/>
                <w:szCs w:val="21"/>
              </w:rPr>
              <w:fldChar w:fldCharType="begin"/>
            </w:r>
            <w:r>
              <w:rPr>
                <w:rFonts w:ascii="Times New Roman" w:hAnsi="Times New Roman" w:eastAsia="宋体"/>
                <w:szCs w:val="21"/>
              </w:rPr>
              <w:instrText xml:space="preserve"> HYPERLINK "http://baike.baidu.com/view/2630.htm" \t "_blank" </w:instrText>
            </w:r>
            <w:r>
              <w:rPr>
                <w:rFonts w:ascii="Times New Roman" w:hAnsi="Times New Roman" w:eastAsia="宋体"/>
                <w:szCs w:val="21"/>
              </w:rPr>
              <w:fldChar w:fldCharType="separate"/>
            </w:r>
            <w:r>
              <w:rPr>
                <w:rFonts w:ascii="Times New Roman" w:hAnsi="Times New Roman" w:eastAsia="宋体"/>
              </w:rPr>
              <w:t>水</w:t>
            </w:r>
            <w:r>
              <w:rPr>
                <w:rFonts w:ascii="Times New Roman" w:hAnsi="Times New Roman" w:eastAsia="宋体"/>
                <w:szCs w:val="21"/>
              </w:rPr>
              <w:fldChar w:fldCharType="end"/>
            </w:r>
            <w:r>
              <w:rPr>
                <w:rFonts w:hint="eastAsia" w:ascii="Times New Roman" w:hAnsi="Times New Roman" w:eastAsia="宋体"/>
                <w:szCs w:val="21"/>
              </w:rPr>
              <w:t>。</w:t>
            </w:r>
          </w:p>
          <w:p>
            <w:pPr>
              <w:keepNext w:val="0"/>
              <w:keepLines w:val="0"/>
              <w:pageBreakBefore w:val="0"/>
              <w:widowControl w:val="0"/>
              <w:kinsoku/>
              <w:wordWrap/>
              <w:overflowPunct/>
              <w:topLinePunct w:val="0"/>
              <w:autoSpaceDE/>
              <w:autoSpaceDN/>
              <w:bidi w:val="0"/>
              <w:adjustRightInd/>
              <w:snapToGrid w:val="0"/>
              <w:spacing w:line="240" w:lineRule="auto"/>
              <w:ind w:firstLine="384" w:firstLineChars="183"/>
              <w:jc w:val="center"/>
              <w:textAlignment w:val="auto"/>
              <w:rPr>
                <w:rFonts w:hint="eastAsia" w:ascii="Times New Roman" w:hAnsi="Times New Roman" w:eastAsia="宋体"/>
                <w:szCs w:val="21"/>
              </w:rPr>
            </w:pPr>
            <w:r>
              <w:rPr>
                <w:rFonts w:hint="eastAsia" w:ascii="Times New Roman" w:hAnsi="Times New Roman" w:eastAsia="宋体"/>
                <w:szCs w:val="21"/>
              </w:rPr>
              <w:t>危险性：</w:t>
            </w:r>
            <w:r>
              <w:rPr>
                <w:rFonts w:ascii="Times New Roman" w:hAnsi="Times New Roman" w:eastAsia="宋体"/>
                <w:szCs w:val="21"/>
              </w:rPr>
              <w:t>不会</w:t>
            </w:r>
            <w:r>
              <w:rPr>
                <w:rFonts w:ascii="Times New Roman" w:hAnsi="Times New Roman" w:eastAsia="宋体"/>
                <w:szCs w:val="21"/>
              </w:rPr>
              <w:fldChar w:fldCharType="begin"/>
            </w:r>
            <w:r>
              <w:rPr>
                <w:rFonts w:ascii="Times New Roman" w:hAnsi="Times New Roman" w:eastAsia="宋体"/>
                <w:szCs w:val="21"/>
              </w:rPr>
              <w:instrText xml:space="preserve"> HYPERLINK "http://baike.baidu.com/view/62786.htm" \t "_blank" </w:instrText>
            </w:r>
            <w:r>
              <w:rPr>
                <w:rFonts w:ascii="Times New Roman" w:hAnsi="Times New Roman" w:eastAsia="宋体"/>
                <w:szCs w:val="21"/>
              </w:rPr>
              <w:fldChar w:fldCharType="separate"/>
            </w:r>
            <w:r>
              <w:rPr>
                <w:rFonts w:ascii="Times New Roman" w:hAnsi="Times New Roman" w:eastAsia="宋体"/>
              </w:rPr>
              <w:t>燃烧</w:t>
            </w:r>
            <w:r>
              <w:rPr>
                <w:rFonts w:ascii="Times New Roman" w:hAnsi="Times New Roman" w:eastAsia="宋体"/>
                <w:szCs w:val="21"/>
              </w:rPr>
              <w:fldChar w:fldCharType="end"/>
            </w:r>
            <w:r>
              <w:rPr>
                <w:rFonts w:ascii="Times New Roman" w:hAnsi="Times New Roman" w:eastAsia="宋体"/>
                <w:szCs w:val="21"/>
              </w:rPr>
              <w:t>，遇水和</w:t>
            </w:r>
            <w:r>
              <w:rPr>
                <w:rFonts w:ascii="Times New Roman" w:hAnsi="Times New Roman" w:eastAsia="宋体"/>
                <w:szCs w:val="21"/>
              </w:rPr>
              <w:fldChar w:fldCharType="begin"/>
            </w:r>
            <w:r>
              <w:rPr>
                <w:rFonts w:ascii="Times New Roman" w:hAnsi="Times New Roman" w:eastAsia="宋体"/>
                <w:szCs w:val="21"/>
              </w:rPr>
              <w:instrText xml:space="preserve"> HYPERLINK "http://baike.baidu.com/view/271823.htm" \t "_blank" </w:instrText>
            </w:r>
            <w:r>
              <w:rPr>
                <w:rFonts w:ascii="Times New Roman" w:hAnsi="Times New Roman" w:eastAsia="宋体"/>
                <w:szCs w:val="21"/>
              </w:rPr>
              <w:fldChar w:fldCharType="separate"/>
            </w:r>
            <w:r>
              <w:rPr>
                <w:rFonts w:ascii="Times New Roman" w:hAnsi="Times New Roman" w:eastAsia="宋体"/>
              </w:rPr>
              <w:t>水蒸气</w:t>
            </w:r>
            <w:r>
              <w:rPr>
                <w:rFonts w:ascii="Times New Roman" w:hAnsi="Times New Roman" w:eastAsia="宋体"/>
                <w:szCs w:val="21"/>
              </w:rPr>
              <w:fldChar w:fldCharType="end"/>
            </w:r>
            <w:r>
              <w:rPr>
                <w:rFonts w:ascii="Times New Roman" w:hAnsi="Times New Roman" w:eastAsia="宋体"/>
                <w:szCs w:val="21"/>
              </w:rPr>
              <w:t>大量放热，形成腐蚀性溶液。与酸发生中和反应并放热。具有强腐蚀性。有害燃烧产物：</w:t>
            </w:r>
            <w:r>
              <w:rPr>
                <w:rFonts w:hint="eastAsia" w:ascii="Times New Roman" w:hAnsi="Times New Roman" w:eastAsia="宋体"/>
                <w:szCs w:val="21"/>
              </w:rPr>
              <w:t>可能产生有害的毒性烟雾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791" w:hRule="atLeast"/>
          <w:jc w:val="center"/>
        </w:trPr>
        <w:tc>
          <w:tcPr>
            <w:tcW w:w="827"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毒理学资料</w:t>
            </w:r>
          </w:p>
        </w:tc>
        <w:tc>
          <w:tcPr>
            <w:tcW w:w="7528" w:type="dxa"/>
            <w:gridSpan w:val="6"/>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属中等毒性。危险特性：本品，遇水和水蒸气大量 放热，形成腐蚀性溶液。与酸发生中和反应并放热。具有强腐蚀性。燃烧(分解) 产物：可能产生有害的毒性烟雾。侵入途径：吸入、食入。健康危害：本品有强烈刺激和腐蚀性。粉尘或烟雾刺激眼和呼吸道，腐蚀鼻中隔；皮肤和眼直接接触可引起灼伤；误服可造成消化道灼伤，粘膜糜烂、出血和休克。 危险特性：本品不会燃烧，遇水和水蒸气大量放热，形成腐蚀性溶液。与酸发生中和反应并放热。具有强腐蚀性。燃烧(分解)产物：可能产生有害的毒性烟雾。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97" w:hRule="atLeast"/>
          <w:jc w:val="center"/>
        </w:trPr>
        <w:tc>
          <w:tcPr>
            <w:tcW w:w="82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安</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全</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防</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护</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措</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施</w:t>
            </w: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工程控制</w:t>
            </w:r>
          </w:p>
        </w:tc>
        <w:tc>
          <w:tcPr>
            <w:tcW w:w="6478" w:type="dxa"/>
            <w:gridSpan w:val="5"/>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密闭操作，注意通风。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97" w:hRule="atLeast"/>
          <w:jc w:val="center"/>
        </w:trPr>
        <w:tc>
          <w:tcPr>
            <w:tcW w:w="82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呼吸系统</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防　　护</w:t>
            </w:r>
          </w:p>
        </w:tc>
        <w:tc>
          <w:tcPr>
            <w:tcW w:w="6478" w:type="dxa"/>
            <w:gridSpan w:val="5"/>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必要时佩带防毒口罩。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97" w:hRule="atLeast"/>
          <w:jc w:val="center"/>
        </w:trPr>
        <w:tc>
          <w:tcPr>
            <w:tcW w:w="82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眼睛防护</w:t>
            </w:r>
          </w:p>
        </w:tc>
        <w:tc>
          <w:tcPr>
            <w:tcW w:w="6478" w:type="dxa"/>
            <w:gridSpan w:val="5"/>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戴化学安全防护眼镜。。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97" w:hRule="atLeast"/>
          <w:jc w:val="center"/>
        </w:trPr>
        <w:tc>
          <w:tcPr>
            <w:tcW w:w="82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身体防护</w:t>
            </w:r>
          </w:p>
        </w:tc>
        <w:tc>
          <w:tcPr>
            <w:tcW w:w="6478" w:type="dxa"/>
            <w:gridSpan w:val="5"/>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穿工作服(防腐材料制作)。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97" w:hRule="atLeast"/>
          <w:jc w:val="center"/>
        </w:trPr>
        <w:tc>
          <w:tcPr>
            <w:tcW w:w="82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手 防 护</w:t>
            </w:r>
          </w:p>
        </w:tc>
        <w:tc>
          <w:tcPr>
            <w:tcW w:w="6478" w:type="dxa"/>
            <w:gridSpan w:val="5"/>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戴橡皮手套。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70" w:hRule="atLeast"/>
          <w:jc w:val="center"/>
        </w:trPr>
        <w:tc>
          <w:tcPr>
            <w:tcW w:w="82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其　　他</w:t>
            </w:r>
          </w:p>
        </w:tc>
        <w:tc>
          <w:tcPr>
            <w:tcW w:w="6478" w:type="dxa"/>
            <w:gridSpan w:val="5"/>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工作后，淋浴更衣。注意个人清洁卫生。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0" w:hRule="atLeast"/>
          <w:jc w:val="center"/>
        </w:trPr>
        <w:tc>
          <w:tcPr>
            <w:tcW w:w="827"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应</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急</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措</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施</w:t>
            </w: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急救措施</w:t>
            </w:r>
          </w:p>
        </w:tc>
        <w:tc>
          <w:tcPr>
            <w:tcW w:w="6478" w:type="dxa"/>
            <w:gridSpan w:val="5"/>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皮肤接触：立即用水冲洗至少15分钟。若有灼伤，就医治疗。</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眼睛接触：立即提起眼睑，用流动清水或生理盐水冲洗至少15分钟。或用3%硼酸溶液冲洗。就医。</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吸入：迅速脱离现场至空气新鲜处。必要时进行人工呼吸。就医。</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食入：患者清醒时立即漱口，口服稀释的醋或柠檬汁，就医。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458" w:hRule="atLeast"/>
          <w:jc w:val="center"/>
        </w:trPr>
        <w:tc>
          <w:tcPr>
            <w:tcW w:w="82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泄漏处置</w:t>
            </w:r>
          </w:p>
        </w:tc>
        <w:tc>
          <w:tcPr>
            <w:tcW w:w="6478" w:type="dxa"/>
            <w:gridSpan w:val="5"/>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应急处理： 隔离泄漏污染区，周围设警告标志，建议应急处理人员戴好防毒面具，穿化学防护服。不要直接接触泄漏物，用洁清的铲子收集于干燥净洁有盖的容器中，以少量加入大量水中，调节至中性，再放入废水系统。也可以用大量水冲洗，经稀释的洗水放入废水系统。如大量泄漏，收集回收或无害处理后废弃。</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806" w:hRule="atLeast"/>
          <w:jc w:val="center"/>
        </w:trPr>
        <w:tc>
          <w:tcPr>
            <w:tcW w:w="827"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p>
        </w:tc>
        <w:tc>
          <w:tcPr>
            <w:tcW w:w="1050" w:type="dxa"/>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消防方法</w:t>
            </w:r>
          </w:p>
        </w:tc>
        <w:tc>
          <w:tcPr>
            <w:tcW w:w="6478" w:type="dxa"/>
            <w:gridSpan w:val="5"/>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灭火方法：消防人员必须穿工作服(防腐材料制作)。</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灭火剂：雾状水、砂土。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639" w:hRule="atLeast"/>
          <w:jc w:val="center"/>
        </w:trPr>
        <w:tc>
          <w:tcPr>
            <w:tcW w:w="1877" w:type="dxa"/>
            <w:gridSpan w:val="2"/>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hint="eastAsia" w:ascii="Times New Roman" w:hAnsi="Times New Roman" w:eastAsia="宋体"/>
                <w:szCs w:val="21"/>
              </w:rPr>
              <w:t>主要用途</w:t>
            </w:r>
          </w:p>
        </w:tc>
        <w:tc>
          <w:tcPr>
            <w:tcW w:w="6478" w:type="dxa"/>
            <w:gridSpan w:val="5"/>
            <w:noWrap w:val="0"/>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Cs w:val="21"/>
              </w:rPr>
            </w:pPr>
            <w:r>
              <w:rPr>
                <w:rFonts w:ascii="Times New Roman" w:hAnsi="Times New Roman" w:eastAsia="宋体"/>
                <w:szCs w:val="21"/>
              </w:rPr>
              <w:t>用于制</w:t>
            </w:r>
            <w:r>
              <w:rPr>
                <w:rFonts w:ascii="Times New Roman" w:hAnsi="Times New Roman" w:eastAsia="宋体"/>
                <w:szCs w:val="21"/>
              </w:rPr>
              <w:fldChar w:fldCharType="begin"/>
            </w:r>
            <w:r>
              <w:rPr>
                <w:rFonts w:ascii="Times New Roman" w:hAnsi="Times New Roman" w:eastAsia="宋体"/>
                <w:szCs w:val="21"/>
              </w:rPr>
              <w:instrText xml:space="preserve"> HYPERLINK "http://baike.baidu.com/view/118883.htm" \t "_blank" </w:instrText>
            </w:r>
            <w:r>
              <w:rPr>
                <w:rFonts w:ascii="Times New Roman" w:hAnsi="Times New Roman" w:eastAsia="宋体"/>
                <w:szCs w:val="21"/>
              </w:rPr>
              <w:fldChar w:fldCharType="separate"/>
            </w:r>
            <w:r>
              <w:rPr>
                <w:rFonts w:ascii="Times New Roman" w:hAnsi="Times New Roman" w:eastAsia="宋体"/>
              </w:rPr>
              <w:t>造纸</w:t>
            </w:r>
            <w:r>
              <w:rPr>
                <w:rFonts w:ascii="Times New Roman" w:hAnsi="Times New Roman" w:eastAsia="宋体"/>
                <w:szCs w:val="21"/>
              </w:rPr>
              <w:fldChar w:fldCharType="end"/>
            </w:r>
            <w:r>
              <w:rPr>
                <w:rFonts w:ascii="Times New Roman" w:hAnsi="Times New Roman" w:eastAsia="宋体"/>
                <w:szCs w:val="21"/>
              </w:rPr>
              <w:t>浆、肥皂、染料、</w:t>
            </w:r>
            <w:r>
              <w:rPr>
                <w:rFonts w:ascii="Times New Roman" w:hAnsi="Times New Roman" w:eastAsia="宋体"/>
                <w:szCs w:val="21"/>
              </w:rPr>
              <w:fldChar w:fldCharType="begin"/>
            </w:r>
            <w:r>
              <w:rPr>
                <w:rFonts w:ascii="Times New Roman" w:hAnsi="Times New Roman" w:eastAsia="宋体"/>
                <w:szCs w:val="21"/>
              </w:rPr>
              <w:instrText xml:space="preserve"> HYPERLINK "http://baike.baidu.com/view/957798.htm" \t "_blank" </w:instrText>
            </w:r>
            <w:r>
              <w:rPr>
                <w:rFonts w:ascii="Times New Roman" w:hAnsi="Times New Roman" w:eastAsia="宋体"/>
                <w:szCs w:val="21"/>
              </w:rPr>
              <w:fldChar w:fldCharType="separate"/>
            </w:r>
            <w:r>
              <w:rPr>
                <w:rFonts w:ascii="Times New Roman" w:hAnsi="Times New Roman" w:eastAsia="宋体"/>
              </w:rPr>
              <w:t>人造丝</w:t>
            </w:r>
            <w:r>
              <w:rPr>
                <w:rFonts w:ascii="Times New Roman" w:hAnsi="Times New Roman" w:eastAsia="宋体"/>
                <w:szCs w:val="21"/>
              </w:rPr>
              <w:fldChar w:fldCharType="end"/>
            </w:r>
            <w:r>
              <w:rPr>
                <w:rFonts w:ascii="Times New Roman" w:hAnsi="Times New Roman" w:eastAsia="宋体"/>
                <w:szCs w:val="21"/>
              </w:rPr>
              <w:t>、制铝、</w:t>
            </w:r>
            <w:r>
              <w:rPr>
                <w:rFonts w:ascii="Times New Roman" w:hAnsi="Times New Roman" w:eastAsia="宋体"/>
                <w:szCs w:val="21"/>
              </w:rPr>
              <w:fldChar w:fldCharType="begin"/>
            </w:r>
            <w:r>
              <w:rPr>
                <w:rFonts w:ascii="Times New Roman" w:hAnsi="Times New Roman" w:eastAsia="宋体"/>
                <w:szCs w:val="21"/>
              </w:rPr>
              <w:instrText xml:space="preserve"> HYPERLINK "http://baike.baidu.com/view/453755.htm" \t "_blank" </w:instrText>
            </w:r>
            <w:r>
              <w:rPr>
                <w:rFonts w:ascii="Times New Roman" w:hAnsi="Times New Roman" w:eastAsia="宋体"/>
                <w:szCs w:val="21"/>
              </w:rPr>
              <w:fldChar w:fldCharType="separate"/>
            </w:r>
            <w:r>
              <w:rPr>
                <w:rFonts w:ascii="Times New Roman" w:hAnsi="Times New Roman" w:eastAsia="宋体"/>
              </w:rPr>
              <w:t>石油精</w:t>
            </w:r>
            <w:r>
              <w:rPr>
                <w:rFonts w:ascii="Times New Roman" w:hAnsi="Times New Roman" w:eastAsia="宋体"/>
                <w:szCs w:val="21"/>
              </w:rPr>
              <w:fldChar w:fldCharType="end"/>
            </w:r>
            <w:r>
              <w:rPr>
                <w:rFonts w:ascii="Times New Roman" w:hAnsi="Times New Roman" w:eastAsia="宋体"/>
                <w:szCs w:val="21"/>
              </w:rPr>
              <w:t>制、棉织品整理、</w:t>
            </w:r>
            <w:r>
              <w:rPr>
                <w:rFonts w:ascii="Times New Roman" w:hAnsi="Times New Roman" w:eastAsia="宋体"/>
                <w:szCs w:val="21"/>
              </w:rPr>
              <w:fldChar w:fldCharType="begin"/>
            </w:r>
            <w:r>
              <w:rPr>
                <w:rFonts w:ascii="Times New Roman" w:hAnsi="Times New Roman" w:eastAsia="宋体"/>
                <w:szCs w:val="21"/>
              </w:rPr>
              <w:instrText xml:space="preserve"> HYPERLINK "http://baike.baidu.com/view/122878.htm" \t "_blank" </w:instrText>
            </w:r>
            <w:r>
              <w:rPr>
                <w:rFonts w:ascii="Times New Roman" w:hAnsi="Times New Roman" w:eastAsia="宋体"/>
                <w:szCs w:val="21"/>
              </w:rPr>
              <w:fldChar w:fldCharType="separate"/>
            </w:r>
            <w:r>
              <w:rPr>
                <w:rFonts w:ascii="Times New Roman" w:hAnsi="Times New Roman" w:eastAsia="宋体"/>
              </w:rPr>
              <w:t>煤焦油</w:t>
            </w:r>
            <w:r>
              <w:rPr>
                <w:rFonts w:ascii="Times New Roman" w:hAnsi="Times New Roman" w:eastAsia="宋体"/>
                <w:szCs w:val="21"/>
              </w:rPr>
              <w:fldChar w:fldCharType="end"/>
            </w:r>
            <w:r>
              <w:rPr>
                <w:rFonts w:ascii="Times New Roman" w:hAnsi="Times New Roman" w:eastAsia="宋体"/>
                <w:szCs w:val="21"/>
              </w:rPr>
              <w:t>产物的提纯，以及食品加工、木材加工及机械工业等方面。</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jc w:val="center"/>
        <w:textAlignment w:val="auto"/>
        <w:rPr>
          <w:rFonts w:hint="eastAsia" w:ascii="Times New Roman" w:hAnsi="Times New Roman"/>
          <w:sz w:val="24"/>
          <w:szCs w:val="24"/>
          <w:lang w:val="en-US" w:eastAsia="zh-CN"/>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8</w:t>
      </w:r>
      <w:r>
        <w:rPr>
          <w:rFonts w:hint="eastAsia"/>
          <w:b/>
          <w:bCs/>
          <w:sz w:val="24"/>
          <w:szCs w:val="24"/>
          <w:lang w:val="en-US" w:eastAsia="zh-CN"/>
        </w:rPr>
        <w:t xml:space="preserve">  </w:t>
      </w:r>
      <w:r>
        <w:rPr>
          <w:rFonts w:hint="default" w:ascii="Times New Roman" w:hAnsi="Times New Roman" w:cs="Times New Roman"/>
          <w:b/>
          <w:bCs/>
          <w:sz w:val="24"/>
          <w:szCs w:val="24"/>
          <w:lang w:val="en-US" w:eastAsia="zh-CN"/>
        </w:rPr>
        <w:t>H</w:t>
      </w:r>
      <w:r>
        <w:rPr>
          <w:rFonts w:hint="default" w:ascii="Times New Roman" w:hAnsi="Times New Roman" w:cs="Times New Roman"/>
          <w:b/>
          <w:bCs/>
          <w:sz w:val="24"/>
          <w:szCs w:val="24"/>
          <w:vertAlign w:val="subscript"/>
          <w:lang w:val="en-US" w:eastAsia="zh-CN"/>
        </w:rPr>
        <w:t>2</w:t>
      </w:r>
      <w:r>
        <w:rPr>
          <w:rFonts w:hint="default" w:ascii="Times New Roman" w:hAnsi="Times New Roman" w:cs="Times New Roman"/>
          <w:b/>
          <w:bCs/>
          <w:sz w:val="24"/>
          <w:szCs w:val="24"/>
          <w:lang w:val="en-US" w:eastAsia="zh-CN"/>
        </w:rPr>
        <w:t>O</w:t>
      </w:r>
      <w:r>
        <w:rPr>
          <w:rFonts w:hint="default" w:ascii="Times New Roman" w:hAnsi="Times New Roman" w:cs="Times New Roman"/>
          <w:b/>
          <w:bCs/>
          <w:sz w:val="24"/>
          <w:szCs w:val="24"/>
          <w:vertAlign w:val="subscript"/>
          <w:lang w:val="en-US" w:eastAsia="zh-CN"/>
        </w:rPr>
        <w:t>2</w:t>
      </w:r>
      <w:r>
        <w:rPr>
          <w:rFonts w:hint="eastAsia"/>
          <w:b/>
          <w:bCs/>
          <w:sz w:val="24"/>
          <w:szCs w:val="24"/>
          <w:lang w:val="en-US" w:eastAsia="zh-CN"/>
        </w:rPr>
        <w:t>的理化性质、危险特性及应急防范措施一览表</w:t>
      </w:r>
    </w:p>
    <w:tbl>
      <w:tblPr>
        <w:tblStyle w:val="18"/>
        <w:tblW w:w="5000"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447"/>
        <w:gridCol w:w="1542"/>
        <w:gridCol w:w="1167"/>
        <w:gridCol w:w="816"/>
        <w:gridCol w:w="158"/>
        <w:gridCol w:w="911"/>
        <w:gridCol w:w="1119"/>
        <w:gridCol w:w="157"/>
        <w:gridCol w:w="998"/>
        <w:gridCol w:w="1207"/>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709" w:hRule="atLeast"/>
          <w:jc w:val="center"/>
        </w:trPr>
        <w:tc>
          <w:tcPr>
            <w:tcW w:w="447" w:type="dxa"/>
            <w:vMerge w:val="restart"/>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标识</w:t>
            </w:r>
          </w:p>
        </w:tc>
        <w:tc>
          <w:tcPr>
            <w:tcW w:w="6318" w:type="dxa"/>
            <w:gridSpan w:val="7"/>
            <w:tcBorders>
              <w:top w:val="single" w:color="auto" w:sz="6" w:space="0"/>
              <w:left w:val="single" w:color="auto" w:sz="6" w:space="0"/>
              <w:bottom w:val="single" w:color="auto" w:sz="6" w:space="0"/>
              <w:right w:val="single" w:color="auto" w:sz="6" w:space="0"/>
            </w:tcBorders>
            <w:vAlign w:val="center"/>
          </w:tcPr>
          <w:p>
            <w:pPr>
              <w:spacing w:line="200" w:lineRule="atLeast"/>
              <w:rPr>
                <w:rFonts w:ascii="Times New Roman" w:hAnsi="Times New Roman" w:eastAsia="宋体"/>
                <w:spacing w:val="10"/>
                <w:szCs w:val="21"/>
              </w:rPr>
            </w:pPr>
            <w:r>
              <w:rPr>
                <w:rFonts w:hint="eastAsia" w:ascii="Times New Roman" w:hAnsi="Times New Roman" w:eastAsia="宋体"/>
                <w:spacing w:val="10"/>
                <w:szCs w:val="21"/>
              </w:rPr>
              <w:t>中文名：</w:t>
            </w:r>
            <w:r>
              <w:rPr>
                <w:rFonts w:hint="eastAsia" w:ascii="Times New Roman" w:hAnsi="Times New Roman" w:eastAsia="宋体"/>
                <w:color w:val="000000"/>
                <w:szCs w:val="21"/>
              </w:rPr>
              <w:t>过氧化氢［20%≤含量≤60%］</w:t>
            </w:r>
            <w:r>
              <w:rPr>
                <w:rFonts w:hint="eastAsia" w:ascii="Times New Roman" w:hAnsi="Times New Roman" w:eastAsia="宋体"/>
                <w:spacing w:val="10"/>
                <w:szCs w:val="21"/>
              </w:rPr>
              <w:t>；双氧水</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line="200" w:lineRule="atLeast"/>
              <w:rPr>
                <w:rFonts w:ascii="Times New Roman" w:hAnsi="Times New Roman" w:eastAsia="宋体"/>
                <w:spacing w:val="10"/>
                <w:szCs w:val="21"/>
              </w:rPr>
            </w:pPr>
            <w:r>
              <w:rPr>
                <w:rFonts w:hint="eastAsia" w:ascii="Times New Roman" w:hAnsi="Times New Roman" w:eastAsia="宋体"/>
                <w:spacing w:val="10"/>
                <w:szCs w:val="21"/>
              </w:rPr>
              <w:t>危险货物编号：</w:t>
            </w:r>
            <w:r>
              <w:rPr>
                <w:rFonts w:ascii="Times New Roman" w:hAnsi="Times New Roman" w:eastAsia="宋体"/>
                <w:spacing w:val="10"/>
                <w:szCs w:val="21"/>
              </w:rPr>
              <w:t>51001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590"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6318" w:type="dxa"/>
            <w:gridSpan w:val="7"/>
            <w:tcBorders>
              <w:top w:val="single" w:color="auto" w:sz="6" w:space="0"/>
              <w:left w:val="single" w:color="auto" w:sz="6" w:space="0"/>
              <w:bottom w:val="single" w:color="auto" w:sz="6" w:space="0"/>
              <w:right w:val="single" w:color="auto" w:sz="6" w:space="0"/>
            </w:tcBorders>
            <w:vAlign w:val="center"/>
          </w:tcPr>
          <w:p>
            <w:pPr>
              <w:spacing w:line="240" w:lineRule="exact"/>
              <w:rPr>
                <w:rFonts w:ascii="Times New Roman" w:hAnsi="Times New Roman" w:eastAsia="宋体"/>
                <w:spacing w:val="10"/>
                <w:szCs w:val="21"/>
              </w:rPr>
            </w:pPr>
            <w:r>
              <w:rPr>
                <w:rFonts w:hint="eastAsia" w:ascii="Times New Roman" w:hAnsi="Times New Roman" w:eastAsia="宋体"/>
                <w:spacing w:val="10"/>
                <w:szCs w:val="21"/>
              </w:rPr>
              <w:t>英文名：</w:t>
            </w:r>
            <w:r>
              <w:rPr>
                <w:rFonts w:ascii="Times New Roman" w:hAnsi="Times New Roman" w:eastAsia="宋体"/>
                <w:spacing w:val="10"/>
                <w:szCs w:val="21"/>
              </w:rPr>
              <w:t>Hydrogen peroxide</w:t>
            </w:r>
            <w:r>
              <w:rPr>
                <w:rFonts w:hint="eastAsia" w:ascii="Times New Roman" w:hAnsi="Times New Roman" w:eastAsia="宋体"/>
                <w:spacing w:val="10"/>
                <w:szCs w:val="21"/>
              </w:rPr>
              <w:t>,aqueous solution(with not less than 20％ but not more than 60％ hydrogen peroxide)</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line="200" w:lineRule="atLeast"/>
              <w:rPr>
                <w:rFonts w:ascii="Times New Roman" w:hAnsi="Times New Roman" w:eastAsia="宋体"/>
                <w:spacing w:val="10"/>
                <w:szCs w:val="21"/>
              </w:rPr>
            </w:pPr>
            <w:r>
              <w:rPr>
                <w:rFonts w:ascii="Times New Roman" w:hAnsi="Times New Roman" w:eastAsia="宋体"/>
                <w:spacing w:val="10"/>
                <w:szCs w:val="21"/>
              </w:rPr>
              <w:t>UN编号：201</w:t>
            </w:r>
            <w:r>
              <w:rPr>
                <w:rFonts w:hint="eastAsia" w:ascii="Times New Roman" w:hAnsi="Times New Roman" w:eastAsia="宋体"/>
                <w:spacing w:val="10"/>
                <w:szCs w:val="21"/>
              </w:rPr>
              <w:t>4</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3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2904" w:type="dxa"/>
            <w:gridSpan w:val="2"/>
            <w:tcBorders>
              <w:top w:val="single" w:color="auto" w:sz="6" w:space="0"/>
              <w:left w:val="single" w:color="auto" w:sz="6" w:space="0"/>
              <w:bottom w:val="single" w:color="auto" w:sz="6" w:space="0"/>
              <w:right w:val="single" w:color="auto" w:sz="6" w:space="0"/>
            </w:tcBorders>
            <w:vAlign w:val="center"/>
          </w:tcPr>
          <w:p>
            <w:pPr>
              <w:spacing w:line="200" w:lineRule="atLeast"/>
              <w:rPr>
                <w:rFonts w:ascii="Times New Roman" w:hAnsi="Times New Roman" w:eastAsia="宋体"/>
                <w:spacing w:val="10"/>
                <w:szCs w:val="21"/>
              </w:rPr>
            </w:pPr>
            <w:r>
              <w:rPr>
                <w:rFonts w:hint="eastAsia" w:ascii="Times New Roman" w:hAnsi="Times New Roman" w:eastAsia="宋体"/>
                <w:spacing w:val="10"/>
                <w:szCs w:val="21"/>
              </w:rPr>
              <w:t>分子式：</w:t>
            </w:r>
            <w:r>
              <w:rPr>
                <w:rFonts w:ascii="Times New Roman" w:hAnsi="Times New Roman" w:eastAsia="宋体"/>
                <w:spacing w:val="10"/>
                <w:szCs w:val="21"/>
              </w:rPr>
              <w:t>H</w:t>
            </w:r>
            <w:r>
              <w:rPr>
                <w:rFonts w:ascii="Times New Roman" w:hAnsi="Times New Roman" w:eastAsia="宋体"/>
                <w:spacing w:val="10"/>
                <w:szCs w:val="21"/>
                <w:vertAlign w:val="subscript"/>
              </w:rPr>
              <w:t>2</w:t>
            </w:r>
            <w:r>
              <w:rPr>
                <w:rFonts w:ascii="Times New Roman" w:hAnsi="Times New Roman" w:eastAsia="宋体"/>
                <w:spacing w:val="10"/>
                <w:szCs w:val="21"/>
              </w:rPr>
              <w:t>O</w:t>
            </w:r>
            <w:r>
              <w:rPr>
                <w:rFonts w:ascii="Times New Roman" w:hAnsi="Times New Roman" w:eastAsia="宋体"/>
                <w:spacing w:val="10"/>
                <w:szCs w:val="21"/>
                <w:vertAlign w:val="subscript"/>
              </w:rPr>
              <w:t>2</w:t>
            </w:r>
          </w:p>
        </w:tc>
        <w:tc>
          <w:tcPr>
            <w:tcW w:w="3414" w:type="dxa"/>
            <w:gridSpan w:val="5"/>
            <w:tcBorders>
              <w:top w:val="single" w:color="auto" w:sz="6" w:space="0"/>
              <w:left w:val="single" w:color="auto" w:sz="6" w:space="0"/>
              <w:bottom w:val="single" w:color="auto" w:sz="6" w:space="0"/>
              <w:right w:val="single" w:color="auto" w:sz="6" w:space="0"/>
            </w:tcBorders>
            <w:vAlign w:val="center"/>
          </w:tcPr>
          <w:p>
            <w:pPr>
              <w:spacing w:line="200" w:lineRule="atLeast"/>
              <w:rPr>
                <w:rFonts w:ascii="Times New Roman" w:hAnsi="Times New Roman" w:eastAsia="宋体"/>
                <w:spacing w:val="10"/>
                <w:szCs w:val="21"/>
              </w:rPr>
            </w:pPr>
            <w:r>
              <w:rPr>
                <w:rFonts w:hint="eastAsia" w:ascii="Times New Roman" w:hAnsi="Times New Roman" w:eastAsia="宋体"/>
                <w:spacing w:val="10"/>
                <w:szCs w:val="21"/>
              </w:rPr>
              <w:t>分子量：</w:t>
            </w:r>
            <w:r>
              <w:rPr>
                <w:rFonts w:ascii="Times New Roman" w:hAnsi="Times New Roman" w:eastAsia="宋体"/>
                <w:spacing w:val="10"/>
                <w:szCs w:val="21"/>
              </w:rPr>
              <w:t>34.01</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line="200" w:lineRule="atLeast"/>
              <w:rPr>
                <w:rFonts w:ascii="Times New Roman" w:hAnsi="Times New Roman" w:eastAsia="宋体"/>
                <w:spacing w:val="10"/>
                <w:szCs w:val="21"/>
              </w:rPr>
            </w:pPr>
            <w:r>
              <w:rPr>
                <w:rFonts w:ascii="Times New Roman" w:hAnsi="Times New Roman" w:eastAsia="宋体"/>
                <w:spacing w:val="10"/>
                <w:szCs w:val="21"/>
              </w:rPr>
              <w:t>CAS号：7722-84-1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10" w:hRule="atLeast"/>
          <w:jc w:val="center"/>
        </w:trPr>
        <w:tc>
          <w:tcPr>
            <w:tcW w:w="447" w:type="dxa"/>
            <w:vMerge w:val="restart"/>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理化性质</w:t>
            </w: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外观与性状</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line="200" w:lineRule="atLeast"/>
              <w:rPr>
                <w:rFonts w:ascii="Times New Roman" w:hAnsi="Times New Roman" w:eastAsia="宋体"/>
                <w:spacing w:val="10"/>
                <w:szCs w:val="21"/>
              </w:rPr>
            </w:pPr>
            <w:r>
              <w:rPr>
                <w:rFonts w:ascii="Times New Roman" w:hAnsi="Times New Roman" w:eastAsia="宋体"/>
                <w:szCs w:val="21"/>
              </w:rPr>
              <w:t>无色透明液体，有微弱的特殊气味。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97"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熔点（℃）</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b/>
                <w:spacing w:val="10"/>
                <w:szCs w:val="21"/>
              </w:rPr>
            </w:pPr>
            <w:r>
              <w:rPr>
                <w:rFonts w:ascii="Times New Roman" w:hAnsi="Times New Roman" w:eastAsia="宋体"/>
                <w:szCs w:val="21"/>
              </w:rPr>
              <w:t>-2(无水)</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相对密度</w:t>
            </w:r>
            <w:r>
              <w:rPr>
                <w:rFonts w:ascii="Times New Roman" w:hAnsi="Times New Roman" w:eastAsia="宋体"/>
                <w:spacing w:val="10"/>
                <w:szCs w:val="21"/>
              </w:rPr>
              <w:t>(水=1)</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ascii="Times New Roman" w:hAnsi="Times New Roman" w:eastAsia="宋体"/>
                <w:szCs w:val="21"/>
              </w:rPr>
              <w:t>1.46(无水)</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97"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沸点（℃）</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ascii="Times New Roman" w:hAnsi="Times New Roman" w:eastAsia="宋体"/>
                <w:szCs w:val="21"/>
              </w:rPr>
              <w:t>158(无水)</w:t>
            </w:r>
          </w:p>
        </w:tc>
        <w:tc>
          <w:tcPr>
            <w:tcW w:w="2350" w:type="dxa"/>
            <w:gridSpan w:val="3"/>
            <w:tcBorders>
              <w:top w:val="single" w:color="auto" w:sz="6" w:space="0"/>
              <w:left w:val="single" w:color="auto" w:sz="6" w:space="0"/>
              <w:bottom w:val="single" w:color="auto" w:sz="6" w:space="0"/>
              <w:right w:val="single" w:color="auto" w:sz="6" w:space="0"/>
            </w:tcBorders>
            <w:vAlign w:val="center"/>
          </w:tcPr>
          <w:p>
            <w:pPr>
              <w:spacing w:line="200" w:lineRule="atLeast"/>
              <w:ind w:left="-40" w:leftChars="-19"/>
              <w:jc w:val="center"/>
              <w:rPr>
                <w:rFonts w:ascii="Times New Roman" w:hAnsi="Times New Roman" w:eastAsia="宋体"/>
                <w:spacing w:val="10"/>
                <w:szCs w:val="21"/>
              </w:rPr>
            </w:pPr>
            <w:r>
              <w:rPr>
                <w:rFonts w:hint="eastAsia" w:ascii="Times New Roman" w:hAnsi="Times New Roman" w:eastAsia="宋体"/>
                <w:spacing w:val="10"/>
                <w:szCs w:val="21"/>
              </w:rPr>
              <w:t>饱和蒸气压（</w:t>
            </w:r>
            <w:r>
              <w:rPr>
                <w:rFonts w:ascii="Times New Roman" w:hAnsi="Times New Roman" w:eastAsia="宋体"/>
                <w:spacing w:val="10"/>
                <w:szCs w:val="21"/>
              </w:rPr>
              <w:t>kPa）</w:t>
            </w:r>
          </w:p>
        </w:tc>
        <w:tc>
          <w:tcPr>
            <w:tcW w:w="2351" w:type="dxa"/>
            <w:gridSpan w:val="2"/>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ascii="Times New Roman" w:hAnsi="Times New Roman" w:eastAsia="宋体"/>
                <w:szCs w:val="21"/>
              </w:rPr>
              <w:t>0.13(15.3</w:t>
            </w:r>
            <w:r>
              <w:rPr>
                <w:rFonts w:hint="eastAsia" w:ascii="Times New Roman" w:hAnsi="Times New Roman" w:eastAsia="宋体" w:cs="宋体"/>
                <w:szCs w:val="21"/>
              </w:rPr>
              <w:t>℃</w:t>
            </w:r>
            <w:r>
              <w:rPr>
                <w:rFonts w:ascii="Times New Roman" w:hAnsi="Times New Roman" w:eastAsia="宋体"/>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97"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溶解性</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ascii="Times New Roman" w:hAnsi="Times New Roman" w:eastAsia="宋体"/>
                <w:szCs w:val="21"/>
              </w:rPr>
              <w:t>溶于水、醇、醚，不溶于苯、石油醚。</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77" w:hRule="atLeast"/>
          <w:jc w:val="center"/>
        </w:trPr>
        <w:tc>
          <w:tcPr>
            <w:tcW w:w="447" w:type="dxa"/>
            <w:vMerge w:val="restart"/>
            <w:tcBorders>
              <w:top w:val="single" w:color="auto" w:sz="4" w:space="0"/>
              <w:left w:val="single" w:color="auto" w:sz="6" w:space="0"/>
              <w:bottom w:val="single" w:color="auto" w:sz="6" w:space="0"/>
              <w:right w:val="single" w:color="auto" w:sz="6" w:space="0"/>
            </w:tcBorders>
            <w:vAlign w:val="center"/>
          </w:tcPr>
          <w:p>
            <w:pPr>
              <w:spacing w:line="240" w:lineRule="exact"/>
              <w:jc w:val="center"/>
              <w:rPr>
                <w:rFonts w:ascii="Times New Roman" w:hAnsi="Times New Roman" w:eastAsia="宋体"/>
                <w:spacing w:val="10"/>
                <w:szCs w:val="21"/>
              </w:rPr>
            </w:pPr>
            <w:r>
              <w:rPr>
                <w:rFonts w:hint="eastAsia" w:ascii="Times New Roman" w:hAnsi="Times New Roman" w:eastAsia="宋体"/>
                <w:spacing w:val="10"/>
                <w:szCs w:val="21"/>
              </w:rPr>
              <w:t>毒性及健康危害</w:t>
            </w: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侵入途径</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吸入、食入、经皮吸收</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毒性</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ascii="Times New Roman" w:hAnsi="Times New Roman" w:eastAsia="宋体"/>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108"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健康危害</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line="240" w:lineRule="exact"/>
              <w:rPr>
                <w:rFonts w:ascii="Times New Roman" w:hAnsi="Times New Roman" w:eastAsia="宋体"/>
                <w:spacing w:val="10"/>
                <w:szCs w:val="21"/>
              </w:rPr>
            </w:pPr>
            <w:r>
              <w:rPr>
                <w:rFonts w:ascii="Times New Roman" w:hAnsi="Times New Roman" w:eastAsia="宋体"/>
                <w:szCs w:val="21"/>
              </w:rPr>
              <w:t>吸入本品蒸气或雾对呼吸道有强烈刺激性。眼直接接触液体可致不可逆损伤甚至失明。口服中毒出现腹痛、胸口痛、呼吸困难、呕吐、一时性运动和感觉障碍、体温升高等。个别病例出现视力障碍、癫痫样痉挛、轻瘫。长期接触本品可致接触性皮炎。</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restart"/>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燃烧爆炸危险性</w:t>
            </w: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燃烧性</w:t>
            </w:r>
          </w:p>
        </w:tc>
        <w:tc>
          <w:tcPr>
            <w:tcW w:w="2183" w:type="dxa"/>
            <w:gridSpan w:val="2"/>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zCs w:val="21"/>
              </w:rPr>
              <w:t>助</w:t>
            </w:r>
            <w:r>
              <w:rPr>
                <w:rFonts w:ascii="Times New Roman" w:hAnsi="Times New Roman" w:eastAsia="宋体"/>
                <w:szCs w:val="21"/>
              </w:rPr>
              <w:t>燃</w:t>
            </w:r>
          </w:p>
        </w:tc>
        <w:tc>
          <w:tcPr>
            <w:tcW w:w="2340" w:type="dxa"/>
            <w:gridSpan w:val="3"/>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燃烧分解物</w:t>
            </w:r>
          </w:p>
        </w:tc>
        <w:tc>
          <w:tcPr>
            <w:tcW w:w="2528" w:type="dxa"/>
            <w:gridSpan w:val="3"/>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ascii="Times New Roman" w:hAnsi="Times New Roman" w:eastAsia="宋体"/>
                <w:szCs w:val="21"/>
              </w:rPr>
              <w:t>氧气、水。</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闪点</w:t>
            </w:r>
            <w:r>
              <w:rPr>
                <w:rFonts w:ascii="Times New Roman" w:hAnsi="Times New Roman" w:eastAsia="宋体"/>
                <w:spacing w:val="10"/>
                <w:szCs w:val="21"/>
              </w:rPr>
              <w:t>(℃)</w:t>
            </w:r>
          </w:p>
        </w:tc>
        <w:tc>
          <w:tcPr>
            <w:tcW w:w="2183" w:type="dxa"/>
            <w:gridSpan w:val="2"/>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ascii="Times New Roman" w:hAnsi="Times New Roman" w:eastAsia="宋体"/>
                <w:szCs w:val="21"/>
              </w:rPr>
              <w:t>/</w:t>
            </w:r>
          </w:p>
        </w:tc>
        <w:tc>
          <w:tcPr>
            <w:tcW w:w="2340" w:type="dxa"/>
            <w:gridSpan w:val="3"/>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爆炸上限</w:t>
            </w:r>
            <w:r>
              <w:rPr>
                <w:rFonts w:ascii="Times New Roman" w:hAnsi="Times New Roman" w:eastAsia="宋体"/>
                <w:spacing w:val="10"/>
                <w:szCs w:val="21"/>
              </w:rPr>
              <w:t>%（v%）：</w:t>
            </w:r>
          </w:p>
        </w:tc>
        <w:tc>
          <w:tcPr>
            <w:tcW w:w="2528" w:type="dxa"/>
            <w:gridSpan w:val="3"/>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ascii="Times New Roman" w:hAnsi="Times New Roman" w:eastAsia="宋体"/>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自燃温度</w:t>
            </w:r>
            <w:r>
              <w:rPr>
                <w:rFonts w:ascii="Times New Roman" w:hAnsi="Times New Roman" w:eastAsia="宋体"/>
                <w:spacing w:val="10"/>
                <w:szCs w:val="21"/>
              </w:rPr>
              <w:t>(℃)</w:t>
            </w:r>
          </w:p>
        </w:tc>
        <w:tc>
          <w:tcPr>
            <w:tcW w:w="2183" w:type="dxa"/>
            <w:gridSpan w:val="2"/>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ascii="Times New Roman" w:hAnsi="Times New Roman" w:eastAsia="宋体"/>
                <w:szCs w:val="21"/>
              </w:rPr>
              <w:t>/</w:t>
            </w:r>
          </w:p>
        </w:tc>
        <w:tc>
          <w:tcPr>
            <w:tcW w:w="2340" w:type="dxa"/>
            <w:gridSpan w:val="3"/>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爆炸下限</w:t>
            </w:r>
            <w:r>
              <w:rPr>
                <w:rFonts w:ascii="Times New Roman" w:hAnsi="Times New Roman" w:eastAsia="宋体"/>
                <w:spacing w:val="10"/>
                <w:szCs w:val="21"/>
              </w:rPr>
              <w:t>%（v%）：</w:t>
            </w:r>
          </w:p>
        </w:tc>
        <w:tc>
          <w:tcPr>
            <w:tcW w:w="2528" w:type="dxa"/>
            <w:gridSpan w:val="3"/>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ascii="Times New Roman" w:hAnsi="Times New Roman" w:eastAsia="宋体"/>
                <w:szCs w:val="21"/>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63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危险特性</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line="240" w:lineRule="exact"/>
              <w:rPr>
                <w:rFonts w:ascii="Times New Roman" w:hAnsi="Times New Roman" w:eastAsia="宋体"/>
                <w:spacing w:val="-4"/>
                <w:szCs w:val="21"/>
              </w:rPr>
            </w:pPr>
            <w:r>
              <w:rPr>
                <w:rFonts w:ascii="Times New Roman" w:hAnsi="Times New Roman" w:eastAsia="宋体"/>
                <w:spacing w:val="-4"/>
                <w:szCs w:val="21"/>
              </w:rPr>
              <w:t>爆炸性强氧化剂。过氧化氢本身不燃，但能与可燃物反应放出大量热量和氧气而引起着火爆炸。过氧化氢在pH值为3.5～4.5时最稳定，在碱性溶液中极易分解，在遇强光，特别是短波射线照射时也能发生分解。当加热到 100</w:t>
            </w:r>
            <w:r>
              <w:rPr>
                <w:rFonts w:hint="eastAsia" w:ascii="Times New Roman" w:hAnsi="Times New Roman" w:eastAsia="宋体" w:cs="宋体"/>
                <w:spacing w:val="-4"/>
                <w:szCs w:val="21"/>
              </w:rPr>
              <w:t>℃</w:t>
            </w:r>
            <w:r>
              <w:rPr>
                <w:rFonts w:ascii="Times New Roman" w:hAnsi="Times New Roman" w:eastAsia="宋体"/>
                <w:spacing w:val="-4"/>
                <w:szCs w:val="21"/>
              </w:rPr>
              <w:t>以上时，开始急剧分解。它与许多有机物如糖、淀粉、醇类、石油产品等形成爆炸性混合物，在撞击、受热或电火花作用下能发生爆炸。过氧化氢与许多无机化合物或杂质接触后会迅速分解而导致爆炸，放出大量的热量、氧和水蒸气。大多数重金属（如铁、铜、银、铅、汞、锌、钴、镍、铬、锰等）及其氧化物和盐类都是活性催化剂，尘土、香烟灰、碳粉、铁锈等也能加速分解。浓度超过74％的过氧化氢，在具有适当的点火源或温度的密闭容器中，能产生气相爆炸。</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5"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建规火险分级</w:t>
            </w:r>
          </w:p>
        </w:tc>
        <w:tc>
          <w:tcPr>
            <w:tcW w:w="2183" w:type="dxa"/>
            <w:gridSpan w:val="2"/>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甲</w:t>
            </w:r>
          </w:p>
        </w:tc>
        <w:tc>
          <w:tcPr>
            <w:tcW w:w="1170" w:type="dxa"/>
            <w:gridSpan w:val="2"/>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稳定性</w:t>
            </w:r>
          </w:p>
        </w:tc>
        <w:tc>
          <w:tcPr>
            <w:tcW w:w="1170"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稳定</w:t>
            </w:r>
          </w:p>
        </w:tc>
        <w:tc>
          <w:tcPr>
            <w:tcW w:w="1264" w:type="dxa"/>
            <w:gridSpan w:val="2"/>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聚合危害</w:t>
            </w:r>
          </w:p>
        </w:tc>
        <w:tc>
          <w:tcPr>
            <w:tcW w:w="1264"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不聚合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97"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line="200" w:lineRule="atLeast"/>
              <w:jc w:val="center"/>
              <w:rPr>
                <w:rFonts w:ascii="Times New Roman" w:hAnsi="Times New Roman" w:eastAsia="宋体"/>
                <w:spacing w:val="10"/>
                <w:szCs w:val="21"/>
              </w:rPr>
            </w:pPr>
            <w:r>
              <w:rPr>
                <w:rFonts w:hint="eastAsia" w:ascii="Times New Roman" w:hAnsi="Times New Roman" w:eastAsia="宋体"/>
                <w:spacing w:val="10"/>
                <w:szCs w:val="21"/>
              </w:rPr>
              <w:t>禁忌物</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spacing w:line="200" w:lineRule="atLeast"/>
              <w:rPr>
                <w:rFonts w:ascii="Times New Roman" w:hAnsi="Times New Roman" w:eastAsia="宋体"/>
                <w:b/>
                <w:spacing w:val="10"/>
                <w:szCs w:val="21"/>
              </w:rPr>
            </w:pPr>
            <w:r>
              <w:rPr>
                <w:rFonts w:ascii="Times New Roman" w:hAnsi="Times New Roman" w:eastAsia="宋体"/>
                <w:szCs w:val="21"/>
              </w:rPr>
              <w:t>易燃或可燃物、强还原剂、铜、铁、铁盐、锌、活性金属粉末。</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058" w:hRule="atLeast"/>
          <w:jc w:val="center"/>
        </w:trPr>
        <w:tc>
          <w:tcPr>
            <w:tcW w:w="447"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200" w:lineRule="atLeast"/>
              <w:jc w:val="left"/>
              <w:rPr>
                <w:rFonts w:ascii="Times New Roman" w:hAnsi="Times New Roman" w:eastAsia="宋体"/>
                <w:spacing w:val="10"/>
                <w:szCs w:val="21"/>
              </w:rPr>
            </w:pPr>
          </w:p>
        </w:tc>
        <w:tc>
          <w:tcPr>
            <w:tcW w:w="1618" w:type="dxa"/>
            <w:tcBorders>
              <w:top w:val="single" w:color="auto" w:sz="6" w:space="0"/>
              <w:left w:val="single" w:color="auto" w:sz="6" w:space="0"/>
              <w:bottom w:val="single" w:color="auto" w:sz="6" w:space="0"/>
              <w:right w:val="single" w:color="auto" w:sz="6" w:space="0"/>
            </w:tcBorders>
            <w:vAlign w:val="center"/>
          </w:tcPr>
          <w:p>
            <w:pPr>
              <w:spacing w:line="240" w:lineRule="exact"/>
              <w:jc w:val="center"/>
              <w:rPr>
                <w:rFonts w:ascii="Times New Roman" w:hAnsi="Times New Roman" w:eastAsia="宋体"/>
                <w:spacing w:val="10"/>
                <w:szCs w:val="21"/>
              </w:rPr>
            </w:pPr>
            <w:r>
              <w:rPr>
                <w:rFonts w:hint="eastAsia" w:ascii="Times New Roman" w:hAnsi="Times New Roman" w:eastAsia="宋体"/>
                <w:spacing w:val="10"/>
                <w:szCs w:val="21"/>
              </w:rPr>
              <w:t>灭火方法</w:t>
            </w:r>
          </w:p>
        </w:tc>
        <w:tc>
          <w:tcPr>
            <w:tcW w:w="7051" w:type="dxa"/>
            <w:gridSpan w:val="8"/>
            <w:tcBorders>
              <w:top w:val="single" w:color="auto" w:sz="6" w:space="0"/>
              <w:left w:val="single" w:color="auto" w:sz="6" w:space="0"/>
              <w:bottom w:val="single" w:color="auto" w:sz="6" w:space="0"/>
              <w:right w:val="single" w:color="auto" w:sz="6" w:space="0"/>
            </w:tcBorders>
            <w:vAlign w:val="center"/>
          </w:tcPr>
          <w:p>
            <w:pPr>
              <w:pStyle w:val="29"/>
              <w:widowControl w:val="0"/>
              <w:pBdr>
                <w:bottom w:val="none" w:color="auto" w:sz="0" w:space="0"/>
                <w:right w:val="none" w:color="auto" w:sz="0" w:space="0"/>
              </w:pBdr>
              <w:spacing w:before="0" w:beforeAutospacing="0" w:after="0" w:afterAutospacing="0" w:line="240" w:lineRule="exact"/>
              <w:rPr>
                <w:rFonts w:ascii="Times New Roman" w:hAnsi="Times New Roman" w:eastAsia="宋体"/>
                <w:spacing w:val="-6"/>
                <w:kern w:val="2"/>
              </w:rPr>
            </w:pPr>
            <w:r>
              <w:rPr>
                <w:rFonts w:ascii="Times New Roman" w:hAnsi="Times New Roman" w:eastAsia="宋体"/>
                <w:spacing w:val="-6"/>
              </w:rPr>
              <w:t>消防人员必须穿全身防火防毒服，在上风向灭火。尽可能将容器从火场移至空旷处。喷水保持火场容器冷却，直至灭火结束。处在火场中的容器若已变色或从安全泄压装置中产生声音，必须马上撤离。灭火剂：水、雾状水、干粉、砂土。</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145" w:hRule="atLeast"/>
          <w:jc w:val="center"/>
        </w:trPr>
        <w:tc>
          <w:tcPr>
            <w:tcW w:w="447" w:type="dxa"/>
            <w:tcBorders>
              <w:top w:val="single" w:color="auto" w:sz="6" w:space="0"/>
              <w:left w:val="single" w:color="auto" w:sz="6" w:space="0"/>
              <w:bottom w:val="single" w:color="auto" w:sz="6" w:space="0"/>
              <w:right w:val="single" w:color="auto" w:sz="6" w:space="0"/>
            </w:tcBorders>
            <w:vAlign w:val="center"/>
          </w:tcPr>
          <w:p>
            <w:pPr>
              <w:pStyle w:val="30"/>
              <w:widowControl w:val="0"/>
              <w:pBdr>
                <w:left w:val="none" w:color="auto" w:sz="0" w:space="0"/>
                <w:right w:val="none" w:color="auto" w:sz="0" w:space="0"/>
              </w:pBdr>
              <w:adjustRightInd w:val="0"/>
              <w:snapToGrid w:val="0"/>
              <w:spacing w:before="0" w:beforeAutospacing="0" w:after="0" w:afterAutospacing="0" w:line="240" w:lineRule="exact"/>
              <w:rPr>
                <w:rFonts w:ascii="Times New Roman" w:hAnsi="Times New Roman" w:eastAsia="宋体"/>
                <w:spacing w:val="10"/>
                <w:kern w:val="2"/>
                <w:sz w:val="21"/>
                <w:szCs w:val="21"/>
              </w:rPr>
            </w:pPr>
            <w:r>
              <w:rPr>
                <w:rFonts w:hint="eastAsia" w:ascii="Times New Roman" w:hAnsi="Times New Roman" w:eastAsia="宋体"/>
                <w:kern w:val="2"/>
                <w:sz w:val="21"/>
                <w:szCs w:val="21"/>
              </w:rPr>
              <w:t>急救措施</w:t>
            </w:r>
          </w:p>
        </w:tc>
        <w:tc>
          <w:tcPr>
            <w:tcW w:w="8669"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exact"/>
              <w:rPr>
                <w:rFonts w:ascii="Times New Roman" w:hAnsi="Times New Roman" w:eastAsia="宋体" w:cs="宋体"/>
                <w:spacing w:val="10"/>
                <w:szCs w:val="21"/>
              </w:rPr>
            </w:pPr>
            <w:r>
              <w:rPr>
                <w:rFonts w:hint="eastAsia" w:ascii="Times New Roman" w:hAnsi="Times New Roman" w:eastAsia="宋体"/>
                <w:szCs w:val="21"/>
              </w:rPr>
              <w:t>①</w:t>
            </w:r>
            <w:r>
              <w:rPr>
                <w:rFonts w:ascii="Times New Roman" w:hAnsi="Times New Roman" w:eastAsia="宋体"/>
                <w:szCs w:val="21"/>
              </w:rPr>
              <w:t>皮肤接触：脱去污染的衣着，用大量流动清水冲洗。</w:t>
            </w:r>
            <w:r>
              <w:rPr>
                <w:rFonts w:hint="eastAsia" w:ascii="Times New Roman" w:hAnsi="Times New Roman" w:eastAsia="宋体"/>
                <w:szCs w:val="21"/>
              </w:rPr>
              <w:t>②</w:t>
            </w:r>
            <w:r>
              <w:rPr>
                <w:rFonts w:ascii="Times New Roman" w:hAnsi="Times New Roman" w:eastAsia="宋体"/>
                <w:szCs w:val="21"/>
              </w:rPr>
              <w:t>眼睛接触：立即提起眼睑，用大量流动清水或生理盐水彻底冲洗至少15分钟。就医。</w:t>
            </w:r>
            <w:r>
              <w:rPr>
                <w:rFonts w:hint="eastAsia" w:ascii="Times New Roman" w:hAnsi="Times New Roman" w:eastAsia="宋体"/>
                <w:szCs w:val="21"/>
              </w:rPr>
              <w:t>③</w:t>
            </w:r>
            <w:r>
              <w:rPr>
                <w:rFonts w:ascii="Times New Roman" w:hAnsi="Times New Roman" w:eastAsia="宋体"/>
                <w:szCs w:val="21"/>
              </w:rPr>
              <w:t>吸入：迅速脱离现场至空气新鲜处。保持呼吸道通畅。如呼吸困难，给输氧。如呼吸停止，立即进行人工呼吸。就医。</w:t>
            </w:r>
            <w:r>
              <w:rPr>
                <w:rFonts w:hint="eastAsia" w:ascii="Times New Roman" w:hAnsi="Times New Roman" w:eastAsia="宋体"/>
                <w:szCs w:val="21"/>
              </w:rPr>
              <w:t>④食入：</w:t>
            </w:r>
            <w:r>
              <w:rPr>
                <w:rFonts w:ascii="Times New Roman" w:hAnsi="Times New Roman" w:eastAsia="宋体"/>
                <w:szCs w:val="21"/>
              </w:rPr>
              <w:t>饮足量温水，催吐。就医。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1638" w:hRule="atLeast"/>
          <w:jc w:val="center"/>
        </w:trPr>
        <w:tc>
          <w:tcPr>
            <w:tcW w:w="447" w:type="dxa"/>
            <w:tcBorders>
              <w:top w:val="single" w:color="auto" w:sz="6" w:space="0"/>
              <w:left w:val="single" w:color="auto" w:sz="6" w:space="0"/>
              <w:bottom w:val="single" w:color="auto" w:sz="6" w:space="0"/>
              <w:right w:val="single" w:color="auto" w:sz="6" w:space="0"/>
            </w:tcBorders>
            <w:vAlign w:val="center"/>
          </w:tcPr>
          <w:p>
            <w:pPr>
              <w:pStyle w:val="30"/>
              <w:widowControl w:val="0"/>
              <w:pBdr>
                <w:left w:val="none" w:color="auto" w:sz="0" w:space="0"/>
                <w:right w:val="none" w:color="auto" w:sz="0" w:space="0"/>
              </w:pBdr>
              <w:adjustRightInd w:val="0"/>
              <w:snapToGrid w:val="0"/>
              <w:spacing w:before="0" w:beforeAutospacing="0" w:after="0" w:afterAutospacing="0" w:line="200" w:lineRule="atLeast"/>
              <w:rPr>
                <w:rFonts w:ascii="Times New Roman" w:hAnsi="Times New Roman" w:eastAsia="宋体"/>
                <w:kern w:val="2"/>
                <w:sz w:val="21"/>
                <w:szCs w:val="21"/>
              </w:rPr>
            </w:pPr>
            <w:r>
              <w:rPr>
                <w:rFonts w:hint="eastAsia" w:ascii="Times New Roman" w:hAnsi="Times New Roman" w:eastAsia="宋体" w:cs="宋体"/>
                <w:sz w:val="21"/>
                <w:szCs w:val="21"/>
              </w:rPr>
              <w:t>泄漏处置</w:t>
            </w:r>
          </w:p>
        </w:tc>
        <w:tc>
          <w:tcPr>
            <w:tcW w:w="8669"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exact"/>
              <w:rPr>
                <w:rFonts w:ascii="Times New Roman" w:hAnsi="Times New Roman" w:eastAsia="宋体"/>
                <w:b/>
                <w:szCs w:val="21"/>
              </w:rPr>
            </w:pPr>
            <w:r>
              <w:rPr>
                <w:rFonts w:ascii="Times New Roman" w:hAnsi="Times New Roman" w:eastAsia="宋体"/>
                <w:szCs w:val="21"/>
              </w:rPr>
              <w:t>迅速撤离泄漏污染区人员至安全区，并进行隔离，严格限制出入。建议应急处理人员戴自给正压式呼吸器，穿防毒服。尽可能切断泄漏源。防止流入下水道、排洪沟等限制性空间。小量泄漏：用砂土、蛭石或其它惰性材料吸收。也可以用大量水冲洗，洗水稀释后放入废水系统。大量泄漏：构筑围堤或挖坑收容。喷雾状水冷却和稀释蒸汽、保护现场人员、把泄漏物稀释成不燃物。用泵转移至槽车或专用收集器内，回收或运至废物处理场所处置。</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90" w:hRule="atLeast"/>
          <w:jc w:val="center"/>
        </w:trPr>
        <w:tc>
          <w:tcPr>
            <w:tcW w:w="447" w:type="dxa"/>
            <w:tcBorders>
              <w:top w:val="single" w:color="auto" w:sz="6" w:space="0"/>
              <w:left w:val="single" w:color="auto" w:sz="6" w:space="0"/>
              <w:bottom w:val="single" w:color="auto" w:sz="6" w:space="0"/>
              <w:right w:val="single" w:color="auto" w:sz="6" w:space="0"/>
            </w:tcBorders>
            <w:vAlign w:val="center"/>
          </w:tcPr>
          <w:p>
            <w:pPr>
              <w:pStyle w:val="30"/>
              <w:widowControl w:val="0"/>
              <w:pBdr>
                <w:left w:val="none" w:color="auto" w:sz="0" w:space="0"/>
                <w:right w:val="none" w:color="auto" w:sz="0" w:space="0"/>
              </w:pBdr>
              <w:adjustRightInd w:val="0"/>
              <w:snapToGrid w:val="0"/>
              <w:spacing w:before="0" w:beforeAutospacing="0" w:after="0" w:afterAutospacing="0" w:line="200" w:lineRule="atLeast"/>
              <w:rPr>
                <w:rFonts w:ascii="Times New Roman" w:hAnsi="Times New Roman" w:eastAsia="宋体" w:cs="宋体"/>
                <w:sz w:val="21"/>
                <w:szCs w:val="21"/>
              </w:rPr>
            </w:pPr>
            <w:r>
              <w:rPr>
                <w:rFonts w:hint="eastAsia" w:ascii="Times New Roman" w:hAnsi="Times New Roman" w:eastAsia="宋体" w:cs="宋体"/>
                <w:sz w:val="21"/>
                <w:szCs w:val="21"/>
              </w:rPr>
              <w:t>储运注意事项</w:t>
            </w:r>
          </w:p>
        </w:tc>
        <w:tc>
          <w:tcPr>
            <w:tcW w:w="8669" w:type="dxa"/>
            <w:gridSpan w:val="9"/>
            <w:tcBorders>
              <w:top w:val="single" w:color="auto" w:sz="6" w:space="0"/>
              <w:left w:val="single" w:color="auto" w:sz="6" w:space="0"/>
              <w:bottom w:val="single" w:color="auto" w:sz="6" w:space="0"/>
              <w:right w:val="single" w:color="auto" w:sz="6" w:space="0"/>
            </w:tcBorders>
            <w:vAlign w:val="center"/>
          </w:tcPr>
          <w:p>
            <w:pPr>
              <w:adjustRightInd w:val="0"/>
              <w:snapToGrid w:val="0"/>
              <w:spacing w:line="240" w:lineRule="exact"/>
              <w:rPr>
                <w:rFonts w:ascii="Times New Roman" w:hAnsi="Times New Roman" w:eastAsia="宋体"/>
                <w:spacing w:val="-4"/>
                <w:szCs w:val="21"/>
              </w:rPr>
            </w:pPr>
            <w:r>
              <w:rPr>
                <w:rFonts w:hint="eastAsia" w:ascii="Times New Roman" w:hAnsi="Times New Roman" w:eastAsia="宋体"/>
                <w:spacing w:val="-4"/>
                <w:szCs w:val="21"/>
              </w:rPr>
              <w:t>①</w:t>
            </w:r>
            <w:r>
              <w:rPr>
                <w:rFonts w:ascii="Times New Roman" w:hAnsi="Times New Roman" w:eastAsia="宋体"/>
                <w:spacing w:val="-4"/>
                <w:szCs w:val="21"/>
              </w:rPr>
              <w:t>储存注意事项：储存于阴凉、通风的库房。远离火种、热源。库温不宜超过30</w:t>
            </w:r>
            <w:r>
              <w:rPr>
                <w:rFonts w:hint="eastAsia" w:ascii="Times New Roman" w:hAnsi="Times New Roman" w:eastAsia="宋体" w:cs="宋体"/>
                <w:spacing w:val="-4"/>
                <w:szCs w:val="21"/>
              </w:rPr>
              <w:t>℃</w:t>
            </w:r>
            <w:r>
              <w:rPr>
                <w:rFonts w:ascii="Times New Roman" w:hAnsi="Times New Roman" w:eastAsia="宋体"/>
                <w:spacing w:val="-4"/>
                <w:szCs w:val="21"/>
              </w:rPr>
              <w:t>。保持容器密封。应与易（可）燃物、还原剂、活性金属粉末等分开存放，切忌混储。储区应备有泄漏应急处理设备和合适的收容材料。</w:t>
            </w:r>
          </w:p>
          <w:p>
            <w:pPr>
              <w:adjustRightInd w:val="0"/>
              <w:snapToGrid w:val="0"/>
              <w:spacing w:line="240" w:lineRule="exact"/>
              <w:rPr>
                <w:rFonts w:ascii="Times New Roman" w:hAnsi="Times New Roman" w:eastAsia="宋体"/>
                <w:b/>
                <w:szCs w:val="21"/>
              </w:rPr>
            </w:pPr>
            <w:r>
              <w:rPr>
                <w:rFonts w:hint="eastAsia" w:ascii="Times New Roman" w:hAnsi="Times New Roman" w:eastAsia="宋体"/>
                <w:spacing w:val="-4"/>
                <w:szCs w:val="21"/>
              </w:rPr>
              <w:t>②</w:t>
            </w:r>
            <w:r>
              <w:rPr>
                <w:rFonts w:ascii="Times New Roman" w:hAnsi="Times New Roman" w:eastAsia="宋体"/>
                <w:spacing w:val="-4"/>
                <w:szCs w:val="21"/>
              </w:rPr>
              <w:t>运输注意事项：双氧水应添加足够的稳定剂。含量≥40% 的双氧水，运输时须经铁路局批准。双氧水限用全钢棚车按规定办理运输。试剂包装（含量＜40% ），可以按零担办理。设计的桶、罐、箱，须包装试验合格，并经铁路局批准；含量≤3%的双氧水，可按普通货物条件运输。铁路运输时应严格按照铁道部《危险货物运输规则》中的危险货物配装表进行配装。运输时单独装运，运输过程中要确保容器不泄漏、不倒塌、不坠落、不损坏。严禁与酸类、易燃物、有机物、还原剂、自燃物品、遇湿易燃物品等并车混运。运输时车速不宜过快，不得强行超车。公路运输时要按规定路线行驶。运输车辆装卸前后，均应彻底清扫、洗净，严禁混入有机物、易燃物等杂质。</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jc w:val="center"/>
        <w:textAlignment w:val="auto"/>
        <w:rPr>
          <w:rFonts w:hint="eastAsia" w:ascii="Times New Roman" w:hAnsi="Times New Roman"/>
          <w:sz w:val="24"/>
          <w:szCs w:val="24"/>
          <w:lang w:val="en-US" w:eastAsia="zh-CN"/>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9</w:t>
      </w:r>
      <w:r>
        <w:rPr>
          <w:rFonts w:hint="eastAsia"/>
          <w:b/>
          <w:bCs/>
          <w:sz w:val="24"/>
          <w:szCs w:val="24"/>
          <w:lang w:val="en-US" w:eastAsia="zh-CN"/>
        </w:rPr>
        <w:t xml:space="preserve">  氨水的理化性质、危险特性及应急防范措施一览表</w:t>
      </w:r>
    </w:p>
    <w:tbl>
      <w:tblPr>
        <w:tblStyle w:val="18"/>
        <w:tblW w:w="8541" w:type="dxa"/>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fixed"/>
        <w:tblCellMar>
          <w:top w:w="0" w:type="dxa"/>
          <w:left w:w="108" w:type="dxa"/>
          <w:bottom w:w="0" w:type="dxa"/>
          <w:right w:w="108" w:type="dxa"/>
        </w:tblCellMar>
      </w:tblPr>
      <w:tblGrid>
        <w:gridCol w:w="476"/>
        <w:gridCol w:w="1558"/>
        <w:gridCol w:w="1202"/>
        <w:gridCol w:w="255"/>
        <w:gridCol w:w="343"/>
        <w:gridCol w:w="1236"/>
        <w:gridCol w:w="384"/>
        <w:gridCol w:w="720"/>
        <w:gridCol w:w="180"/>
        <w:gridCol w:w="1455"/>
        <w:gridCol w:w="467"/>
        <w:gridCol w:w="265"/>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99"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标识</w:t>
            </w:r>
          </w:p>
        </w:tc>
        <w:tc>
          <w:tcPr>
            <w:tcW w:w="5698" w:type="dxa"/>
            <w:gridSpan w:val="7"/>
            <w:tcBorders>
              <w:top w:val="single" w:color="auto" w:sz="6" w:space="0"/>
              <w:left w:val="single" w:color="auto" w:sz="6" w:space="0"/>
              <w:bottom w:val="single" w:color="auto" w:sz="6" w:space="0"/>
              <w:right w:val="single" w:color="auto" w:sz="6" w:space="0"/>
            </w:tcBorders>
            <w:vAlign w:val="center"/>
          </w:tcPr>
          <w:p>
            <w:pPr>
              <w:spacing w:line="360" w:lineRule="exact"/>
              <w:rPr>
                <w:rFonts w:ascii="Times New Roman" w:hAnsi="Times New Roman" w:eastAsia="宋体" w:cs="Arial"/>
                <w:spacing w:val="10"/>
              </w:rPr>
            </w:pPr>
            <w:r>
              <w:rPr>
                <w:rFonts w:ascii="Times New Roman" w:hAnsi="Times New Roman" w:eastAsia="宋体" w:cs="Arial"/>
                <w:spacing w:val="10"/>
              </w:rPr>
              <w:t>中文名：</w:t>
            </w:r>
            <w:r>
              <w:rPr>
                <w:rFonts w:ascii="Times New Roman" w:hAnsi="Times New Roman" w:eastAsia="宋体" w:cs="Arial"/>
              </w:rPr>
              <w:t>氨溶液[10%＜含氨</w:t>
            </w:r>
            <w:r>
              <w:rPr>
                <w:rFonts w:hint="eastAsia" w:ascii="Times New Roman" w:hAnsi="Times New Roman" w:eastAsia="宋体" w:cs="Arial"/>
              </w:rPr>
              <w:t>≤</w:t>
            </w:r>
            <w:r>
              <w:rPr>
                <w:rFonts w:ascii="Times New Roman" w:hAnsi="Times New Roman" w:eastAsia="宋体" w:cs="Arial"/>
              </w:rPr>
              <w:t>35%]</w:t>
            </w:r>
            <w:r>
              <w:rPr>
                <w:rFonts w:ascii="Times New Roman" w:hAnsi="Times New Roman" w:eastAsia="宋体" w:cs="Arial"/>
                <w:spacing w:val="10"/>
              </w:rPr>
              <w:t>；</w:t>
            </w:r>
            <w:r>
              <w:rPr>
                <w:rFonts w:ascii="Times New Roman" w:hAnsi="Times New Roman" w:eastAsia="宋体" w:cs="Arial"/>
              </w:rPr>
              <w:t>氢氧化铵；氨水</w:t>
            </w:r>
          </w:p>
        </w:tc>
        <w:tc>
          <w:tcPr>
            <w:tcW w:w="2367" w:type="dxa"/>
            <w:gridSpan w:val="4"/>
            <w:tcBorders>
              <w:top w:val="single" w:color="auto" w:sz="6" w:space="0"/>
              <w:left w:val="single" w:color="auto" w:sz="6" w:space="0"/>
              <w:bottom w:val="single" w:color="auto" w:sz="6" w:space="0"/>
              <w:right w:val="single" w:color="auto" w:sz="6" w:space="0"/>
            </w:tcBorders>
            <w:vAlign w:val="center"/>
          </w:tcPr>
          <w:p>
            <w:pPr>
              <w:spacing w:line="360" w:lineRule="exact"/>
              <w:rPr>
                <w:rFonts w:ascii="Times New Roman" w:hAnsi="Times New Roman" w:eastAsia="宋体" w:cs="Arial"/>
                <w:spacing w:val="10"/>
              </w:rPr>
            </w:pPr>
            <w:r>
              <w:rPr>
                <w:rFonts w:ascii="Times New Roman" w:hAnsi="Times New Roman" w:eastAsia="宋体" w:cs="Arial"/>
                <w:spacing w:val="10"/>
              </w:rPr>
              <w:t>危险货物编号：</w:t>
            </w:r>
            <w:r>
              <w:rPr>
                <w:rFonts w:ascii="Times New Roman" w:hAnsi="Times New Roman" w:eastAsia="宋体" w:cs="Arial"/>
              </w:rPr>
              <w:t>82503</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75"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5698" w:type="dxa"/>
            <w:gridSpan w:val="7"/>
            <w:tcBorders>
              <w:top w:val="single" w:color="auto" w:sz="6" w:space="0"/>
              <w:left w:val="single" w:color="auto" w:sz="6" w:space="0"/>
              <w:bottom w:val="single" w:color="auto" w:sz="6" w:space="0"/>
              <w:right w:val="single" w:color="auto" w:sz="6" w:space="0"/>
            </w:tcBorders>
            <w:vAlign w:val="center"/>
          </w:tcPr>
          <w:p>
            <w:pPr>
              <w:spacing w:line="360" w:lineRule="exact"/>
              <w:rPr>
                <w:rFonts w:ascii="Times New Roman" w:hAnsi="Times New Roman" w:eastAsia="宋体" w:cs="Arial"/>
                <w:spacing w:val="10"/>
                <w:szCs w:val="21"/>
              </w:rPr>
            </w:pPr>
            <w:r>
              <w:rPr>
                <w:rFonts w:ascii="Times New Roman" w:hAnsi="Times New Roman" w:eastAsia="宋体" w:cs="Arial"/>
                <w:spacing w:val="10"/>
                <w:szCs w:val="21"/>
              </w:rPr>
              <w:t>英文名：</w:t>
            </w:r>
            <w:r>
              <w:rPr>
                <w:rFonts w:ascii="Times New Roman" w:hAnsi="Times New Roman" w:eastAsia="宋体" w:cs="Arial"/>
              </w:rPr>
              <w:t>Ammonium hydroxide；Ammonia water</w:t>
            </w:r>
          </w:p>
        </w:tc>
        <w:tc>
          <w:tcPr>
            <w:tcW w:w="2367" w:type="dxa"/>
            <w:gridSpan w:val="4"/>
            <w:tcBorders>
              <w:top w:val="single" w:color="auto" w:sz="6" w:space="0"/>
              <w:left w:val="single" w:color="auto" w:sz="6" w:space="0"/>
              <w:bottom w:val="single" w:color="auto" w:sz="6" w:space="0"/>
              <w:right w:val="single" w:color="auto" w:sz="6" w:space="0"/>
            </w:tcBorders>
            <w:vAlign w:val="center"/>
          </w:tcPr>
          <w:p>
            <w:pPr>
              <w:spacing w:line="360" w:lineRule="exact"/>
              <w:rPr>
                <w:rFonts w:ascii="Times New Roman" w:hAnsi="Times New Roman" w:eastAsia="宋体" w:cs="Arial"/>
                <w:spacing w:val="10"/>
              </w:rPr>
            </w:pPr>
            <w:r>
              <w:rPr>
                <w:rFonts w:ascii="Times New Roman" w:hAnsi="Times New Roman" w:eastAsia="宋体" w:cs="Arial"/>
                <w:spacing w:val="10"/>
              </w:rPr>
              <w:t>UN编号：2672</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51"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3015" w:type="dxa"/>
            <w:gridSpan w:val="3"/>
            <w:tcBorders>
              <w:top w:val="single" w:color="auto" w:sz="6" w:space="0"/>
              <w:left w:val="single" w:color="auto" w:sz="6" w:space="0"/>
              <w:bottom w:val="single" w:color="auto" w:sz="6" w:space="0"/>
              <w:right w:val="single" w:color="auto" w:sz="6" w:space="0"/>
            </w:tcBorders>
            <w:vAlign w:val="center"/>
          </w:tcPr>
          <w:p>
            <w:pPr>
              <w:spacing w:line="360" w:lineRule="exact"/>
              <w:ind w:left="920" w:hanging="920" w:hangingChars="400"/>
              <w:rPr>
                <w:rFonts w:ascii="Times New Roman" w:hAnsi="Times New Roman" w:eastAsia="宋体" w:cs="Arial"/>
                <w:spacing w:val="10"/>
              </w:rPr>
            </w:pPr>
            <w:r>
              <w:rPr>
                <w:rFonts w:ascii="Times New Roman" w:hAnsi="Times New Roman" w:eastAsia="宋体" w:cs="Arial"/>
                <w:spacing w:val="10"/>
              </w:rPr>
              <w:t>分子式：</w:t>
            </w:r>
            <w:r>
              <w:rPr>
                <w:rFonts w:ascii="Times New Roman" w:hAnsi="Times New Roman" w:eastAsia="宋体" w:cs="Arial"/>
              </w:rPr>
              <w:t>NH</w:t>
            </w:r>
            <w:r>
              <w:rPr>
                <w:rFonts w:ascii="Times New Roman" w:hAnsi="Times New Roman" w:eastAsia="宋体" w:cs="Arial"/>
                <w:vertAlign w:val="subscript"/>
              </w:rPr>
              <w:t>4</w:t>
            </w:r>
            <w:r>
              <w:rPr>
                <w:rFonts w:ascii="Times New Roman" w:hAnsi="Times New Roman" w:eastAsia="宋体" w:cs="Arial"/>
              </w:rPr>
              <w:t>OH</w:t>
            </w:r>
          </w:p>
        </w:tc>
        <w:tc>
          <w:tcPr>
            <w:tcW w:w="2683" w:type="dxa"/>
            <w:gridSpan w:val="4"/>
            <w:tcBorders>
              <w:top w:val="single" w:color="auto" w:sz="6" w:space="0"/>
              <w:left w:val="single" w:color="auto" w:sz="6" w:space="0"/>
              <w:bottom w:val="single" w:color="auto" w:sz="6" w:space="0"/>
              <w:right w:val="single" w:color="auto" w:sz="6" w:space="0"/>
            </w:tcBorders>
            <w:vAlign w:val="center"/>
          </w:tcPr>
          <w:p>
            <w:pPr>
              <w:spacing w:line="360" w:lineRule="exact"/>
              <w:rPr>
                <w:rFonts w:ascii="Times New Roman" w:hAnsi="Times New Roman" w:eastAsia="宋体" w:cs="Arial"/>
                <w:spacing w:val="10"/>
              </w:rPr>
            </w:pPr>
            <w:r>
              <w:rPr>
                <w:rFonts w:ascii="Times New Roman" w:hAnsi="Times New Roman" w:eastAsia="宋体" w:cs="Arial"/>
                <w:spacing w:val="10"/>
              </w:rPr>
              <w:t>分子量：</w:t>
            </w:r>
            <w:r>
              <w:rPr>
                <w:rFonts w:ascii="Times New Roman" w:hAnsi="Times New Roman" w:eastAsia="宋体" w:cs="Arial"/>
              </w:rPr>
              <w:t>35.05</w:t>
            </w:r>
          </w:p>
        </w:tc>
        <w:tc>
          <w:tcPr>
            <w:tcW w:w="2367" w:type="dxa"/>
            <w:gridSpan w:val="4"/>
            <w:tcBorders>
              <w:top w:val="single" w:color="auto" w:sz="6" w:space="0"/>
              <w:left w:val="single" w:color="auto" w:sz="6" w:space="0"/>
              <w:bottom w:val="single" w:color="auto" w:sz="6" w:space="0"/>
              <w:right w:val="single" w:color="auto" w:sz="6" w:space="0"/>
            </w:tcBorders>
            <w:vAlign w:val="center"/>
          </w:tcPr>
          <w:p>
            <w:pPr>
              <w:spacing w:line="360" w:lineRule="exact"/>
              <w:rPr>
                <w:rFonts w:ascii="Times New Roman" w:hAnsi="Times New Roman" w:eastAsia="宋体" w:cs="Arial"/>
                <w:spacing w:val="10"/>
              </w:rPr>
            </w:pPr>
            <w:r>
              <w:rPr>
                <w:rFonts w:ascii="Times New Roman" w:hAnsi="Times New Roman" w:eastAsia="宋体" w:cs="Arial"/>
                <w:spacing w:val="10"/>
              </w:rPr>
              <w:t>CAS号：</w:t>
            </w:r>
            <w:r>
              <w:rPr>
                <w:rFonts w:ascii="Times New Roman" w:hAnsi="Times New Roman" w:eastAsia="宋体" w:cs="Arial"/>
              </w:rPr>
              <w:t>1336-21-6</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26"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理化性质</w:t>
            </w:r>
          </w:p>
        </w:tc>
        <w:tc>
          <w:tcPr>
            <w:tcW w:w="15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外观与性状</w:t>
            </w:r>
          </w:p>
        </w:tc>
        <w:tc>
          <w:tcPr>
            <w:tcW w:w="6507" w:type="dxa"/>
            <w:gridSpan w:val="10"/>
            <w:tcBorders>
              <w:top w:val="single" w:color="auto" w:sz="6" w:space="0"/>
              <w:left w:val="single" w:color="auto" w:sz="6" w:space="0"/>
              <w:bottom w:val="single" w:color="auto" w:sz="6" w:space="0"/>
              <w:right w:val="single" w:color="auto" w:sz="6" w:space="0"/>
            </w:tcBorders>
            <w:vAlign w:val="center"/>
          </w:tcPr>
          <w:p>
            <w:pPr>
              <w:spacing w:line="360" w:lineRule="exact"/>
              <w:rPr>
                <w:rFonts w:ascii="Times New Roman" w:hAnsi="Times New Roman" w:eastAsia="宋体" w:cs="Arial"/>
                <w:spacing w:val="10"/>
              </w:rPr>
            </w:pPr>
            <w:r>
              <w:rPr>
                <w:rFonts w:ascii="Times New Roman" w:hAnsi="Times New Roman" w:eastAsia="宋体" w:cs="Arial"/>
              </w:rPr>
              <w:t>无色透明液体，有强烈的刺激性臭味。</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57"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熔点（℃）</w:t>
            </w:r>
          </w:p>
        </w:tc>
        <w:tc>
          <w:tcPr>
            <w:tcW w:w="1202"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rPr>
              <w:t>/</w:t>
            </w:r>
          </w:p>
        </w:tc>
        <w:tc>
          <w:tcPr>
            <w:tcW w:w="2218" w:type="dxa"/>
            <w:gridSpan w:val="4"/>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相对密度(水=1)</w:t>
            </w:r>
          </w:p>
        </w:tc>
        <w:tc>
          <w:tcPr>
            <w:tcW w:w="720"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rPr>
              <w:t>0.91</w:t>
            </w:r>
          </w:p>
        </w:tc>
        <w:tc>
          <w:tcPr>
            <w:tcW w:w="2102" w:type="dxa"/>
            <w:gridSpan w:val="3"/>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相对密度(空气=1)</w:t>
            </w:r>
          </w:p>
        </w:tc>
        <w:tc>
          <w:tcPr>
            <w:tcW w:w="265"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06"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沸点（℃）</w:t>
            </w:r>
          </w:p>
        </w:tc>
        <w:tc>
          <w:tcPr>
            <w:tcW w:w="1202"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w:t>
            </w:r>
          </w:p>
        </w:tc>
        <w:tc>
          <w:tcPr>
            <w:tcW w:w="2938" w:type="dxa"/>
            <w:gridSpan w:val="5"/>
            <w:tcBorders>
              <w:top w:val="single" w:color="auto" w:sz="6" w:space="0"/>
              <w:left w:val="single" w:color="auto" w:sz="6" w:space="0"/>
              <w:bottom w:val="single" w:color="auto" w:sz="6" w:space="0"/>
              <w:right w:val="single" w:color="auto" w:sz="6" w:space="0"/>
            </w:tcBorders>
            <w:vAlign w:val="center"/>
          </w:tcPr>
          <w:p>
            <w:pPr>
              <w:spacing w:line="360" w:lineRule="exact"/>
              <w:ind w:left="-40"/>
              <w:jc w:val="center"/>
              <w:rPr>
                <w:rFonts w:ascii="Times New Roman" w:hAnsi="Times New Roman" w:eastAsia="宋体" w:cs="Arial"/>
                <w:spacing w:val="10"/>
              </w:rPr>
            </w:pPr>
            <w:r>
              <w:rPr>
                <w:rFonts w:ascii="Times New Roman" w:hAnsi="Times New Roman" w:eastAsia="宋体" w:cs="Arial"/>
                <w:spacing w:val="10"/>
              </w:rPr>
              <w:t>饱和蒸气压（kPa）</w:t>
            </w:r>
          </w:p>
        </w:tc>
        <w:tc>
          <w:tcPr>
            <w:tcW w:w="2367" w:type="dxa"/>
            <w:gridSpan w:val="4"/>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1.59/20℃</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68"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溶解性</w:t>
            </w:r>
          </w:p>
        </w:tc>
        <w:tc>
          <w:tcPr>
            <w:tcW w:w="6507" w:type="dxa"/>
            <w:gridSpan w:val="10"/>
            <w:tcBorders>
              <w:top w:val="single" w:color="auto" w:sz="6" w:space="0"/>
              <w:left w:val="single" w:color="auto" w:sz="6" w:space="0"/>
              <w:bottom w:val="single" w:color="auto" w:sz="6" w:space="0"/>
              <w:right w:val="single" w:color="auto" w:sz="6" w:space="0"/>
            </w:tcBorders>
            <w:vAlign w:val="center"/>
          </w:tcPr>
          <w:p>
            <w:pPr>
              <w:spacing w:line="360" w:lineRule="exact"/>
              <w:rPr>
                <w:rFonts w:ascii="Times New Roman" w:hAnsi="Times New Roman" w:eastAsia="宋体" w:cs="Arial"/>
                <w:spacing w:val="10"/>
              </w:rPr>
            </w:pPr>
            <w:r>
              <w:rPr>
                <w:rFonts w:ascii="Times New Roman" w:hAnsi="Times New Roman" w:eastAsia="宋体" w:cs="Arial"/>
              </w:rPr>
              <w:t>溶于水、醇。</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70"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毒性及健康危害</w:t>
            </w:r>
          </w:p>
        </w:tc>
        <w:tc>
          <w:tcPr>
            <w:tcW w:w="15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侵入途径</w:t>
            </w:r>
          </w:p>
        </w:tc>
        <w:tc>
          <w:tcPr>
            <w:tcW w:w="6507" w:type="dxa"/>
            <w:gridSpan w:val="10"/>
            <w:tcBorders>
              <w:top w:val="single" w:color="auto" w:sz="6" w:space="0"/>
              <w:left w:val="single" w:color="auto" w:sz="6" w:space="0"/>
              <w:bottom w:val="single" w:color="auto" w:sz="6" w:space="0"/>
              <w:right w:val="single" w:color="auto" w:sz="4" w:space="0"/>
            </w:tcBorders>
            <w:vAlign w:val="center"/>
          </w:tcPr>
          <w:p>
            <w:pPr>
              <w:spacing w:line="360" w:lineRule="exact"/>
              <w:rPr>
                <w:rFonts w:ascii="Times New Roman" w:hAnsi="Times New Roman" w:eastAsia="宋体" w:cs="Arial"/>
                <w:spacing w:val="10"/>
              </w:rPr>
            </w:pPr>
            <w:r>
              <w:rPr>
                <w:rFonts w:hint="eastAsia" w:ascii="Times New Roman" w:hAnsi="Times New Roman" w:eastAsia="宋体"/>
                <w:spacing w:val="10"/>
                <w:szCs w:val="21"/>
              </w:rPr>
              <w:t>吸入、食入、经皮吸收</w:t>
            </w:r>
            <w:r>
              <w:rPr>
                <w:rFonts w:ascii="Times New Roman" w:hAnsi="Times New Roman" w:eastAsia="宋体" w:cs="Arial"/>
                <w:spacing w:val="10"/>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557"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毒性</w:t>
            </w:r>
          </w:p>
        </w:tc>
        <w:tc>
          <w:tcPr>
            <w:tcW w:w="6507" w:type="dxa"/>
            <w:gridSpan w:val="10"/>
            <w:tcBorders>
              <w:top w:val="single" w:color="auto" w:sz="6" w:space="0"/>
              <w:left w:val="single" w:color="auto" w:sz="6" w:space="0"/>
              <w:bottom w:val="single" w:color="auto" w:sz="6" w:space="0"/>
              <w:right w:val="single" w:color="auto" w:sz="6" w:space="0"/>
            </w:tcBorders>
            <w:vAlign w:val="center"/>
          </w:tcPr>
          <w:p>
            <w:pPr>
              <w:spacing w:line="360" w:lineRule="exact"/>
              <w:rPr>
                <w:rFonts w:ascii="Times New Roman" w:hAnsi="Times New Roman" w:eastAsia="宋体" w:cs="Arial"/>
              </w:rPr>
            </w:pPr>
            <w:r>
              <w:rPr>
                <w:rFonts w:ascii="Times New Roman" w:hAnsi="Times New Roman" w:eastAsia="宋体" w:cs="Arial"/>
                <w:spacing w:val="10"/>
              </w:rPr>
              <w:t xml:space="preserve"> LD</w:t>
            </w:r>
            <w:r>
              <w:rPr>
                <w:rFonts w:ascii="Times New Roman" w:hAnsi="Times New Roman" w:eastAsia="宋体" w:cs="Arial"/>
                <w:spacing w:val="10"/>
                <w:vertAlign w:val="subscript"/>
              </w:rPr>
              <w:t>50</w:t>
            </w:r>
            <w:r>
              <w:rPr>
                <w:rFonts w:ascii="Times New Roman" w:hAnsi="Times New Roman" w:eastAsia="宋体" w:cs="Arial"/>
                <w:spacing w:val="10"/>
              </w:rPr>
              <w:t>：</w:t>
            </w:r>
            <w:r>
              <w:rPr>
                <w:rFonts w:ascii="Times New Roman" w:hAnsi="Times New Roman" w:eastAsia="宋体" w:cs="Arial"/>
              </w:rPr>
              <w:t>350mg/kg(大鼠经口)</w:t>
            </w:r>
          </w:p>
          <w:p>
            <w:pPr>
              <w:spacing w:line="360" w:lineRule="exact"/>
              <w:rPr>
                <w:rFonts w:ascii="Times New Roman" w:hAnsi="Times New Roman" w:eastAsia="宋体" w:cs="Arial"/>
                <w:spacing w:val="10"/>
              </w:rPr>
            </w:pPr>
            <w:r>
              <w:rPr>
                <w:rFonts w:ascii="Times New Roman" w:hAnsi="Times New Roman" w:eastAsia="宋体" w:cs="Arial"/>
                <w:spacing w:val="10"/>
              </w:rPr>
              <w:t xml:space="preserve"> LC</w:t>
            </w:r>
            <w:r>
              <w:rPr>
                <w:rFonts w:ascii="Times New Roman" w:hAnsi="Times New Roman" w:eastAsia="宋体" w:cs="Arial"/>
                <w:spacing w:val="10"/>
                <w:vertAlign w:val="subscript"/>
              </w:rPr>
              <w:t>50</w:t>
            </w:r>
            <w:r>
              <w:rPr>
                <w:rFonts w:ascii="Times New Roman" w:hAnsi="Times New Roman" w:eastAsia="宋体" w:cs="Arial"/>
                <w:spacing w:val="10"/>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603"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6" w:space="0"/>
              <w:left w:val="single" w:color="auto" w:sz="6" w:space="0"/>
              <w:bottom w:val="single" w:color="auto" w:sz="4"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健康危害</w:t>
            </w:r>
          </w:p>
        </w:tc>
        <w:tc>
          <w:tcPr>
            <w:tcW w:w="6507" w:type="dxa"/>
            <w:gridSpan w:val="10"/>
            <w:tcBorders>
              <w:top w:val="single" w:color="auto" w:sz="6" w:space="0"/>
              <w:left w:val="single" w:color="auto" w:sz="6" w:space="0"/>
              <w:bottom w:val="single" w:color="auto" w:sz="4" w:space="0"/>
              <w:right w:val="single" w:color="auto" w:sz="6" w:space="0"/>
            </w:tcBorders>
            <w:vAlign w:val="center"/>
          </w:tcPr>
          <w:p>
            <w:pPr>
              <w:spacing w:line="320" w:lineRule="exact"/>
              <w:rPr>
                <w:rFonts w:ascii="Times New Roman" w:hAnsi="Times New Roman" w:eastAsia="宋体" w:cs="Arial"/>
                <w:spacing w:val="10"/>
              </w:rPr>
            </w:pPr>
            <w:r>
              <w:rPr>
                <w:rFonts w:ascii="Times New Roman" w:hAnsi="Times New Roman" w:eastAsia="宋体" w:cs="Arial"/>
              </w:rPr>
              <w:t>吸入后对鼻、喉和肺有刺激性引起咳嗽、气短和哮喘等；可因喉头水肿而窒息死亡；可发生肺水肿，引起死亡。氨水溅入眼内，可造成严重损害，甚至导致失明；皮肤接触可致灼伤。慢性影响：反复低浓度接触，可引起支气管炎。皮肤反复接触，可致皮炎，表现为皮肤干燥、痒、发红。</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18"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4"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急救方法</w:t>
            </w:r>
          </w:p>
        </w:tc>
        <w:tc>
          <w:tcPr>
            <w:tcW w:w="6507" w:type="dxa"/>
            <w:gridSpan w:val="10"/>
            <w:tcBorders>
              <w:top w:val="single" w:color="auto" w:sz="4" w:space="0"/>
              <w:left w:val="single" w:color="auto" w:sz="6" w:space="0"/>
              <w:bottom w:val="single" w:color="auto" w:sz="6" w:space="0"/>
              <w:right w:val="single" w:color="auto" w:sz="6" w:space="0"/>
            </w:tcBorders>
            <w:vAlign w:val="center"/>
          </w:tcPr>
          <w:p>
            <w:pPr>
              <w:spacing w:line="320" w:lineRule="exact"/>
              <w:rPr>
                <w:rFonts w:ascii="Times New Roman" w:hAnsi="Times New Roman" w:eastAsia="宋体" w:cs="Arial"/>
                <w:spacing w:val="10"/>
              </w:rPr>
            </w:pPr>
            <w:r>
              <w:rPr>
                <w:rFonts w:ascii="Times New Roman" w:hAnsi="Times New Roman" w:eastAsia="宋体" w:cs="Arial"/>
              </w:rPr>
              <w:t>皮肤接触：立即用水冲洗至少15分钟。若有灼伤，就医治疗。眼睛接触：立即提起眼睑，用流动清水或生理盐水冲洗至少15分钟。或用3%硼酸溶液冲洗。立即就医。吸入：迅速脱离现场至空气新鲜处。保持呼吸道通畅。呼吸困难时给输氧。呼吸停止时，立即进行人工呼吸。就医。食入：误服者立即漱口，口服稀释的醋或柠檬汁，就医。</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00" w:hRule="atLeast"/>
          <w:jc w:val="center"/>
        </w:trPr>
        <w:tc>
          <w:tcPr>
            <w:tcW w:w="476" w:type="dxa"/>
            <w:vMerge w:val="restart"/>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燃烧爆炸危险性</w:t>
            </w:r>
          </w:p>
        </w:tc>
        <w:tc>
          <w:tcPr>
            <w:tcW w:w="15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燃烧性</w:t>
            </w:r>
          </w:p>
        </w:tc>
        <w:tc>
          <w:tcPr>
            <w:tcW w:w="1800" w:type="dxa"/>
            <w:gridSpan w:val="3"/>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hint="eastAsia" w:ascii="Times New Roman" w:hAnsi="Times New Roman" w:eastAsia="宋体" w:cs="Arial"/>
                <w:spacing w:val="10"/>
              </w:rPr>
              <w:t>可</w:t>
            </w:r>
            <w:r>
              <w:rPr>
                <w:rFonts w:ascii="Times New Roman" w:hAnsi="Times New Roman" w:eastAsia="宋体" w:cs="Arial"/>
                <w:spacing w:val="10"/>
              </w:rPr>
              <w:t>燃</w:t>
            </w:r>
          </w:p>
        </w:tc>
        <w:tc>
          <w:tcPr>
            <w:tcW w:w="2520" w:type="dxa"/>
            <w:gridSpan w:val="4"/>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燃烧分解物</w:t>
            </w:r>
          </w:p>
        </w:tc>
        <w:tc>
          <w:tcPr>
            <w:tcW w:w="2187" w:type="dxa"/>
            <w:gridSpan w:val="3"/>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rPr>
              <w:t>氨。</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89"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闪点(℃)</w:t>
            </w:r>
          </w:p>
        </w:tc>
        <w:tc>
          <w:tcPr>
            <w:tcW w:w="1800" w:type="dxa"/>
            <w:gridSpan w:val="3"/>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szCs w:val="21"/>
              </w:rPr>
            </w:pPr>
            <w:r>
              <w:rPr>
                <w:rFonts w:ascii="Times New Roman" w:hAnsi="Times New Roman" w:eastAsia="宋体" w:cs="Arial"/>
                <w:spacing w:val="10"/>
                <w:szCs w:val="21"/>
              </w:rPr>
              <w:t>/</w:t>
            </w:r>
          </w:p>
        </w:tc>
        <w:tc>
          <w:tcPr>
            <w:tcW w:w="2520" w:type="dxa"/>
            <w:gridSpan w:val="4"/>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爆炸上限（v%）</w:t>
            </w:r>
          </w:p>
        </w:tc>
        <w:tc>
          <w:tcPr>
            <w:tcW w:w="2187" w:type="dxa"/>
            <w:gridSpan w:val="3"/>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ascii="Times New Roman" w:hAnsi="Times New Roman" w:eastAsia="宋体" w:cs="Arial"/>
                <w:spacing w:val="10"/>
              </w:rPr>
            </w:pPr>
            <w:r>
              <w:rPr>
                <w:rFonts w:hint="eastAsia" w:ascii="Times New Roman" w:hAnsi="Times New Roman" w:eastAsia="宋体" w:cs="Arial"/>
                <w:spacing w:val="10"/>
              </w:rPr>
              <w:t>25.0</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266"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引燃温度(℃)</w:t>
            </w:r>
          </w:p>
        </w:tc>
        <w:tc>
          <w:tcPr>
            <w:tcW w:w="1800" w:type="dxa"/>
            <w:gridSpan w:val="3"/>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w:t>
            </w:r>
          </w:p>
        </w:tc>
        <w:tc>
          <w:tcPr>
            <w:tcW w:w="2520" w:type="dxa"/>
            <w:gridSpan w:val="4"/>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爆炸下限（v%）</w:t>
            </w:r>
          </w:p>
        </w:tc>
        <w:tc>
          <w:tcPr>
            <w:tcW w:w="2187" w:type="dxa"/>
            <w:gridSpan w:val="3"/>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hint="eastAsia" w:ascii="Times New Roman" w:hAnsi="Times New Roman" w:eastAsia="宋体" w:cs="Arial"/>
                <w:spacing w:val="10"/>
              </w:rPr>
            </w:pPr>
            <w:r>
              <w:rPr>
                <w:rFonts w:hint="eastAsia" w:ascii="Times New Roman" w:hAnsi="Times New Roman" w:eastAsia="宋体" w:cs="Arial"/>
                <w:spacing w:val="10"/>
              </w:rPr>
              <w:t>16.0</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805"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危险特性</w:t>
            </w:r>
          </w:p>
        </w:tc>
        <w:tc>
          <w:tcPr>
            <w:tcW w:w="6507" w:type="dxa"/>
            <w:gridSpan w:val="10"/>
            <w:tcBorders>
              <w:top w:val="single" w:color="auto" w:sz="6" w:space="0"/>
              <w:left w:val="single" w:color="auto" w:sz="6" w:space="0"/>
              <w:bottom w:val="single" w:color="auto" w:sz="6" w:space="0"/>
              <w:right w:val="single" w:color="auto" w:sz="6" w:space="0"/>
            </w:tcBorders>
            <w:vAlign w:val="center"/>
          </w:tcPr>
          <w:p>
            <w:pPr>
              <w:spacing w:line="360" w:lineRule="exact"/>
              <w:rPr>
                <w:rFonts w:ascii="Times New Roman" w:hAnsi="Times New Roman" w:eastAsia="宋体" w:cs="Arial"/>
                <w:spacing w:val="10"/>
              </w:rPr>
            </w:pPr>
            <w:r>
              <w:rPr>
                <w:rFonts w:ascii="Times New Roman" w:hAnsi="Times New Roman" w:eastAsia="宋体" w:cs="Arial"/>
              </w:rPr>
              <w:t>易分解放出氨气，温度越高，分解速度越快，可形成爆炸性气体。若遇高热，容器内压增大，有开裂和爆炸的危险。</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70"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6" w:space="0"/>
              <w:left w:val="single" w:color="auto" w:sz="6" w:space="0"/>
              <w:bottom w:val="single" w:color="auto" w:sz="6" w:space="0"/>
              <w:right w:val="single" w:color="auto" w:sz="6" w:space="0"/>
            </w:tcBorders>
            <w:vAlign w:val="center"/>
          </w:tcPr>
          <w:p>
            <w:pPr>
              <w:spacing w:line="350" w:lineRule="exact"/>
              <w:jc w:val="center"/>
              <w:rPr>
                <w:rFonts w:ascii="Times New Roman" w:hAnsi="Times New Roman" w:eastAsia="宋体"/>
                <w:spacing w:val="2"/>
                <w:szCs w:val="21"/>
              </w:rPr>
            </w:pPr>
            <w:r>
              <w:rPr>
                <w:rFonts w:hint="eastAsia" w:ascii="Times New Roman" w:hAnsi="Times New Roman" w:eastAsia="宋体"/>
                <w:spacing w:val="2"/>
                <w:szCs w:val="21"/>
              </w:rPr>
              <w:t>建规火险分级</w:t>
            </w:r>
          </w:p>
        </w:tc>
        <w:tc>
          <w:tcPr>
            <w:tcW w:w="1800" w:type="dxa"/>
            <w:gridSpan w:val="3"/>
            <w:tcBorders>
              <w:top w:val="single" w:color="auto" w:sz="6" w:space="0"/>
              <w:left w:val="single" w:color="auto" w:sz="6" w:space="0"/>
              <w:bottom w:val="single" w:color="auto" w:sz="6" w:space="0"/>
              <w:right w:val="single" w:color="auto" w:sz="6" w:space="0"/>
            </w:tcBorders>
            <w:vAlign w:val="center"/>
          </w:tcPr>
          <w:p>
            <w:pPr>
              <w:spacing w:line="350" w:lineRule="exact"/>
              <w:jc w:val="center"/>
              <w:rPr>
                <w:rFonts w:hint="eastAsia" w:ascii="Times New Roman" w:hAnsi="Times New Roman" w:eastAsia="宋体"/>
                <w:spacing w:val="10"/>
                <w:szCs w:val="21"/>
              </w:rPr>
            </w:pPr>
            <w:r>
              <w:rPr>
                <w:rFonts w:hint="eastAsia" w:ascii="Times New Roman" w:hAnsi="Times New Roman" w:eastAsia="宋体"/>
                <w:spacing w:val="10"/>
                <w:szCs w:val="21"/>
              </w:rPr>
              <w:t>戊</w:t>
            </w:r>
          </w:p>
        </w:tc>
        <w:tc>
          <w:tcPr>
            <w:tcW w:w="1236" w:type="dxa"/>
            <w:tcBorders>
              <w:top w:val="single" w:color="auto" w:sz="6" w:space="0"/>
              <w:left w:val="single" w:color="auto" w:sz="6" w:space="0"/>
              <w:bottom w:val="single" w:color="auto" w:sz="6" w:space="0"/>
              <w:right w:val="single" w:color="auto" w:sz="6" w:space="0"/>
            </w:tcBorders>
            <w:vAlign w:val="center"/>
          </w:tcPr>
          <w:p>
            <w:pPr>
              <w:spacing w:line="350" w:lineRule="exact"/>
              <w:jc w:val="center"/>
              <w:rPr>
                <w:rFonts w:ascii="Times New Roman" w:hAnsi="Times New Roman" w:eastAsia="宋体"/>
                <w:spacing w:val="10"/>
                <w:szCs w:val="21"/>
              </w:rPr>
            </w:pPr>
            <w:r>
              <w:rPr>
                <w:rFonts w:hint="eastAsia" w:ascii="Times New Roman" w:hAnsi="Times New Roman" w:eastAsia="宋体"/>
                <w:spacing w:val="10"/>
                <w:szCs w:val="21"/>
              </w:rPr>
              <w:t>稳定性</w:t>
            </w:r>
          </w:p>
        </w:tc>
        <w:tc>
          <w:tcPr>
            <w:tcW w:w="1284" w:type="dxa"/>
            <w:gridSpan w:val="3"/>
            <w:tcBorders>
              <w:top w:val="single" w:color="auto" w:sz="6" w:space="0"/>
              <w:left w:val="single" w:color="auto" w:sz="6" w:space="0"/>
              <w:bottom w:val="single" w:color="auto" w:sz="6" w:space="0"/>
              <w:right w:val="single" w:color="auto" w:sz="6" w:space="0"/>
            </w:tcBorders>
            <w:vAlign w:val="center"/>
          </w:tcPr>
          <w:p>
            <w:pPr>
              <w:spacing w:line="350" w:lineRule="exact"/>
              <w:jc w:val="center"/>
              <w:rPr>
                <w:rFonts w:hint="eastAsia" w:ascii="Times New Roman" w:hAnsi="Times New Roman" w:eastAsia="宋体"/>
                <w:spacing w:val="10"/>
                <w:szCs w:val="21"/>
              </w:rPr>
            </w:pPr>
            <w:r>
              <w:rPr>
                <w:rFonts w:hint="eastAsia" w:ascii="Times New Roman" w:hAnsi="Times New Roman" w:eastAsia="宋体"/>
                <w:spacing w:val="10"/>
                <w:szCs w:val="21"/>
              </w:rPr>
              <w:t>稳定</w:t>
            </w:r>
          </w:p>
        </w:tc>
        <w:tc>
          <w:tcPr>
            <w:tcW w:w="1455" w:type="dxa"/>
            <w:tcBorders>
              <w:top w:val="single" w:color="auto" w:sz="6" w:space="0"/>
              <w:left w:val="single" w:color="auto" w:sz="6" w:space="0"/>
              <w:bottom w:val="single" w:color="auto" w:sz="6" w:space="0"/>
              <w:right w:val="single" w:color="auto" w:sz="6" w:space="0"/>
            </w:tcBorders>
            <w:vAlign w:val="center"/>
          </w:tcPr>
          <w:p>
            <w:pPr>
              <w:spacing w:line="350" w:lineRule="exact"/>
              <w:jc w:val="center"/>
              <w:rPr>
                <w:rFonts w:ascii="Times New Roman" w:hAnsi="Times New Roman" w:eastAsia="宋体"/>
                <w:spacing w:val="10"/>
                <w:szCs w:val="21"/>
              </w:rPr>
            </w:pPr>
            <w:r>
              <w:rPr>
                <w:rFonts w:hint="eastAsia" w:ascii="Times New Roman" w:hAnsi="Times New Roman" w:eastAsia="宋体"/>
                <w:spacing w:val="10"/>
                <w:szCs w:val="21"/>
              </w:rPr>
              <w:t>聚合危害</w:t>
            </w:r>
          </w:p>
        </w:tc>
        <w:tc>
          <w:tcPr>
            <w:tcW w:w="732" w:type="dxa"/>
            <w:gridSpan w:val="2"/>
            <w:tcBorders>
              <w:top w:val="single" w:color="auto" w:sz="6" w:space="0"/>
              <w:left w:val="single" w:color="auto" w:sz="6" w:space="0"/>
              <w:bottom w:val="single" w:color="auto" w:sz="6" w:space="0"/>
              <w:right w:val="single" w:color="auto" w:sz="6" w:space="0"/>
            </w:tcBorders>
            <w:vAlign w:val="center"/>
          </w:tcPr>
          <w:p>
            <w:pPr>
              <w:spacing w:line="350" w:lineRule="exact"/>
              <w:jc w:val="center"/>
              <w:rPr>
                <w:rFonts w:hint="eastAsia" w:ascii="Times New Roman" w:hAnsi="Times New Roman" w:eastAsia="宋体"/>
                <w:spacing w:val="10"/>
                <w:szCs w:val="21"/>
              </w:rPr>
            </w:pPr>
            <w:r>
              <w:rPr>
                <w:rFonts w:hint="eastAsia" w:ascii="Times New Roman" w:hAnsi="Times New Roman" w:eastAsia="宋体"/>
                <w:spacing w:val="10"/>
                <w:szCs w:val="21"/>
              </w:rPr>
              <w:t>不聚合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48"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6" w:space="0"/>
              <w:left w:val="single" w:color="auto" w:sz="6" w:space="0"/>
              <w:bottom w:val="single" w:color="auto" w:sz="6" w:space="0"/>
              <w:right w:val="single" w:color="auto" w:sz="6" w:space="0"/>
            </w:tcBorders>
            <w:vAlign w:val="center"/>
          </w:tcPr>
          <w:p>
            <w:pPr>
              <w:spacing w:line="350" w:lineRule="exact"/>
              <w:jc w:val="center"/>
              <w:rPr>
                <w:rFonts w:ascii="Times New Roman" w:hAnsi="Times New Roman" w:eastAsia="宋体"/>
                <w:spacing w:val="10"/>
                <w:szCs w:val="21"/>
              </w:rPr>
            </w:pPr>
            <w:r>
              <w:rPr>
                <w:rFonts w:hint="eastAsia" w:ascii="Times New Roman" w:hAnsi="Times New Roman" w:eastAsia="宋体"/>
                <w:spacing w:val="10"/>
                <w:szCs w:val="21"/>
              </w:rPr>
              <w:t>禁忌物</w:t>
            </w:r>
          </w:p>
        </w:tc>
        <w:tc>
          <w:tcPr>
            <w:tcW w:w="6507" w:type="dxa"/>
            <w:gridSpan w:val="10"/>
            <w:tcBorders>
              <w:top w:val="single" w:color="auto" w:sz="6" w:space="0"/>
              <w:left w:val="single" w:color="auto" w:sz="6" w:space="0"/>
              <w:bottom w:val="single" w:color="auto" w:sz="6" w:space="0"/>
              <w:right w:val="single" w:color="auto" w:sz="6" w:space="0"/>
            </w:tcBorders>
            <w:vAlign w:val="center"/>
          </w:tcPr>
          <w:p>
            <w:pPr>
              <w:spacing w:line="350" w:lineRule="exact"/>
              <w:rPr>
                <w:rFonts w:hint="eastAsia" w:ascii="Times New Roman" w:hAnsi="Times New Roman" w:eastAsia="宋体"/>
                <w:b/>
                <w:spacing w:val="10"/>
                <w:szCs w:val="21"/>
              </w:rPr>
            </w:pPr>
            <w:r>
              <w:rPr>
                <w:rFonts w:ascii="Times New Roman" w:hAnsi="Times New Roman" w:eastAsia="宋体"/>
              </w:rPr>
              <w:t>酸类、铝、铜。</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3322"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储运条件</w:t>
            </w:r>
          </w:p>
          <w:p>
            <w:pPr>
              <w:spacing w:line="360" w:lineRule="exact"/>
              <w:jc w:val="center"/>
              <w:rPr>
                <w:rFonts w:ascii="Times New Roman" w:hAnsi="Times New Roman" w:eastAsia="宋体" w:cs="Arial"/>
                <w:spacing w:val="10"/>
              </w:rPr>
            </w:pPr>
            <w:r>
              <w:rPr>
                <w:rFonts w:ascii="Times New Roman" w:hAnsi="Times New Roman" w:eastAsia="宋体" w:cs="Arial"/>
                <w:spacing w:val="10"/>
              </w:rPr>
              <w:t>与泄漏处理</w:t>
            </w:r>
          </w:p>
        </w:tc>
        <w:tc>
          <w:tcPr>
            <w:tcW w:w="6507" w:type="dxa"/>
            <w:gridSpan w:val="10"/>
            <w:tcBorders>
              <w:top w:val="single" w:color="auto" w:sz="6" w:space="0"/>
              <w:left w:val="single" w:color="auto" w:sz="6" w:space="0"/>
              <w:bottom w:val="single" w:color="auto" w:sz="6" w:space="0"/>
              <w:right w:val="single" w:color="auto" w:sz="6" w:space="0"/>
            </w:tcBorders>
            <w:vAlign w:val="center"/>
          </w:tcPr>
          <w:p>
            <w:pPr>
              <w:spacing w:line="320" w:lineRule="exact"/>
              <w:rPr>
                <w:rFonts w:ascii="Times New Roman" w:hAnsi="Times New Roman" w:eastAsia="宋体" w:cs="Arial"/>
                <w:spacing w:val="10"/>
              </w:rPr>
            </w:pPr>
            <w:r>
              <w:rPr>
                <w:rFonts w:ascii="Times New Roman" w:hAnsi="Times New Roman" w:eastAsia="宋体" w:cs="Arial"/>
                <w:b/>
                <w:spacing w:val="10"/>
              </w:rPr>
              <w:t>储运条件</w:t>
            </w:r>
            <w:r>
              <w:rPr>
                <w:rFonts w:ascii="Times New Roman" w:hAnsi="Times New Roman" w:eastAsia="宋体" w:cs="Arial"/>
                <w:spacing w:val="10"/>
              </w:rPr>
              <w:t>：储存于阴凉、干燥通风良好的仓间内。远离火种、热源。防止阳光直射。应与酸类、金属类粉末分开存放。搬运时应轻装轻卸，防止包装和容器损坏。运输按规定路线行驶，勿在居民区和人口稠密区停留。</w:t>
            </w:r>
            <w:r>
              <w:rPr>
                <w:rFonts w:ascii="Times New Roman" w:hAnsi="Times New Roman" w:eastAsia="宋体" w:cs="Arial"/>
                <w:b/>
                <w:spacing w:val="10"/>
              </w:rPr>
              <w:t>泄漏处理</w:t>
            </w:r>
            <w:r>
              <w:rPr>
                <w:rFonts w:ascii="Times New Roman" w:hAnsi="Times New Roman" w:eastAsia="宋体" w:cs="Arial"/>
                <w:spacing w:val="10"/>
              </w:rPr>
              <w:t>：</w:t>
            </w:r>
            <w:r>
              <w:rPr>
                <w:rFonts w:ascii="Times New Roman" w:hAnsi="Times New Roman" w:eastAsia="宋体" w:cs="Arial"/>
              </w:rPr>
              <w:t>疏散泄漏污染区人员至安全区，禁止无关人员进入污染区，建议应急处理人员戴自给式呼吸器，穿化学防护服。不要直接接触泄漏物，在确保安全情况下堵漏。用大量水冲洗，经稀释的洗水放入废水系统。用沙土、蛭石或其它惰性材料吸收，然后以少量加入大量水中，调节至中性，再放入废水系统。如大量泄漏，利用围堤收容，然后收集、转移、回收或无害处理后废弃。</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cantSplit/>
          <w:trHeight w:val="454" w:hRule="atLeast"/>
          <w:jc w:val="center"/>
        </w:trPr>
        <w:tc>
          <w:tcPr>
            <w:tcW w:w="476" w:type="dxa"/>
            <w:vMerge w:val="continue"/>
            <w:tcBorders>
              <w:top w:val="single" w:color="auto" w:sz="6" w:space="0"/>
              <w:left w:val="single" w:color="auto" w:sz="6" w:space="0"/>
              <w:bottom w:val="single" w:color="auto" w:sz="6" w:space="0"/>
              <w:right w:val="single" w:color="auto" w:sz="6" w:space="0"/>
            </w:tcBorders>
            <w:vAlign w:val="center"/>
          </w:tcPr>
          <w:p>
            <w:pPr>
              <w:widowControl/>
              <w:spacing w:line="360" w:lineRule="exact"/>
              <w:jc w:val="left"/>
              <w:rPr>
                <w:rFonts w:ascii="Times New Roman" w:hAnsi="Times New Roman" w:eastAsia="宋体" w:cs="Arial"/>
                <w:spacing w:val="10"/>
              </w:rPr>
            </w:pPr>
          </w:p>
        </w:tc>
        <w:tc>
          <w:tcPr>
            <w:tcW w:w="1558" w:type="dxa"/>
            <w:tcBorders>
              <w:top w:val="single" w:color="auto" w:sz="6" w:space="0"/>
              <w:left w:val="single" w:color="auto" w:sz="6" w:space="0"/>
              <w:bottom w:val="single" w:color="auto" w:sz="6" w:space="0"/>
              <w:right w:val="single" w:color="auto" w:sz="6" w:space="0"/>
            </w:tcBorders>
            <w:vAlign w:val="center"/>
          </w:tcPr>
          <w:p>
            <w:pPr>
              <w:spacing w:line="360" w:lineRule="exact"/>
              <w:jc w:val="center"/>
              <w:rPr>
                <w:rFonts w:ascii="Times New Roman" w:hAnsi="Times New Roman" w:eastAsia="宋体" w:cs="Arial"/>
                <w:spacing w:val="10"/>
              </w:rPr>
            </w:pPr>
            <w:r>
              <w:rPr>
                <w:rFonts w:ascii="Times New Roman" w:hAnsi="Times New Roman" w:eastAsia="宋体" w:cs="Arial"/>
                <w:spacing w:val="10"/>
              </w:rPr>
              <w:t>灭火方法</w:t>
            </w:r>
          </w:p>
        </w:tc>
        <w:tc>
          <w:tcPr>
            <w:tcW w:w="6507" w:type="dxa"/>
            <w:gridSpan w:val="10"/>
            <w:tcBorders>
              <w:top w:val="single" w:color="auto" w:sz="6" w:space="0"/>
              <w:left w:val="single" w:color="auto" w:sz="6" w:space="0"/>
              <w:bottom w:val="single" w:color="auto" w:sz="6" w:space="0"/>
              <w:right w:val="single" w:color="auto" w:sz="6" w:space="0"/>
            </w:tcBorders>
            <w:vAlign w:val="center"/>
          </w:tcPr>
          <w:p>
            <w:pPr>
              <w:spacing w:line="360" w:lineRule="exact"/>
              <w:rPr>
                <w:rFonts w:ascii="Times New Roman" w:hAnsi="Times New Roman" w:eastAsia="宋体" w:cs="Arial"/>
                <w:spacing w:val="10"/>
              </w:rPr>
            </w:pPr>
            <w:r>
              <w:rPr>
                <w:rFonts w:ascii="Times New Roman" w:hAnsi="Times New Roman" w:eastAsia="宋体" w:cs="Arial"/>
              </w:rPr>
              <w:t>用雾状水、二氧化碳、砂土灭火。</w:t>
            </w:r>
          </w:p>
        </w:tc>
      </w:tr>
    </w:tbl>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before="157" w:beforeLines="50" w:line="360" w:lineRule="auto"/>
        <w:jc w:val="center"/>
        <w:textAlignment w:val="auto"/>
        <w:rPr>
          <w:rFonts w:hint="eastAsia" w:ascii="Times New Roman" w:hAnsi="Times New Roman"/>
          <w:sz w:val="24"/>
          <w:szCs w:val="24"/>
          <w:lang w:val="en-US" w:eastAsia="zh-CN"/>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10</w:t>
      </w:r>
      <w:r>
        <w:rPr>
          <w:rFonts w:hint="eastAsia"/>
          <w:b/>
          <w:bCs/>
          <w:sz w:val="24"/>
          <w:szCs w:val="24"/>
          <w:lang w:val="en-US" w:eastAsia="zh-CN"/>
        </w:rPr>
        <w:t xml:space="preserve">  </w:t>
      </w:r>
      <w:r>
        <w:rPr>
          <w:rFonts w:hint="default" w:ascii="Times New Roman" w:hAnsi="Times New Roman" w:cs="Times New Roman"/>
          <w:b/>
          <w:bCs/>
          <w:sz w:val="24"/>
          <w:szCs w:val="24"/>
          <w:lang w:val="en-US" w:eastAsia="zh-CN"/>
        </w:rPr>
        <w:t>CaO</w:t>
      </w:r>
      <w:r>
        <w:rPr>
          <w:rFonts w:hint="eastAsia"/>
          <w:b/>
          <w:bCs/>
          <w:sz w:val="24"/>
          <w:szCs w:val="24"/>
          <w:lang w:val="en-US" w:eastAsia="zh-CN"/>
        </w:rPr>
        <w:t>的理化性质、危险特性及应急防范措施一览表</w:t>
      </w:r>
    </w:p>
    <w:tbl>
      <w:tblPr>
        <w:tblStyle w:val="19"/>
        <w:tblW w:w="49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459"/>
        <w:gridCol w:w="989"/>
        <w:gridCol w:w="85"/>
        <w:gridCol w:w="349"/>
        <w:gridCol w:w="331"/>
        <w:gridCol w:w="327"/>
        <w:gridCol w:w="997"/>
        <w:gridCol w:w="807"/>
        <w:gridCol w:w="645"/>
        <w:gridCol w:w="167"/>
        <w:gridCol w:w="24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restart"/>
            <w:noWrap w:val="0"/>
            <w:vAlign w:val="center"/>
          </w:tcPr>
          <w:p>
            <w:pPr>
              <w:tabs>
                <w:tab w:val="left" w:pos="377"/>
              </w:tabs>
              <w:spacing w:line="240" w:lineRule="auto"/>
              <w:jc w:val="left"/>
              <w:rPr>
                <w:rFonts w:hint="eastAsia" w:ascii="Times New Roman" w:hAnsi="Times New Roman" w:eastAsia="宋体"/>
                <w:b/>
              </w:rPr>
            </w:pPr>
            <w:r>
              <w:rPr>
                <w:rFonts w:hint="eastAsia" w:ascii="Times New Roman" w:hAnsi="Times New Roman" w:eastAsia="宋体"/>
                <w:b/>
              </w:rPr>
              <w:t>标识</w:t>
            </w:r>
          </w:p>
        </w:tc>
        <w:tc>
          <w:tcPr>
            <w:tcW w:w="1521" w:type="pct"/>
            <w:gridSpan w:val="6"/>
            <w:noWrap w:val="0"/>
            <w:vAlign w:val="center"/>
          </w:tcPr>
          <w:p>
            <w:pPr>
              <w:tabs>
                <w:tab w:val="left" w:pos="377"/>
              </w:tabs>
              <w:spacing w:line="240" w:lineRule="auto"/>
              <w:jc w:val="left"/>
              <w:rPr>
                <w:rFonts w:hint="eastAsia" w:ascii="Times New Roman" w:hAnsi="Times New Roman" w:eastAsia="宋体"/>
                <w:b/>
                <w:lang w:val="pt-PT"/>
              </w:rPr>
            </w:pPr>
            <w:r>
              <w:rPr>
                <w:rFonts w:hint="eastAsia" w:ascii="Times New Roman" w:hAnsi="Times New Roman" w:eastAsia="宋体"/>
                <w:b/>
              </w:rPr>
              <w:t>英文名</w:t>
            </w:r>
            <w:r>
              <w:rPr>
                <w:rFonts w:hint="eastAsia" w:ascii="Times New Roman" w:hAnsi="Times New Roman" w:eastAsia="宋体"/>
                <w:b/>
                <w:lang w:val="pt-PT"/>
              </w:rPr>
              <w:t>：</w:t>
            </w:r>
            <w:r>
              <w:rPr>
                <w:rFonts w:ascii="Times New Roman" w:hAnsi="Times New Roman" w:eastAsia="宋体"/>
              </w:rPr>
              <w:t>calcium oxide;</w:t>
            </w:r>
          </w:p>
        </w:tc>
        <w:tc>
          <w:tcPr>
            <w:tcW w:w="1566" w:type="pct"/>
            <w:gridSpan w:val="4"/>
            <w:noWrap w:val="0"/>
            <w:vAlign w:val="center"/>
          </w:tcPr>
          <w:p>
            <w:pPr>
              <w:tabs>
                <w:tab w:val="left" w:pos="377"/>
              </w:tabs>
              <w:spacing w:line="240" w:lineRule="auto"/>
              <w:jc w:val="left"/>
              <w:rPr>
                <w:rFonts w:hint="eastAsia" w:ascii="Times New Roman" w:hAnsi="Times New Roman" w:eastAsia="宋体"/>
                <w:b/>
              </w:rPr>
            </w:pPr>
            <w:r>
              <w:rPr>
                <w:rFonts w:hint="eastAsia" w:ascii="Times New Roman" w:hAnsi="Times New Roman" w:eastAsia="宋体"/>
                <w:b/>
              </w:rPr>
              <w:t>分子式</w:t>
            </w:r>
            <w:r>
              <w:rPr>
                <w:rFonts w:ascii="Times New Roman" w:hAnsi="Times New Roman" w:eastAsia="宋体"/>
                <w:b/>
              </w:rPr>
              <w:t>：</w:t>
            </w:r>
            <w:r>
              <w:rPr>
                <w:rFonts w:hint="eastAsia" w:ascii="Times New Roman" w:hAnsi="Times New Roman" w:eastAsia="宋体"/>
                <w:b/>
              </w:rPr>
              <w:t>CaO</w:t>
            </w:r>
          </w:p>
        </w:tc>
        <w:tc>
          <w:tcPr>
            <w:tcW w:w="1473" w:type="pct"/>
            <w:noWrap w:val="0"/>
            <w:vAlign w:val="center"/>
          </w:tcPr>
          <w:p>
            <w:pPr>
              <w:tabs>
                <w:tab w:val="left" w:pos="377"/>
              </w:tabs>
              <w:spacing w:line="240" w:lineRule="auto"/>
              <w:jc w:val="left"/>
              <w:rPr>
                <w:rFonts w:hint="eastAsia" w:ascii="Times New Roman" w:hAnsi="Times New Roman" w:eastAsia="宋体" w:cs="Arial"/>
                <w:b/>
              </w:rPr>
            </w:pPr>
            <w:r>
              <w:rPr>
                <w:rFonts w:hint="eastAsia" w:ascii="Times New Roman" w:hAnsi="Times New Roman" w:eastAsia="宋体"/>
                <w:b/>
              </w:rPr>
              <w:t>分子量：</w:t>
            </w:r>
            <w:r>
              <w:rPr>
                <w:rFonts w:hint="eastAsia" w:ascii="Times New Roman" w:hAnsi="Times New Roman" w:eastAsia="宋体"/>
              </w:rPr>
              <w:t>56.08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vMerge w:val="continue"/>
            <w:noWrap w:val="0"/>
            <w:vAlign w:val="center"/>
          </w:tcPr>
          <w:p>
            <w:pPr>
              <w:tabs>
                <w:tab w:val="left" w:pos="377"/>
              </w:tabs>
              <w:spacing w:line="240" w:lineRule="auto"/>
              <w:jc w:val="left"/>
              <w:rPr>
                <w:rFonts w:hint="eastAsia" w:ascii="Times New Roman" w:hAnsi="Times New Roman" w:eastAsia="宋体"/>
              </w:rPr>
            </w:pPr>
          </w:p>
        </w:tc>
        <w:tc>
          <w:tcPr>
            <w:tcW w:w="1521" w:type="pct"/>
            <w:gridSpan w:val="6"/>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CAS号：</w:t>
            </w:r>
            <w:r>
              <w:rPr>
                <w:rFonts w:ascii="Times New Roman" w:hAnsi="Times New Roman" w:eastAsia="宋体"/>
              </w:rPr>
              <w:t>1305-78-8</w:t>
            </w:r>
          </w:p>
        </w:tc>
        <w:tc>
          <w:tcPr>
            <w:tcW w:w="1566" w:type="pct"/>
            <w:gridSpan w:val="4"/>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UN编号：1910</w:t>
            </w:r>
          </w:p>
        </w:tc>
        <w:tc>
          <w:tcPr>
            <w:tcW w:w="1473" w:type="pct"/>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危险货物编号：82501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restart"/>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理化性质</w:t>
            </w:r>
          </w:p>
        </w:tc>
        <w:tc>
          <w:tcPr>
            <w:tcW w:w="4285" w:type="pct"/>
            <w:gridSpan w:val="10"/>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外观与性状：白色无定形粉末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4285" w:type="pct"/>
            <w:gridSpan w:val="10"/>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熔点（℃）：2580</w:t>
            </w:r>
            <w:r>
              <w:rPr>
                <w:rFonts w:hint="eastAsia" w:ascii="Times New Roman" w:hAnsi="Times New Roman" w:eastAsia="宋体" w:cs="宋体"/>
              </w:rPr>
              <w:t>℃</w:t>
            </w:r>
            <w:r>
              <w:rPr>
                <w:rFonts w:hint="eastAsia" w:ascii="Times New Roman" w:hAnsi="Times New Roman" w:eastAsia="宋体"/>
              </w:rPr>
              <w:t>；</w:t>
            </w:r>
            <w:r>
              <w:rPr>
                <w:rFonts w:ascii="Times New Roman" w:hAnsi="Times New Roman" w:eastAsia="宋体"/>
              </w:rPr>
              <w:t> 沸点：</w:t>
            </w:r>
            <w:r>
              <w:rPr>
                <w:rFonts w:hint="eastAsia" w:ascii="Times New Roman" w:hAnsi="Times New Roman" w:eastAsia="宋体"/>
              </w:rPr>
              <w:t>2850</w:t>
            </w:r>
            <w:r>
              <w:rPr>
                <w:rFonts w:hint="eastAsia" w:ascii="Times New Roman" w:hAnsi="Times New Roman" w:eastAsia="宋体" w:cs="宋体"/>
              </w:rPr>
              <w:t>℃；</w:t>
            </w:r>
            <w:r>
              <w:rPr>
                <w:rFonts w:ascii="Times New Roman" w:hAnsi="Times New Roman" w:eastAsia="宋体" w:cs="宋体"/>
              </w:rPr>
              <w:t>饱和蒸气压(kPa)：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4285" w:type="pct"/>
            <w:gridSpan w:val="10"/>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相对密度（水=1）：：3.35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592" w:type="pct"/>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主要用途</w:t>
            </w:r>
          </w:p>
        </w:tc>
        <w:tc>
          <w:tcPr>
            <w:tcW w:w="3693" w:type="pct"/>
            <w:gridSpan w:val="9"/>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用于建筑</w:t>
            </w:r>
            <w:r>
              <w:rPr>
                <w:rFonts w:ascii="Times New Roman" w:hAnsi="Times New Roman" w:eastAsia="宋体"/>
              </w:rPr>
              <w:t xml:space="preserve">, </w:t>
            </w:r>
            <w:r>
              <w:rPr>
                <w:rFonts w:hint="eastAsia" w:ascii="Times New Roman" w:hAnsi="Times New Roman" w:eastAsia="宋体" w:cs="宋体"/>
              </w:rPr>
              <w:t>并用于制造电石、液碱、漂白粉和石膏。实验室用于氨气的干燥和醇的脱水等。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592" w:type="pct"/>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溶解性</w:t>
            </w:r>
          </w:p>
        </w:tc>
        <w:tc>
          <w:tcPr>
            <w:tcW w:w="3693" w:type="pct"/>
            <w:gridSpan w:val="9"/>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不溶于醇，溶于酸、甘油。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restart"/>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燃烧爆炸危险性</w:t>
            </w:r>
          </w:p>
        </w:tc>
        <w:tc>
          <w:tcPr>
            <w:tcW w:w="1246" w:type="pct"/>
            <w:gridSpan w:val="5"/>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燃烧性：不燃</w:t>
            </w:r>
          </w:p>
        </w:tc>
        <w:tc>
          <w:tcPr>
            <w:tcW w:w="1466" w:type="pct"/>
            <w:gridSpan w:val="3"/>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 xml:space="preserve">建规火险分级： </w:t>
            </w:r>
          </w:p>
        </w:tc>
        <w:tc>
          <w:tcPr>
            <w:tcW w:w="1573"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闪点（℃）：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1246" w:type="pct"/>
            <w:gridSpan w:val="5"/>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引燃温度（℃）：</w:t>
            </w:r>
          </w:p>
        </w:tc>
        <w:tc>
          <w:tcPr>
            <w:tcW w:w="1466" w:type="pct"/>
            <w:gridSpan w:val="3"/>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 xml:space="preserve">爆炸下限（V%）： </w:t>
            </w:r>
          </w:p>
        </w:tc>
        <w:tc>
          <w:tcPr>
            <w:tcW w:w="1573"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爆炸上限（V%）：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852" w:type="pct"/>
            <w:gridSpan w:val="3"/>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危险特性</w:t>
            </w:r>
          </w:p>
        </w:tc>
        <w:tc>
          <w:tcPr>
            <w:tcW w:w="3433" w:type="pct"/>
            <w:gridSpan w:val="7"/>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与酸类物质能发生剧烈反应。具有较强的腐蚀性。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852" w:type="pct"/>
            <w:gridSpan w:val="3"/>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分解产物</w:t>
            </w:r>
          </w:p>
        </w:tc>
        <w:tc>
          <w:tcPr>
            <w:tcW w:w="3433" w:type="pct"/>
            <w:gridSpan w:val="7"/>
            <w:noWrap w:val="0"/>
            <w:vAlign w:val="center"/>
          </w:tcPr>
          <w:p>
            <w:pPr>
              <w:tabs>
                <w:tab w:val="left" w:pos="377"/>
              </w:tabs>
              <w:spacing w:line="240" w:lineRule="auto"/>
              <w:jc w:val="left"/>
              <w:rPr>
                <w:rFonts w:hint="eastAsia" w:ascii="Times New Roman" w:hAnsi="Times New Roman" w:eastAsia="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1843" w:type="pct"/>
            <w:gridSpan w:val="6"/>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稳定性：稳定</w:t>
            </w:r>
          </w:p>
        </w:tc>
        <w:tc>
          <w:tcPr>
            <w:tcW w:w="2442" w:type="pct"/>
            <w:gridSpan w:val="4"/>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聚合危害：不能出现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643"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禁忌物</w:t>
            </w:r>
          </w:p>
        </w:tc>
        <w:tc>
          <w:tcPr>
            <w:tcW w:w="3642" w:type="pct"/>
            <w:gridSpan w:val="8"/>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水、酸类、易燃或可燃物。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643"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灭火方法</w:t>
            </w:r>
          </w:p>
        </w:tc>
        <w:tc>
          <w:tcPr>
            <w:tcW w:w="3642" w:type="pct"/>
            <w:gridSpan w:val="8"/>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采用干粉、二氧化碳、干砂灭火。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643"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侵入途径</w:t>
            </w:r>
          </w:p>
        </w:tc>
        <w:tc>
          <w:tcPr>
            <w:tcW w:w="3642" w:type="pct"/>
            <w:gridSpan w:val="8"/>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643"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急救措施</w:t>
            </w:r>
          </w:p>
        </w:tc>
        <w:tc>
          <w:tcPr>
            <w:tcW w:w="3642" w:type="pct"/>
            <w:gridSpan w:val="8"/>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皮肤接触：</w:t>
            </w:r>
            <w:r>
              <w:rPr>
                <w:rFonts w:hint="eastAsia" w:ascii="Times New Roman" w:hAnsi="Times New Roman" w:eastAsia="宋体" w:cs="宋体"/>
              </w:rPr>
              <w:t>立即脱去污染的衣着，先用植物油或矿物油清洗。用大量流动清水冲洗。就医。</w:t>
            </w:r>
          </w:p>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眼睛接触：</w:t>
            </w:r>
            <w:r>
              <w:rPr>
                <w:rFonts w:hint="eastAsia" w:ascii="Times New Roman" w:hAnsi="Times New Roman" w:eastAsia="宋体" w:cs="宋体"/>
              </w:rPr>
              <w:t>提起眼睑，用流动清水或生理盐水冲洗。就医。</w:t>
            </w:r>
          </w:p>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吸入：</w:t>
            </w:r>
            <w:r>
              <w:rPr>
                <w:rFonts w:hint="eastAsia" w:ascii="Times New Roman" w:hAnsi="Times New Roman" w:eastAsia="宋体" w:cs="宋体"/>
              </w:rPr>
              <w:t>迅速脱离现场至空气新鲜处。保持呼吸道通畅。如呼吸困难，给输氧。如呼吸停止，立即进行人工呼吸。就医。</w:t>
            </w:r>
          </w:p>
          <w:p>
            <w:pPr>
              <w:tabs>
                <w:tab w:val="left" w:pos="377"/>
              </w:tabs>
              <w:spacing w:line="240" w:lineRule="auto"/>
              <w:jc w:val="left"/>
              <w:rPr>
                <w:rFonts w:ascii="Times New Roman" w:hAnsi="Times New Roman" w:eastAsia="宋体"/>
              </w:rPr>
            </w:pPr>
            <w:r>
              <w:rPr>
                <w:rFonts w:hint="eastAsia" w:ascii="Times New Roman" w:hAnsi="Times New Roman" w:eastAsia="宋体"/>
              </w:rPr>
              <w:t>食入：</w:t>
            </w:r>
            <w:r>
              <w:rPr>
                <w:rFonts w:hint="eastAsia" w:ascii="Times New Roman" w:hAnsi="Times New Roman" w:eastAsia="宋体" w:cs="宋体"/>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643"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毒性</w:t>
            </w:r>
          </w:p>
        </w:tc>
        <w:tc>
          <w:tcPr>
            <w:tcW w:w="3642" w:type="pct"/>
            <w:gridSpan w:val="8"/>
            <w:noWrap w:val="0"/>
            <w:vAlign w:val="center"/>
          </w:tcPr>
          <w:p>
            <w:pPr>
              <w:tabs>
                <w:tab w:val="left" w:pos="377"/>
              </w:tabs>
              <w:spacing w:line="240" w:lineRule="auto"/>
              <w:jc w:val="left"/>
              <w:rPr>
                <w:rFonts w:hint="eastAsia" w:ascii="Times New Roman" w:hAnsi="Times New Roman" w:eastAsia="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643"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健康危害</w:t>
            </w:r>
          </w:p>
        </w:tc>
        <w:tc>
          <w:tcPr>
            <w:tcW w:w="3642" w:type="pct"/>
            <w:gridSpan w:val="8"/>
            <w:noWrap w:val="0"/>
            <w:vAlign w:val="center"/>
          </w:tcPr>
          <w:p>
            <w:pPr>
              <w:tabs>
                <w:tab w:val="left" w:pos="377"/>
              </w:tabs>
              <w:spacing w:line="240" w:lineRule="auto"/>
              <w:jc w:val="left"/>
              <w:rPr>
                <w:rFonts w:hint="eastAsia" w:ascii="Times New Roman" w:hAnsi="Times New Roman" w:eastAsia="宋体" w:cs="Arial"/>
              </w:rPr>
            </w:pPr>
            <w:r>
              <w:rPr>
                <w:rFonts w:hint="eastAsia" w:ascii="Times New Roman" w:hAnsi="Times New Roman" w:eastAsia="宋体" w:cs="宋体"/>
              </w:rPr>
              <w:t>本品属强碱，有刺激和腐蚀作用。对呼吸道有强烈刺激性，吸入本品粉尘可致化学性肺炎。对眼和皮肤有强烈刺激性，可致灼伤。口服刺激和灼伤消化道。长期接触本品可致手掌皮肤角化、皲裂、指甲变形（匙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restart"/>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包装与储运</w:t>
            </w:r>
          </w:p>
        </w:tc>
        <w:tc>
          <w:tcPr>
            <w:tcW w:w="2326" w:type="pct"/>
            <w:gridSpan w:val="7"/>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危险性类别：</w:t>
            </w:r>
            <w:r>
              <w:rPr>
                <w:rFonts w:hint="eastAsia" w:ascii="Times New Roman" w:hAnsi="Times New Roman" w:eastAsia="宋体" w:cs="宋体"/>
              </w:rPr>
              <w:t>第</w:t>
            </w:r>
            <w:r>
              <w:rPr>
                <w:rFonts w:ascii="Times New Roman" w:hAnsi="Times New Roman" w:eastAsia="宋体"/>
              </w:rPr>
              <w:t>8.2</w:t>
            </w:r>
            <w:r>
              <w:rPr>
                <w:rFonts w:hint="eastAsia" w:ascii="Times New Roman" w:hAnsi="Times New Roman" w:eastAsia="宋体" w:cs="宋体"/>
              </w:rPr>
              <w:t>类</w:t>
            </w:r>
            <w:r>
              <w:rPr>
                <w:rFonts w:ascii="Times New Roman" w:hAnsi="Times New Roman" w:eastAsia="宋体"/>
              </w:rPr>
              <w:t xml:space="preserve"> </w:t>
            </w:r>
            <w:r>
              <w:rPr>
                <w:rFonts w:hint="eastAsia" w:ascii="Times New Roman" w:hAnsi="Times New Roman" w:eastAsia="宋体" w:cs="宋体"/>
              </w:rPr>
              <w:t>碱性腐蚀品</w:t>
            </w:r>
          </w:p>
        </w:tc>
        <w:tc>
          <w:tcPr>
            <w:tcW w:w="1959" w:type="pct"/>
            <w:gridSpan w:val="3"/>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危险货物包装标志：</w:t>
            </w:r>
            <w:r>
              <w:rPr>
                <w:rFonts w:hint="eastAsia" w:ascii="Times New Roman" w:hAnsi="Times New Roman" w:eastAsia="宋体" w:cs="宋体"/>
              </w:rPr>
              <w:t>腐蚀品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1050" w:type="pct"/>
            <w:gridSpan w:val="4"/>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储运注意事项</w:t>
            </w:r>
          </w:p>
        </w:tc>
        <w:tc>
          <w:tcPr>
            <w:tcW w:w="3235" w:type="pct"/>
            <w:gridSpan w:val="6"/>
            <w:noWrap w:val="0"/>
            <w:vAlign w:val="center"/>
          </w:tcPr>
          <w:p>
            <w:pPr>
              <w:tabs>
                <w:tab w:val="left" w:pos="377"/>
              </w:tabs>
              <w:spacing w:line="240" w:lineRule="auto"/>
              <w:jc w:val="left"/>
              <w:rPr>
                <w:rFonts w:hint="eastAsia" w:ascii="Times New Roman" w:hAnsi="Times New Roman" w:eastAsia="宋体"/>
                <w:spacing w:val="-10"/>
              </w:rPr>
            </w:pPr>
            <w:r>
              <w:rPr>
                <w:rFonts w:hint="eastAsia" w:ascii="Times New Roman" w:hAnsi="Times New Roman" w:eastAsia="宋体" w:cs="宋体"/>
              </w:rPr>
              <w:t>储存于阴凉、通风的库房。库内湿度最好不大于</w:t>
            </w:r>
            <w:r>
              <w:rPr>
                <w:rFonts w:ascii="Times New Roman" w:hAnsi="Times New Roman" w:eastAsia="宋体"/>
              </w:rPr>
              <w:t>85</w:t>
            </w:r>
            <w:r>
              <w:rPr>
                <w:rFonts w:hint="eastAsia" w:ascii="Times New Roman" w:hAnsi="Times New Roman" w:eastAsia="宋体" w:cs="宋体"/>
              </w:rPr>
              <w:t>％。包装必须完整密封，防止吸潮。应与易（可）燃物、酸类等分开存放，切忌混储。储区应备有合适的材料收容泄漏物。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防护措施</w:t>
            </w:r>
          </w:p>
        </w:tc>
        <w:tc>
          <w:tcPr>
            <w:tcW w:w="4285" w:type="pct"/>
            <w:gridSpan w:val="10"/>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呼吸系统防护：</w:t>
            </w:r>
            <w:r>
              <w:rPr>
                <w:rFonts w:hint="eastAsia" w:ascii="Times New Roman" w:hAnsi="Times New Roman" w:eastAsia="宋体" w:cs="宋体"/>
              </w:rPr>
              <w:t>可能接触其粉尘时，建议佩戴自吸过滤式防尘口罩。</w:t>
            </w:r>
          </w:p>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眼睛防护：</w:t>
            </w:r>
            <w:r>
              <w:rPr>
                <w:rFonts w:hint="eastAsia" w:ascii="Times New Roman" w:hAnsi="Times New Roman" w:eastAsia="宋体" w:cs="宋体"/>
              </w:rPr>
              <w:t>必要时，戴化学安全防护眼镜。</w:t>
            </w:r>
          </w:p>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身体防护：</w:t>
            </w:r>
            <w:r>
              <w:rPr>
                <w:rFonts w:hint="eastAsia" w:ascii="Times New Roman" w:hAnsi="Times New Roman" w:eastAsia="宋体" w:cs="宋体"/>
              </w:rPr>
              <w:t>穿防酸碱工作服。</w:t>
            </w:r>
          </w:p>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手防护：</w:t>
            </w:r>
            <w:r>
              <w:rPr>
                <w:rFonts w:hint="eastAsia" w:ascii="Times New Roman" w:hAnsi="Times New Roman" w:eastAsia="宋体" w:cs="宋体"/>
              </w:rPr>
              <w:t>戴橡胶手套。</w:t>
            </w:r>
          </w:p>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其他防护：</w:t>
            </w:r>
            <w:r>
              <w:rPr>
                <w:rFonts w:hint="eastAsia" w:ascii="Times New Roman" w:hAnsi="Times New Roman" w:eastAsia="宋体" w:cs="宋体"/>
              </w:rPr>
              <w:t>工作场所禁止吸烟、进食和饮水，饭前要洗手。工作完毕，淋浴更衣。注意个人清洁卫生。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泄漏处置</w:t>
            </w:r>
          </w:p>
        </w:tc>
        <w:tc>
          <w:tcPr>
            <w:tcW w:w="4285" w:type="pct"/>
            <w:gridSpan w:val="10"/>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隔离泄漏污染区，限制出入。建议应急处理人员戴防尘面具（全面罩），穿防酸碱工作服。不要直接接触泄漏物。小量泄漏：避免扬尘，用洁净的铲子收集于干燥、洁净、有盖的容器中。大量泄漏：喷雾状水控制粉尘，保护人员。</w:t>
            </w:r>
          </w:p>
        </w:tc>
      </w:tr>
    </w:tbl>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 xml:space="preserve">11 </w:t>
      </w:r>
      <w:r>
        <w:rPr>
          <w:rFonts w:hint="eastAsia"/>
          <w:b/>
          <w:bCs/>
          <w:sz w:val="24"/>
          <w:szCs w:val="24"/>
          <w:lang w:val="en-US" w:eastAsia="zh-CN"/>
        </w:rPr>
        <w:t xml:space="preserve"> </w:t>
      </w:r>
      <w:r>
        <w:rPr>
          <w:rFonts w:hint="eastAsia" w:ascii="Times New Roman" w:hAnsi="Times New Roman" w:cs="Times New Roman"/>
          <w:b/>
          <w:bCs/>
          <w:sz w:val="24"/>
          <w:szCs w:val="24"/>
          <w:lang w:val="en-US" w:eastAsia="zh-CN"/>
        </w:rPr>
        <w:t>DTPA</w:t>
      </w:r>
      <w:r>
        <w:rPr>
          <w:rFonts w:hint="eastAsia"/>
          <w:b/>
          <w:bCs/>
          <w:sz w:val="24"/>
          <w:szCs w:val="24"/>
          <w:lang w:val="en-US" w:eastAsia="zh-CN"/>
        </w:rPr>
        <w:t>的理化性质、危险特性及应急防范措施一览表</w:t>
      </w:r>
    </w:p>
    <w:tbl>
      <w:tblPr>
        <w:tblStyle w:val="19"/>
        <w:tblW w:w="49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5"/>
        <w:gridCol w:w="506"/>
        <w:gridCol w:w="1083"/>
        <w:gridCol w:w="94"/>
        <w:gridCol w:w="381"/>
        <w:gridCol w:w="1251"/>
        <w:gridCol w:w="428"/>
        <w:gridCol w:w="1370"/>
        <w:gridCol w:w="262"/>
        <w:gridCol w:w="22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 w:type="pct"/>
            <w:vMerge w:val="restart"/>
            <w:noWrap w:val="0"/>
            <w:vAlign w:val="center"/>
          </w:tcPr>
          <w:p>
            <w:pPr>
              <w:tabs>
                <w:tab w:val="left" w:pos="377"/>
              </w:tabs>
              <w:spacing w:line="240" w:lineRule="auto"/>
              <w:jc w:val="left"/>
              <w:rPr>
                <w:rFonts w:hint="eastAsia" w:ascii="Times New Roman" w:hAnsi="Times New Roman" w:eastAsia="宋体"/>
                <w:b/>
              </w:rPr>
            </w:pPr>
            <w:r>
              <w:rPr>
                <w:rFonts w:hint="eastAsia" w:ascii="Times New Roman" w:hAnsi="Times New Roman" w:eastAsia="宋体"/>
                <w:b/>
              </w:rPr>
              <w:t>标识</w:t>
            </w:r>
          </w:p>
        </w:tc>
        <w:tc>
          <w:tcPr>
            <w:tcW w:w="1984" w:type="pct"/>
            <w:gridSpan w:val="5"/>
            <w:noWrap w:val="0"/>
            <w:vAlign w:val="center"/>
          </w:tcPr>
          <w:p>
            <w:pPr>
              <w:tabs>
                <w:tab w:val="left" w:pos="377"/>
              </w:tabs>
              <w:spacing w:line="240" w:lineRule="auto"/>
              <w:jc w:val="left"/>
              <w:rPr>
                <w:rFonts w:hint="eastAsia" w:ascii="Times New Roman" w:hAnsi="Times New Roman" w:eastAsia="宋体"/>
                <w:b/>
                <w:lang w:val="pt-PT"/>
              </w:rPr>
            </w:pPr>
            <w:r>
              <w:rPr>
                <w:rFonts w:hint="eastAsia" w:ascii="Times New Roman" w:hAnsi="Times New Roman" w:eastAsia="宋体"/>
                <w:b/>
              </w:rPr>
              <w:t>英文名</w:t>
            </w:r>
            <w:r>
              <w:rPr>
                <w:rFonts w:hint="eastAsia" w:ascii="Times New Roman" w:hAnsi="Times New Roman" w:eastAsia="宋体"/>
                <w:b/>
                <w:lang w:val="pt-PT"/>
              </w:rPr>
              <w:t>：</w:t>
            </w:r>
            <w:r>
              <w:rPr>
                <w:rFonts w:hint="eastAsia" w:ascii="Times New Roman" w:hAnsi="Times New Roman" w:eastAsia="宋体"/>
              </w:rPr>
              <w:t>Diethylenetriaminepentaacetic</w:t>
            </w:r>
            <w:r>
              <w:rPr>
                <w:rFonts w:hint="eastAsia" w:ascii="Times New Roman" w:hAnsi="Times New Roman"/>
                <w:lang w:val="en-US" w:eastAsia="zh-CN"/>
              </w:rPr>
              <w:t xml:space="preserve"> </w:t>
            </w:r>
            <w:r>
              <w:rPr>
                <w:rFonts w:hint="eastAsia" w:ascii="Times New Roman" w:hAnsi="Times New Roman" w:eastAsia="宋体"/>
              </w:rPr>
              <w:t>acid</w:t>
            </w:r>
          </w:p>
        </w:tc>
        <w:tc>
          <w:tcPr>
            <w:tcW w:w="1233" w:type="pct"/>
            <w:gridSpan w:val="3"/>
            <w:vMerge w:val="restart"/>
            <w:noWrap w:val="0"/>
            <w:vAlign w:val="center"/>
          </w:tcPr>
          <w:p>
            <w:pPr>
              <w:tabs>
                <w:tab w:val="left" w:pos="377"/>
              </w:tabs>
              <w:spacing w:line="240" w:lineRule="auto"/>
              <w:jc w:val="left"/>
              <w:rPr>
                <w:rFonts w:hint="eastAsia" w:ascii="Times New Roman" w:hAnsi="Times New Roman" w:eastAsia="宋体"/>
                <w:b/>
              </w:rPr>
            </w:pPr>
            <w:r>
              <w:rPr>
                <w:rFonts w:hint="eastAsia" w:ascii="Times New Roman" w:hAnsi="Times New Roman" w:eastAsia="宋体"/>
                <w:b/>
              </w:rPr>
              <w:t>分子式</w:t>
            </w:r>
            <w:r>
              <w:rPr>
                <w:rFonts w:ascii="Times New Roman" w:hAnsi="Times New Roman" w:eastAsia="宋体"/>
                <w:b/>
              </w:rPr>
              <w:t>：</w:t>
            </w:r>
            <w:r>
              <w:rPr>
                <w:rFonts w:hint="eastAsia" w:ascii="Times New Roman" w:hAnsi="Times New Roman" w:eastAsia="宋体"/>
                <w:b w:val="0"/>
                <w:bCs/>
              </w:rPr>
              <w:t>C</w:t>
            </w:r>
            <w:r>
              <w:rPr>
                <w:rFonts w:hint="eastAsia" w:ascii="Times New Roman" w:hAnsi="Times New Roman" w:eastAsia="宋体"/>
                <w:b w:val="0"/>
                <w:bCs/>
                <w:vertAlign w:val="subscript"/>
              </w:rPr>
              <w:t>14</w:t>
            </w:r>
            <w:r>
              <w:rPr>
                <w:rFonts w:hint="eastAsia" w:ascii="Times New Roman" w:hAnsi="Times New Roman" w:eastAsia="宋体"/>
                <w:b w:val="0"/>
                <w:bCs/>
              </w:rPr>
              <w:t>H</w:t>
            </w:r>
            <w:r>
              <w:rPr>
                <w:rFonts w:hint="eastAsia" w:ascii="Times New Roman" w:hAnsi="Times New Roman" w:eastAsia="宋体"/>
                <w:b w:val="0"/>
                <w:bCs/>
                <w:vertAlign w:val="subscript"/>
              </w:rPr>
              <w:t>23</w:t>
            </w:r>
            <w:r>
              <w:rPr>
                <w:rFonts w:hint="eastAsia" w:ascii="Times New Roman" w:hAnsi="Times New Roman" w:eastAsia="宋体"/>
                <w:b w:val="0"/>
                <w:bCs/>
              </w:rPr>
              <w:t>N</w:t>
            </w:r>
            <w:r>
              <w:rPr>
                <w:rFonts w:hint="eastAsia" w:ascii="Times New Roman" w:hAnsi="Times New Roman" w:eastAsia="宋体"/>
                <w:b w:val="0"/>
                <w:bCs/>
                <w:vertAlign w:val="subscript"/>
              </w:rPr>
              <w:t>3</w:t>
            </w:r>
            <w:r>
              <w:rPr>
                <w:rFonts w:hint="eastAsia" w:ascii="Times New Roman" w:hAnsi="Times New Roman" w:eastAsia="宋体"/>
                <w:b w:val="0"/>
                <w:bCs/>
              </w:rPr>
              <w:t>O</w:t>
            </w:r>
            <w:r>
              <w:rPr>
                <w:rFonts w:hint="eastAsia" w:ascii="Times New Roman" w:hAnsi="Times New Roman" w:eastAsia="宋体"/>
                <w:b w:val="0"/>
                <w:bCs/>
                <w:vertAlign w:val="subscript"/>
              </w:rPr>
              <w:t>10</w:t>
            </w:r>
          </w:p>
        </w:tc>
        <w:tc>
          <w:tcPr>
            <w:tcW w:w="1372" w:type="pct"/>
            <w:vMerge w:val="restart"/>
            <w:noWrap w:val="0"/>
            <w:vAlign w:val="center"/>
          </w:tcPr>
          <w:p>
            <w:pPr>
              <w:tabs>
                <w:tab w:val="left" w:pos="377"/>
              </w:tabs>
              <w:spacing w:line="240" w:lineRule="auto"/>
              <w:jc w:val="left"/>
              <w:rPr>
                <w:rFonts w:hint="default" w:ascii="Times New Roman" w:hAnsi="Times New Roman" w:eastAsia="宋体" w:cs="Arial"/>
                <w:b/>
                <w:lang w:val="en-US" w:eastAsia="zh-CN"/>
              </w:rPr>
            </w:pPr>
            <w:r>
              <w:rPr>
                <w:rFonts w:hint="eastAsia" w:ascii="Times New Roman" w:hAnsi="Times New Roman" w:eastAsia="宋体"/>
                <w:b/>
              </w:rPr>
              <w:t>分子量：</w:t>
            </w:r>
            <w:r>
              <w:rPr>
                <w:rFonts w:hint="eastAsia" w:ascii="Times New Roman" w:hAnsi="Times New Roman"/>
                <w:lang w:val="en-US" w:eastAsia="zh-CN"/>
              </w:rPr>
              <w:t>393.347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 w:type="pct"/>
            <w:vMerge w:val="continue"/>
            <w:noWrap w:val="0"/>
            <w:vAlign w:val="center"/>
          </w:tcPr>
          <w:p>
            <w:pPr>
              <w:tabs>
                <w:tab w:val="left" w:pos="377"/>
              </w:tabs>
              <w:spacing w:line="240" w:lineRule="auto"/>
              <w:jc w:val="left"/>
              <w:rPr>
                <w:rFonts w:hint="eastAsia" w:ascii="Times New Roman" w:hAnsi="Times New Roman" w:eastAsia="宋体"/>
              </w:rPr>
            </w:pPr>
          </w:p>
        </w:tc>
        <w:tc>
          <w:tcPr>
            <w:tcW w:w="1984" w:type="pct"/>
            <w:gridSpan w:val="5"/>
            <w:noWrap w:val="0"/>
            <w:vAlign w:val="center"/>
          </w:tcPr>
          <w:p>
            <w:pPr>
              <w:tabs>
                <w:tab w:val="left" w:pos="377"/>
              </w:tabs>
              <w:spacing w:line="240" w:lineRule="auto"/>
              <w:jc w:val="left"/>
              <w:rPr>
                <w:rFonts w:hint="eastAsia" w:ascii="Times New Roman" w:hAnsi="Times New Roman" w:eastAsia="宋体"/>
                <w:lang w:eastAsia="zh-CN"/>
              </w:rPr>
            </w:pPr>
            <w:r>
              <w:rPr>
                <w:rFonts w:hint="eastAsia" w:ascii="Times New Roman" w:hAnsi="Times New Roman" w:eastAsia="宋体"/>
              </w:rPr>
              <w:t>CAS号：</w:t>
            </w:r>
            <w:r>
              <w:rPr>
                <w:rFonts w:hint="eastAsia" w:ascii="Times New Roman" w:hAnsi="Times New Roman"/>
                <w:lang w:val="en-US" w:eastAsia="zh-CN"/>
              </w:rPr>
              <w:t>67</w:t>
            </w:r>
            <w:r>
              <w:rPr>
                <w:rFonts w:ascii="Times New Roman" w:hAnsi="Times New Roman" w:eastAsia="宋体"/>
              </w:rPr>
              <w:t>-</w:t>
            </w:r>
            <w:r>
              <w:rPr>
                <w:rFonts w:hint="eastAsia" w:ascii="Times New Roman" w:hAnsi="Times New Roman"/>
                <w:lang w:val="en-US" w:eastAsia="zh-CN"/>
              </w:rPr>
              <w:t>43</w:t>
            </w:r>
            <w:r>
              <w:rPr>
                <w:rFonts w:ascii="Times New Roman" w:hAnsi="Times New Roman" w:eastAsia="宋体"/>
              </w:rPr>
              <w:t>-</w:t>
            </w:r>
            <w:r>
              <w:rPr>
                <w:rFonts w:hint="eastAsia" w:ascii="Times New Roman" w:hAnsi="Times New Roman"/>
                <w:lang w:val="en-US" w:eastAsia="zh-CN"/>
              </w:rPr>
              <w:t>6</w:t>
            </w:r>
          </w:p>
        </w:tc>
        <w:tc>
          <w:tcPr>
            <w:tcW w:w="1233" w:type="pct"/>
            <w:gridSpan w:val="3"/>
            <w:vMerge w:val="continue"/>
            <w:noWrap w:val="0"/>
            <w:vAlign w:val="center"/>
          </w:tcPr>
          <w:p>
            <w:pPr>
              <w:tabs>
                <w:tab w:val="left" w:pos="377"/>
              </w:tabs>
              <w:spacing w:line="240" w:lineRule="auto"/>
              <w:jc w:val="left"/>
              <w:rPr>
                <w:rFonts w:hint="eastAsia" w:ascii="Times New Roman" w:hAnsi="Times New Roman" w:eastAsia="宋体"/>
              </w:rPr>
            </w:pPr>
          </w:p>
        </w:tc>
        <w:tc>
          <w:tcPr>
            <w:tcW w:w="1372" w:type="pct"/>
            <w:vMerge w:val="continue"/>
            <w:noWrap w:val="0"/>
            <w:vAlign w:val="center"/>
          </w:tcPr>
          <w:p>
            <w:pPr>
              <w:tabs>
                <w:tab w:val="left" w:pos="377"/>
              </w:tabs>
              <w:spacing w:line="240" w:lineRule="auto"/>
              <w:jc w:val="left"/>
              <w:rPr>
                <w:rFonts w:hint="eastAsia" w:ascii="Times New Roman" w:hAnsi="Times New Roman" w:eastAsia="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713" w:type="pct"/>
            <w:gridSpan w:val="2"/>
            <w:vMerge w:val="restart"/>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理化性质</w:t>
            </w:r>
          </w:p>
        </w:tc>
        <w:tc>
          <w:tcPr>
            <w:tcW w:w="4286" w:type="pct"/>
            <w:gridSpan w:val="8"/>
            <w:noWrap w:val="0"/>
            <w:vAlign w:val="center"/>
          </w:tcPr>
          <w:p>
            <w:pPr>
              <w:tabs>
                <w:tab w:val="left" w:pos="377"/>
              </w:tabs>
              <w:spacing w:line="240" w:lineRule="auto"/>
              <w:jc w:val="left"/>
              <w:rPr>
                <w:rFonts w:hint="eastAsia" w:ascii="Times New Roman" w:hAnsi="Times New Roman" w:eastAsia="宋体"/>
                <w:lang w:val="en-US" w:eastAsia="zh-CN"/>
              </w:rPr>
            </w:pPr>
            <w:r>
              <w:rPr>
                <w:rFonts w:hint="eastAsia" w:ascii="Times New Roman" w:hAnsi="Times New Roman" w:eastAsia="宋体"/>
              </w:rPr>
              <w:t>外观与性状：白色</w:t>
            </w:r>
            <w:r>
              <w:rPr>
                <w:rFonts w:hint="eastAsia" w:ascii="Times New Roman" w:hAnsi="Times New Roman"/>
                <w:lang w:val="en-US" w:eastAsia="zh-CN"/>
              </w:rPr>
              <w:t>结晶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4286" w:type="pct"/>
            <w:gridSpan w:val="8"/>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熔点（</w:t>
            </w:r>
            <w:r>
              <w:rPr>
                <w:rFonts w:hint="default" w:ascii="Times New Roman" w:hAnsi="Times New Roman" w:eastAsia="宋体" w:cs="Times New Roman"/>
              </w:rPr>
              <w:t>℃</w:t>
            </w:r>
            <w:r>
              <w:rPr>
                <w:rFonts w:hint="eastAsia" w:ascii="Times New Roman" w:hAnsi="Times New Roman" w:eastAsia="宋体"/>
              </w:rPr>
              <w:t>）：</w:t>
            </w:r>
            <w:r>
              <w:rPr>
                <w:rFonts w:hint="eastAsia" w:ascii="Times New Roman" w:hAnsi="Times New Roman"/>
                <w:lang w:val="en-US" w:eastAsia="zh-CN"/>
              </w:rPr>
              <w:t>220</w:t>
            </w:r>
            <w:r>
              <w:rPr>
                <w:rFonts w:hint="default" w:ascii="Times New Roman" w:hAnsi="Times New Roman" w:eastAsia="宋体" w:cs="Times New Roman"/>
              </w:rPr>
              <w:t>℃</w:t>
            </w:r>
            <w:r>
              <w:rPr>
                <w:rFonts w:hint="eastAsia" w:ascii="Times New Roman" w:hAnsi="Times New Roman" w:eastAsia="宋体"/>
              </w:rPr>
              <w:t>；</w:t>
            </w:r>
            <w:r>
              <w:rPr>
                <w:rFonts w:ascii="Times New Roman" w:hAnsi="Times New Roman" w:eastAsia="宋体"/>
              </w:rPr>
              <w:t> 沸点：</w:t>
            </w:r>
            <w:r>
              <w:rPr>
                <w:rFonts w:hint="eastAsia" w:ascii="Times New Roman" w:hAnsi="Times New Roman"/>
                <w:lang w:val="en-US" w:eastAsia="zh-CN"/>
              </w:rPr>
              <w:t>756.5</w:t>
            </w:r>
            <w:r>
              <w:rPr>
                <w:rFonts w:hint="default" w:ascii="Times New Roman" w:hAnsi="Times New Roman" w:eastAsia="宋体" w:cs="Times New Roman"/>
              </w:rPr>
              <w:t>℃</w:t>
            </w:r>
            <w:r>
              <w:rPr>
                <w:rFonts w:hint="eastAsia" w:ascii="Times New Roman" w:hAnsi="Times New Roman" w:eastAsia="宋体" w:cs="宋体"/>
              </w:rPr>
              <w:t>；</w:t>
            </w:r>
            <w:r>
              <w:rPr>
                <w:rFonts w:ascii="Times New Roman" w:hAnsi="Times New Roman" w:eastAsia="宋体" w:cs="宋体"/>
              </w:rPr>
              <w:t>饱和蒸气压(kPa)：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4286" w:type="pct"/>
            <w:gridSpan w:val="8"/>
            <w:noWrap w:val="0"/>
            <w:vAlign w:val="center"/>
          </w:tcPr>
          <w:p>
            <w:pPr>
              <w:tabs>
                <w:tab w:val="left" w:pos="377"/>
              </w:tabs>
              <w:spacing w:line="240" w:lineRule="auto"/>
              <w:jc w:val="left"/>
              <w:rPr>
                <w:rFonts w:hint="eastAsia" w:ascii="Times New Roman" w:hAnsi="Times New Roman" w:eastAsia="宋体"/>
                <w:lang w:eastAsia="zh-CN"/>
              </w:rPr>
            </w:pPr>
            <w:r>
              <w:rPr>
                <w:rFonts w:hint="eastAsia" w:ascii="Times New Roman" w:hAnsi="Times New Roman" w:eastAsia="宋体"/>
              </w:rPr>
              <w:t>相对密</w:t>
            </w:r>
            <w:r>
              <w:rPr>
                <w:rFonts w:hint="eastAsia" w:ascii="Times New Roman" w:hAnsi="Times New Roman" w:eastAsia="宋体"/>
                <w:highlight w:val="none"/>
              </w:rPr>
              <w:t>度（水=1）：</w:t>
            </w:r>
            <w:r>
              <w:rPr>
                <w:rFonts w:hint="eastAsia" w:ascii="Times New Roman" w:hAnsi="Times New Roman"/>
                <w:highlight w:val="none"/>
                <w:lang w:val="en-US" w:eastAsia="zh-CN"/>
              </w:rPr>
              <w:t>1</w:t>
            </w:r>
            <w:r>
              <w:rPr>
                <w:rFonts w:hint="eastAsia" w:ascii="Times New Roman" w:hAnsi="Times New Roman" w:eastAsia="宋体"/>
                <w:highlight w:val="none"/>
              </w:rPr>
              <w:t>：</w:t>
            </w:r>
            <w:r>
              <w:rPr>
                <w:rFonts w:hint="eastAsia" w:ascii="Times New Roman" w:hAnsi="Times New Roman"/>
                <w:highlight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648" w:type="pct"/>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主要用途</w:t>
            </w:r>
          </w:p>
        </w:tc>
        <w:tc>
          <w:tcPr>
            <w:tcW w:w="3638" w:type="pct"/>
            <w:gridSpan w:val="7"/>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络合剂，络合滴定钼、硫酸盐和稀土金属，电流终点法测定铜。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648" w:type="pct"/>
            <w:noWrap w:val="0"/>
            <w:vAlign w:val="center"/>
          </w:tcPr>
          <w:p>
            <w:pPr>
              <w:tabs>
                <w:tab w:val="left" w:pos="377"/>
              </w:tabs>
              <w:spacing w:line="240" w:lineRule="auto"/>
              <w:jc w:val="left"/>
              <w:rPr>
                <w:rFonts w:hint="eastAsia" w:ascii="Times New Roman" w:hAnsi="Times New Roman" w:eastAsia="宋体"/>
                <w:lang w:eastAsia="zh-CN"/>
              </w:rPr>
            </w:pPr>
            <w:r>
              <w:rPr>
                <w:rFonts w:hint="eastAsia" w:ascii="Times New Roman" w:hAnsi="Times New Roman"/>
                <w:lang w:val="en-US" w:eastAsia="zh-CN"/>
              </w:rPr>
              <w:t>水溶性</w:t>
            </w:r>
          </w:p>
        </w:tc>
        <w:tc>
          <w:tcPr>
            <w:tcW w:w="3638" w:type="pct"/>
            <w:gridSpan w:val="7"/>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5 g/L (20</w:t>
            </w:r>
            <w:r>
              <w:rPr>
                <w:rFonts w:hint="default" w:ascii="Times New Roman" w:hAnsi="Times New Roman" w:eastAsia="宋体" w:cs="Times New Roman"/>
              </w:rPr>
              <w:t>℃</w:t>
            </w:r>
            <w:r>
              <w:rPr>
                <w:rFonts w:hint="eastAsia" w:ascii="Times New Roman" w:hAnsi="Times New Roman" w:eastAsia="宋体"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713" w:type="pct"/>
            <w:gridSpan w:val="2"/>
            <w:vMerge w:val="restart"/>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燃烧爆炸危险性</w:t>
            </w:r>
          </w:p>
        </w:tc>
        <w:tc>
          <w:tcPr>
            <w:tcW w:w="1681" w:type="pct"/>
            <w:gridSpan w:val="4"/>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燃烧性：不燃</w:t>
            </w:r>
          </w:p>
        </w:tc>
        <w:tc>
          <w:tcPr>
            <w:tcW w:w="1076"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 xml:space="preserve">建规火险分级： </w:t>
            </w:r>
          </w:p>
        </w:tc>
        <w:tc>
          <w:tcPr>
            <w:tcW w:w="1528"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闪点（℃）：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1681" w:type="pct"/>
            <w:gridSpan w:val="4"/>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引燃温度（℃）：</w:t>
            </w:r>
          </w:p>
        </w:tc>
        <w:tc>
          <w:tcPr>
            <w:tcW w:w="1076"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 xml:space="preserve">爆炸下限（V%）： </w:t>
            </w:r>
          </w:p>
        </w:tc>
        <w:tc>
          <w:tcPr>
            <w:tcW w:w="1528"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爆炸上限（V%）：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932" w:type="pct"/>
            <w:gridSpan w:val="3"/>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危险特性</w:t>
            </w:r>
          </w:p>
        </w:tc>
        <w:tc>
          <w:tcPr>
            <w:tcW w:w="3354" w:type="pct"/>
            <w:gridSpan w:val="5"/>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与酸类物质能发生剧烈反应。具有较强的腐蚀性。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932" w:type="pct"/>
            <w:gridSpan w:val="3"/>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分解产物</w:t>
            </w:r>
          </w:p>
        </w:tc>
        <w:tc>
          <w:tcPr>
            <w:tcW w:w="3354" w:type="pct"/>
            <w:gridSpan w:val="5"/>
            <w:noWrap w:val="0"/>
            <w:vAlign w:val="center"/>
          </w:tcPr>
          <w:p>
            <w:pPr>
              <w:tabs>
                <w:tab w:val="left" w:pos="377"/>
              </w:tabs>
              <w:spacing w:line="240" w:lineRule="auto"/>
              <w:jc w:val="left"/>
              <w:rPr>
                <w:rFonts w:hint="eastAsia" w:ascii="Times New Roman" w:hAnsi="Times New Roman" w:eastAsia="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1937" w:type="pct"/>
            <w:gridSpan w:val="5"/>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稳定性：稳定</w:t>
            </w:r>
          </w:p>
        </w:tc>
        <w:tc>
          <w:tcPr>
            <w:tcW w:w="2349" w:type="pct"/>
            <w:gridSpan w:val="3"/>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聚合危害：不能出现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704"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禁忌物</w:t>
            </w:r>
          </w:p>
        </w:tc>
        <w:tc>
          <w:tcPr>
            <w:tcW w:w="3582" w:type="pct"/>
            <w:gridSpan w:val="6"/>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水、酸类、易燃或可燃物。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704"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灭火方法</w:t>
            </w:r>
          </w:p>
        </w:tc>
        <w:tc>
          <w:tcPr>
            <w:tcW w:w="3582" w:type="pct"/>
            <w:gridSpan w:val="6"/>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采用干粉、二氧化碳、干砂灭火。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704"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侵入途径</w:t>
            </w:r>
          </w:p>
        </w:tc>
        <w:tc>
          <w:tcPr>
            <w:tcW w:w="3582" w:type="pct"/>
            <w:gridSpan w:val="6"/>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cs="宋体"/>
              </w:rPr>
              <w:t>吸入、食入、经皮吸收。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704"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急救措施</w:t>
            </w:r>
          </w:p>
        </w:tc>
        <w:tc>
          <w:tcPr>
            <w:tcW w:w="3582" w:type="pct"/>
            <w:gridSpan w:val="6"/>
            <w:noWrap w:val="0"/>
            <w:vAlign w:val="center"/>
          </w:tcPr>
          <w:p>
            <w:pPr>
              <w:tabs>
                <w:tab w:val="left" w:pos="377"/>
              </w:tabs>
              <w:spacing w:line="240" w:lineRule="auto"/>
              <w:jc w:val="left"/>
              <w:rPr>
                <w:rFonts w:ascii="Times New Roman" w:hAnsi="Times New Roman" w:eastAsia="宋体"/>
              </w:rPr>
            </w:pPr>
            <w:r>
              <w:rPr>
                <w:rFonts w:hint="eastAsia" w:ascii="Times New Roman" w:hAnsi="Times New Roman" w:eastAsia="宋体"/>
              </w:rPr>
              <w:t>不慎与眼睛接触后，请立即用大量清水冲洗并征求医生意见。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13" w:type="pct"/>
            <w:gridSpan w:val="2"/>
            <w:vMerge w:val="continue"/>
            <w:noWrap w:val="0"/>
            <w:vAlign w:val="center"/>
          </w:tcPr>
          <w:p>
            <w:pPr>
              <w:tabs>
                <w:tab w:val="left" w:pos="377"/>
              </w:tabs>
              <w:spacing w:line="240" w:lineRule="auto"/>
              <w:jc w:val="left"/>
              <w:rPr>
                <w:rFonts w:hint="eastAsia" w:ascii="Times New Roman" w:hAnsi="Times New Roman" w:eastAsia="宋体"/>
              </w:rPr>
            </w:pPr>
          </w:p>
        </w:tc>
        <w:tc>
          <w:tcPr>
            <w:tcW w:w="704"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毒性</w:t>
            </w:r>
          </w:p>
        </w:tc>
        <w:tc>
          <w:tcPr>
            <w:tcW w:w="3582" w:type="pct"/>
            <w:gridSpan w:val="6"/>
            <w:noWrap w:val="0"/>
            <w:vAlign w:val="center"/>
          </w:tcPr>
          <w:p>
            <w:pPr>
              <w:tabs>
                <w:tab w:val="left" w:pos="377"/>
              </w:tabs>
              <w:spacing w:line="240" w:lineRule="auto"/>
              <w:jc w:val="left"/>
              <w:rPr>
                <w:rFonts w:hint="default" w:ascii="Times New Roman" w:hAnsi="Times New Roman" w:eastAsia="宋体"/>
                <w:lang w:val="en-US" w:eastAsia="zh-CN"/>
              </w:rPr>
            </w:pPr>
            <w:r>
              <w:rPr>
                <w:rFonts w:hint="eastAsia" w:ascii="Times New Roman" w:hAnsi="Times New Roman"/>
                <w:lang w:val="en-US" w:eastAsia="zh-CN"/>
              </w:rPr>
              <w:t>无毒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713" w:type="pct"/>
            <w:gridSpan w:val="2"/>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防护措施</w:t>
            </w:r>
          </w:p>
        </w:tc>
        <w:tc>
          <w:tcPr>
            <w:tcW w:w="4286" w:type="pct"/>
            <w:gridSpan w:val="8"/>
            <w:noWrap w:val="0"/>
            <w:vAlign w:val="center"/>
          </w:tcPr>
          <w:p>
            <w:pPr>
              <w:tabs>
                <w:tab w:val="left" w:pos="377"/>
              </w:tabs>
              <w:spacing w:line="240" w:lineRule="auto"/>
              <w:jc w:val="left"/>
              <w:rPr>
                <w:rFonts w:hint="eastAsia" w:ascii="Times New Roman" w:hAnsi="Times New Roman" w:eastAsia="宋体"/>
              </w:rPr>
            </w:pPr>
            <w:r>
              <w:rPr>
                <w:rFonts w:hint="eastAsia" w:ascii="Times New Roman" w:hAnsi="Times New Roman" w:eastAsia="宋体"/>
              </w:rPr>
              <w:t>戴适当的手套和护目镜或面具。</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ascii="Times New Roman" w:hAnsi="Times New Roman"/>
          <w:sz w:val="24"/>
          <w:szCs w:val="24"/>
          <w:lang w:val="en-US" w:eastAsia="zh-CN"/>
        </w:rPr>
      </w:pPr>
      <w:r>
        <w:rPr>
          <w:rFonts w:hint="eastAsia"/>
          <w:sz w:val="24"/>
          <w:szCs w:val="24"/>
          <w:lang w:val="en-US" w:eastAsia="zh-CN"/>
        </w:rPr>
        <w:t>由表</w:t>
      </w:r>
      <w:r>
        <w:rPr>
          <w:rFonts w:hint="eastAsia" w:ascii="Times New Roman" w:hAnsi="Times New Roman" w:cs="Times New Roman"/>
          <w:sz w:val="24"/>
          <w:szCs w:val="24"/>
          <w:lang w:val="en-US" w:eastAsia="zh-CN"/>
        </w:rPr>
        <w:t>6.6</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6</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6.6</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11</w:t>
      </w:r>
      <w:r>
        <w:rPr>
          <w:rFonts w:hint="eastAsia"/>
          <w:sz w:val="24"/>
          <w:szCs w:val="24"/>
          <w:lang w:val="en-US" w:eastAsia="zh-CN"/>
        </w:rPr>
        <w:t>可知，本工程所涉及的危险化学品为天然气、</w:t>
      </w:r>
      <w:r>
        <w:rPr>
          <w:rFonts w:hint="default" w:ascii="Times New Roman" w:hAnsi="Times New Roman" w:cs="Times New Roman"/>
          <w:sz w:val="24"/>
          <w:szCs w:val="24"/>
          <w:lang w:val="en-US" w:eastAsia="zh-CN"/>
        </w:rPr>
        <w:t>H</w:t>
      </w:r>
      <w:r>
        <w:rPr>
          <w:rFonts w:hint="default" w:ascii="Times New Roman" w:hAnsi="Times New Roman" w:cs="Times New Roman"/>
          <w:sz w:val="24"/>
          <w:szCs w:val="24"/>
          <w:vertAlign w:val="subscript"/>
          <w:lang w:val="en-US" w:eastAsia="zh-CN"/>
        </w:rPr>
        <w:t>2</w:t>
      </w:r>
      <w:r>
        <w:rPr>
          <w:rFonts w:hint="default" w:ascii="Times New Roman" w:hAnsi="Times New Roman" w:cs="Times New Roman"/>
          <w:sz w:val="24"/>
          <w:szCs w:val="24"/>
          <w:lang w:val="en-US" w:eastAsia="zh-CN"/>
        </w:rPr>
        <w:t>O</w:t>
      </w:r>
      <w:r>
        <w:rPr>
          <w:rFonts w:hint="default" w:ascii="Times New Roman" w:hAnsi="Times New Roman" w:cs="Times New Roman"/>
          <w:sz w:val="24"/>
          <w:szCs w:val="24"/>
          <w:vertAlign w:val="subscript"/>
          <w:lang w:val="en-US" w:eastAsia="zh-CN"/>
        </w:rPr>
        <w:t>2</w:t>
      </w:r>
      <w:r>
        <w:rPr>
          <w:rFonts w:hint="eastAsia"/>
          <w:sz w:val="24"/>
          <w:szCs w:val="24"/>
          <w:lang w:val="en-US" w:eastAsia="zh-CN"/>
        </w:rPr>
        <w:t>、</w:t>
      </w:r>
      <w:r>
        <w:rPr>
          <w:rFonts w:hint="default" w:ascii="Times New Roman" w:hAnsi="Times New Roman" w:cs="Times New Roman"/>
          <w:sz w:val="24"/>
          <w:szCs w:val="24"/>
          <w:lang w:val="en-US" w:eastAsia="zh-CN"/>
        </w:rPr>
        <w:t>DTPA</w:t>
      </w:r>
      <w:r>
        <w:rPr>
          <w:rFonts w:hint="eastAsia"/>
          <w:sz w:val="24"/>
          <w:szCs w:val="24"/>
          <w:lang w:val="en-US" w:eastAsia="zh-CN"/>
        </w:rPr>
        <w:t>、氨水、氢氧化钠。</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2.3</w:t>
      </w:r>
      <w:r>
        <w:rPr>
          <w:rFonts w:hint="eastAsia" w:ascii="Times New Roman" w:hAnsi="Times New Roman"/>
          <w:b/>
          <w:bCs/>
          <w:sz w:val="24"/>
          <w:szCs w:val="24"/>
          <w:highlight w:val="none"/>
          <w:lang w:val="en-US" w:eastAsia="zh-CN"/>
        </w:rPr>
        <w:t>生产系统危险性识别</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生产系统危险性识别范围为主要生产装置、贮运系统、公用工程系统、环保设施及辅助生产设施；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w:t>
      </w:r>
      <w:r>
        <w:rPr>
          <w:rFonts w:hint="default" w:ascii="Times New Roman" w:hAnsi="Times New Roman" w:cs="Times New Roman"/>
          <w:sz w:val="24"/>
          <w:szCs w:val="24"/>
          <w:lang w:val="en-US" w:eastAsia="zh-CN"/>
        </w:rPr>
        <w:t>1</w:t>
      </w:r>
      <w:r>
        <w:rPr>
          <w:rFonts w:hint="eastAsia"/>
          <w:sz w:val="24"/>
          <w:szCs w:val="24"/>
          <w:lang w:val="en-US" w:eastAsia="zh-CN"/>
        </w:rPr>
        <w:t>）危险单元的划分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根据《建设项目环境风险评价技术导则》(HJ169-2018)，危险单元是由一个或多个风险源构成的具有相对独立功能的单元，事故状况下应可实现与其他功能单元的分割。本工程危险单元划分为化机浆车间、</w:t>
      </w:r>
      <w:r>
        <w:rPr>
          <w:rFonts w:hint="default" w:ascii="Times New Roman" w:hAnsi="Times New Roman" w:cs="Times New Roman"/>
          <w:sz w:val="24"/>
          <w:szCs w:val="24"/>
          <w:lang w:val="en-US" w:eastAsia="zh-CN"/>
        </w:rPr>
        <w:t>RTO</w:t>
      </w:r>
      <w:r>
        <w:rPr>
          <w:rFonts w:hint="eastAsia" w:ascii="Times New Roman" w:hAnsi="Times New Roman"/>
          <w:sz w:val="24"/>
          <w:szCs w:val="24"/>
          <w:lang w:val="en-US" w:eastAsia="zh-CN"/>
        </w:rPr>
        <w:t>系统区域、碱回收系统区域共3个风险单元。本工程未批先建，已运行多年，化机浆车间、碱回收系统区域为现有风险单元，拟增加的RTO系统区域为新增风险单元。</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（2）危险单元危险性识别</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本项目各危险单元内危险物质的最大存在量见表</w:t>
      </w:r>
      <w:r>
        <w:rPr>
          <w:rFonts w:hint="default" w:ascii="Times New Roman" w:hAnsi="Times New Roman" w:cs="Times New Roman"/>
          <w:sz w:val="24"/>
          <w:szCs w:val="24"/>
          <w:lang w:val="en-US" w:eastAsia="zh-CN"/>
        </w:rPr>
        <w:t>6.6-12</w:t>
      </w:r>
      <w:r>
        <w:rPr>
          <w:rFonts w:hint="eastAsia"/>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b/>
          <w:bCs/>
          <w:sz w:val="24"/>
          <w:szCs w:val="24"/>
          <w:lang w:val="en-US" w:eastAsia="zh-CN"/>
        </w:rPr>
        <w:t>表</w:t>
      </w:r>
      <w:r>
        <w:rPr>
          <w:rFonts w:hint="default" w:ascii="Times New Roman" w:hAnsi="Times New Roman" w:cs="Times New Roman"/>
          <w:b/>
          <w:bCs/>
          <w:sz w:val="24"/>
          <w:szCs w:val="24"/>
          <w:lang w:val="en-US" w:eastAsia="zh-CN"/>
        </w:rPr>
        <w:t>6.6-12</w:t>
      </w:r>
      <w:r>
        <w:rPr>
          <w:rFonts w:hint="eastAsia"/>
          <w:b/>
          <w:bCs/>
          <w:sz w:val="24"/>
          <w:szCs w:val="24"/>
          <w:lang w:val="en-US" w:eastAsia="zh-CN"/>
        </w:rPr>
        <w:t xml:space="preserve">  本项目各危险单元内危险物质的最大存在量一览表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537"/>
        <w:gridCol w:w="1619"/>
        <w:gridCol w:w="1775"/>
        <w:gridCol w:w="1237"/>
        <w:gridCol w:w="15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67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序号</w:t>
            </w:r>
          </w:p>
        </w:tc>
        <w:tc>
          <w:tcPr>
            <w:tcW w:w="1537"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危险单元</w:t>
            </w:r>
          </w:p>
        </w:tc>
        <w:tc>
          <w:tcPr>
            <w:tcW w:w="161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危险化学品</w:t>
            </w:r>
          </w:p>
        </w:tc>
        <w:tc>
          <w:tcPr>
            <w:tcW w:w="177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最大存在量（t）</w:t>
            </w:r>
          </w:p>
        </w:tc>
        <w:tc>
          <w:tcPr>
            <w:tcW w:w="1237"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临界量（t）</w:t>
            </w:r>
          </w:p>
        </w:tc>
        <w:tc>
          <w:tcPr>
            <w:tcW w:w="154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潜在危险源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675" w:type="dxa"/>
            <w:vMerge w:val="restart"/>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w:t>
            </w:r>
          </w:p>
        </w:tc>
        <w:tc>
          <w:tcPr>
            <w:tcW w:w="1537" w:type="dxa"/>
            <w:vMerge w:val="restart"/>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化机浆车间</w:t>
            </w:r>
          </w:p>
        </w:tc>
        <w:tc>
          <w:tcPr>
            <w:tcW w:w="161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氢氧化钠</w:t>
            </w:r>
          </w:p>
        </w:tc>
        <w:tc>
          <w:tcPr>
            <w:tcW w:w="177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500</w:t>
            </w:r>
          </w:p>
        </w:tc>
        <w:tc>
          <w:tcPr>
            <w:tcW w:w="1237"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c>
          <w:tcPr>
            <w:tcW w:w="154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化学品室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75" w:type="dxa"/>
            <w:vMerge w:val="continue"/>
            <w:noWrap w:val="0"/>
            <w:vAlign w:val="center"/>
          </w:tcPr>
          <w:p>
            <w:pPr>
              <w:jc w:val="center"/>
              <w:rPr>
                <w:rFonts w:hint="eastAsia" w:ascii="Times New Roman" w:hAnsi="Times New Roman" w:eastAsia="宋体"/>
                <w:sz w:val="21"/>
                <w:szCs w:val="21"/>
                <w:vertAlign w:val="baseline"/>
                <w:lang w:val="en-US" w:eastAsia="zh-CN"/>
              </w:rPr>
            </w:pPr>
          </w:p>
        </w:tc>
        <w:tc>
          <w:tcPr>
            <w:tcW w:w="1537" w:type="dxa"/>
            <w:vMerge w:val="continue"/>
            <w:noWrap w:val="0"/>
            <w:vAlign w:val="center"/>
          </w:tcPr>
          <w:p>
            <w:pPr>
              <w:jc w:val="center"/>
              <w:rPr>
                <w:rFonts w:hint="eastAsia" w:ascii="Times New Roman" w:hAnsi="Times New Roman" w:eastAsia="宋体"/>
                <w:sz w:val="21"/>
                <w:szCs w:val="21"/>
                <w:vertAlign w:val="baseline"/>
                <w:lang w:val="en-US" w:eastAsia="zh-CN"/>
              </w:rPr>
            </w:pPr>
          </w:p>
        </w:tc>
        <w:tc>
          <w:tcPr>
            <w:tcW w:w="161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双氧水（27.5%）</w:t>
            </w:r>
          </w:p>
        </w:tc>
        <w:tc>
          <w:tcPr>
            <w:tcW w:w="177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150</w:t>
            </w:r>
          </w:p>
        </w:tc>
        <w:tc>
          <w:tcPr>
            <w:tcW w:w="1237"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200</w:t>
            </w:r>
          </w:p>
        </w:tc>
        <w:tc>
          <w:tcPr>
            <w:tcW w:w="154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双氧水储存区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675" w:type="dxa"/>
            <w:vMerge w:val="continue"/>
            <w:noWrap w:val="0"/>
            <w:vAlign w:val="center"/>
          </w:tcPr>
          <w:p>
            <w:pPr>
              <w:jc w:val="center"/>
              <w:rPr>
                <w:rFonts w:hint="eastAsia" w:ascii="Times New Roman" w:hAnsi="Times New Roman" w:eastAsia="宋体"/>
                <w:sz w:val="21"/>
                <w:szCs w:val="21"/>
                <w:vertAlign w:val="baseline"/>
                <w:lang w:val="en-US" w:eastAsia="zh-CN"/>
              </w:rPr>
            </w:pPr>
          </w:p>
        </w:tc>
        <w:tc>
          <w:tcPr>
            <w:tcW w:w="1537" w:type="dxa"/>
            <w:vMerge w:val="continue"/>
            <w:noWrap w:val="0"/>
            <w:vAlign w:val="center"/>
          </w:tcPr>
          <w:p>
            <w:pPr>
              <w:jc w:val="center"/>
              <w:rPr>
                <w:rFonts w:hint="eastAsia" w:ascii="Times New Roman" w:hAnsi="Times New Roman" w:eastAsia="宋体"/>
                <w:sz w:val="21"/>
                <w:szCs w:val="21"/>
                <w:vertAlign w:val="baseline"/>
                <w:lang w:val="en-US" w:eastAsia="zh-CN"/>
              </w:rPr>
            </w:pPr>
          </w:p>
        </w:tc>
        <w:tc>
          <w:tcPr>
            <w:tcW w:w="161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DTPA</w:t>
            </w:r>
          </w:p>
        </w:tc>
        <w:tc>
          <w:tcPr>
            <w:tcW w:w="177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10</w:t>
            </w:r>
          </w:p>
        </w:tc>
        <w:tc>
          <w:tcPr>
            <w:tcW w:w="1237"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c>
          <w:tcPr>
            <w:tcW w:w="154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化学品室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675" w:type="dxa"/>
            <w:vMerge w:val="restart"/>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w:t>
            </w:r>
          </w:p>
        </w:tc>
        <w:tc>
          <w:tcPr>
            <w:tcW w:w="1537" w:type="dxa"/>
            <w:vMerge w:val="restart"/>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碱回收系统区域</w:t>
            </w:r>
          </w:p>
        </w:tc>
        <w:tc>
          <w:tcPr>
            <w:tcW w:w="161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氧化钙</w:t>
            </w:r>
          </w:p>
        </w:tc>
        <w:tc>
          <w:tcPr>
            <w:tcW w:w="177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300</w:t>
            </w:r>
          </w:p>
        </w:tc>
        <w:tc>
          <w:tcPr>
            <w:tcW w:w="1237"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c>
          <w:tcPr>
            <w:tcW w:w="154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氧化钙储存区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675" w:type="dxa"/>
            <w:vMerge w:val="continue"/>
            <w:noWrap w:val="0"/>
            <w:vAlign w:val="center"/>
          </w:tcPr>
          <w:p>
            <w:pPr>
              <w:jc w:val="center"/>
              <w:rPr>
                <w:rFonts w:hint="default" w:ascii="Times New Roman" w:hAnsi="Times New Roman" w:eastAsia="宋体"/>
                <w:sz w:val="21"/>
                <w:szCs w:val="21"/>
                <w:vertAlign w:val="baseline"/>
                <w:lang w:val="en-US" w:eastAsia="zh-CN"/>
              </w:rPr>
            </w:pPr>
          </w:p>
        </w:tc>
        <w:tc>
          <w:tcPr>
            <w:tcW w:w="1537" w:type="dxa"/>
            <w:vMerge w:val="continue"/>
            <w:noWrap w:val="0"/>
            <w:vAlign w:val="center"/>
          </w:tcPr>
          <w:p>
            <w:pPr>
              <w:jc w:val="center"/>
              <w:rPr>
                <w:rFonts w:hint="eastAsia" w:ascii="Times New Roman" w:hAnsi="Times New Roman" w:eastAsia="宋体"/>
                <w:sz w:val="21"/>
                <w:szCs w:val="21"/>
                <w:vertAlign w:val="baseline"/>
                <w:lang w:val="en-US" w:eastAsia="zh-CN"/>
              </w:rPr>
            </w:pPr>
          </w:p>
        </w:tc>
        <w:tc>
          <w:tcPr>
            <w:tcW w:w="161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氨水（20%）</w:t>
            </w:r>
          </w:p>
        </w:tc>
        <w:tc>
          <w:tcPr>
            <w:tcW w:w="177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w:t>
            </w:r>
          </w:p>
        </w:tc>
        <w:tc>
          <w:tcPr>
            <w:tcW w:w="1237"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c>
          <w:tcPr>
            <w:tcW w:w="154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氨水储存区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67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w:t>
            </w:r>
          </w:p>
        </w:tc>
        <w:tc>
          <w:tcPr>
            <w:tcW w:w="1537"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RTO系统区域</w:t>
            </w:r>
          </w:p>
        </w:tc>
        <w:tc>
          <w:tcPr>
            <w:tcW w:w="161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氢氧化钠</w:t>
            </w:r>
          </w:p>
        </w:tc>
        <w:tc>
          <w:tcPr>
            <w:tcW w:w="177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400</w:t>
            </w:r>
          </w:p>
        </w:tc>
        <w:tc>
          <w:tcPr>
            <w:tcW w:w="1237"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c>
          <w:tcPr>
            <w:tcW w:w="154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碱液喷淋塔</w:t>
            </w:r>
          </w:p>
        </w:tc>
      </w:tr>
    </w:tbl>
    <w:p>
      <w:pPr>
        <w:keepNext w:val="0"/>
        <w:keepLines w:val="0"/>
        <w:pageBreakBefore w:val="0"/>
        <w:widowControl w:val="0"/>
        <w:kinsoku/>
        <w:wordWrap/>
        <w:overflowPunct/>
        <w:topLinePunct w:val="0"/>
        <w:autoSpaceDE/>
        <w:autoSpaceDN/>
        <w:bidi w:val="0"/>
        <w:adjustRightInd/>
        <w:snapToGrid/>
        <w:spacing w:beforeLines="50"/>
        <w:ind w:firstLine="480" w:firstLineChars="200"/>
        <w:textAlignment w:val="auto"/>
        <w:rPr>
          <w:rFonts w:hint="eastAsia"/>
          <w:sz w:val="24"/>
          <w:szCs w:val="24"/>
          <w:lang w:val="en-US" w:eastAsia="zh-CN"/>
        </w:rPr>
      </w:pPr>
      <w:r>
        <w:rPr>
          <w:rFonts w:hint="eastAsia"/>
          <w:sz w:val="24"/>
          <w:szCs w:val="24"/>
          <w:lang w:val="en-US" w:eastAsia="zh-CN"/>
        </w:rPr>
        <w:t>本工程各危险单元存在的危险、有害因素分布见表</w:t>
      </w:r>
      <w:r>
        <w:rPr>
          <w:rFonts w:hint="default" w:ascii="Times New Roman" w:hAnsi="Times New Roman" w:cs="Times New Roman"/>
          <w:sz w:val="24"/>
          <w:szCs w:val="24"/>
          <w:lang w:val="en-US" w:eastAsia="zh-CN"/>
        </w:rPr>
        <w:t>6.6-13</w:t>
      </w:r>
      <w:r>
        <w:rPr>
          <w:rFonts w:hint="eastAsia"/>
          <w:sz w:val="24"/>
          <w:szCs w:val="24"/>
          <w:lang w:val="en-US" w:eastAsia="zh-CN"/>
        </w:rPr>
        <w:t>。</w:t>
      </w:r>
    </w:p>
    <w:p>
      <w:pPr>
        <w:pStyle w:val="25"/>
        <w:ind w:left="0" w:leftChars="0" w:firstLine="0" w:firstLineChars="0"/>
        <w:jc w:val="center"/>
        <w:rPr>
          <w:rFonts w:hint="eastAsia"/>
          <w:sz w:val="24"/>
          <w:szCs w:val="24"/>
          <w:lang w:val="en-US" w:eastAsia="zh-CN"/>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13</w:t>
      </w:r>
      <w:r>
        <w:rPr>
          <w:rFonts w:hint="eastAsia"/>
          <w:b/>
          <w:bCs/>
          <w:sz w:val="24"/>
          <w:szCs w:val="24"/>
          <w:lang w:val="en-US" w:eastAsia="zh-CN"/>
        </w:rPr>
        <w:t xml:space="preserve">  本工程各危险单元存在的危险、有害因素分布一览表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
        <w:gridCol w:w="2849"/>
        <w:gridCol w:w="2129"/>
        <w:gridCol w:w="2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887"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sz w:val="21"/>
                <w:szCs w:val="21"/>
                <w:vertAlign w:val="baseline"/>
                <w:lang w:val="en-US" w:eastAsia="zh-CN"/>
              </w:rPr>
            </w:pPr>
            <w:r>
              <w:rPr>
                <w:rFonts w:hint="eastAsia"/>
                <w:sz w:val="21"/>
                <w:szCs w:val="21"/>
                <w:vertAlign w:val="baseline"/>
                <w:lang w:val="en-US" w:eastAsia="zh-CN"/>
              </w:rPr>
              <w:t>序号</w:t>
            </w:r>
          </w:p>
        </w:tc>
        <w:tc>
          <w:tcPr>
            <w:tcW w:w="2849"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sz w:val="21"/>
                <w:szCs w:val="21"/>
                <w:vertAlign w:val="baseline"/>
                <w:lang w:val="en-US" w:eastAsia="zh-CN"/>
              </w:rPr>
            </w:pPr>
            <w:r>
              <w:rPr>
                <w:rFonts w:hint="eastAsia"/>
                <w:sz w:val="21"/>
                <w:szCs w:val="21"/>
                <w:vertAlign w:val="baseline"/>
                <w:lang w:val="en-US" w:eastAsia="zh-CN"/>
              </w:rPr>
              <w:t>危险单元</w:t>
            </w:r>
          </w:p>
        </w:tc>
        <w:tc>
          <w:tcPr>
            <w:tcW w:w="2129"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sz w:val="21"/>
                <w:szCs w:val="21"/>
                <w:vertAlign w:val="baseline"/>
                <w:lang w:val="en-US" w:eastAsia="zh-CN"/>
              </w:rPr>
            </w:pPr>
            <w:r>
              <w:rPr>
                <w:rFonts w:hint="eastAsia"/>
                <w:sz w:val="21"/>
                <w:szCs w:val="21"/>
                <w:vertAlign w:val="baseline"/>
                <w:lang w:val="en-US" w:eastAsia="zh-CN"/>
              </w:rPr>
              <w:t>火灾爆炸</w:t>
            </w:r>
          </w:p>
        </w:tc>
        <w:tc>
          <w:tcPr>
            <w:tcW w:w="2207"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sz w:val="21"/>
                <w:szCs w:val="21"/>
                <w:vertAlign w:val="baseline"/>
                <w:lang w:val="en-US" w:eastAsia="zh-CN"/>
              </w:rPr>
            </w:pPr>
            <w:r>
              <w:rPr>
                <w:rFonts w:hint="eastAsia"/>
                <w:sz w:val="21"/>
                <w:szCs w:val="21"/>
                <w:vertAlign w:val="baseline"/>
                <w:lang w:val="en-US" w:eastAsia="zh-CN"/>
              </w:rPr>
              <w:t>毒害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887"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c>
          <w:tcPr>
            <w:tcW w:w="2849" w:type="dxa"/>
            <w:noWrap w:val="0"/>
            <w:vAlign w:val="center"/>
          </w:tcPr>
          <w:p>
            <w:pPr>
              <w:jc w:val="center"/>
              <w:rPr>
                <w:rFonts w:hint="eastAsia"/>
                <w:sz w:val="21"/>
                <w:szCs w:val="21"/>
                <w:vertAlign w:val="baseline"/>
                <w:lang w:val="en-US" w:eastAsia="zh-CN"/>
              </w:rPr>
            </w:pPr>
            <w:r>
              <w:rPr>
                <w:rFonts w:hint="eastAsia" w:ascii="Times New Roman" w:hAnsi="Times New Roman" w:eastAsia="宋体"/>
                <w:sz w:val="21"/>
                <w:szCs w:val="21"/>
                <w:vertAlign w:val="baseline"/>
                <w:lang w:val="en-US" w:eastAsia="zh-CN"/>
              </w:rPr>
              <w:t>化机浆车间</w:t>
            </w:r>
          </w:p>
        </w:tc>
        <w:tc>
          <w:tcPr>
            <w:tcW w:w="21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sz w:val="21"/>
                <w:szCs w:val="21"/>
                <w:vertAlign w:val="baseline"/>
                <w:lang w:val="en-US" w:eastAsia="zh-CN"/>
              </w:rPr>
            </w:pPr>
            <w:r>
              <w:rPr>
                <w:rFonts w:hint="default" w:ascii="Arial" w:hAnsi="Arial" w:cs="Arial"/>
                <w:sz w:val="21"/>
                <w:szCs w:val="21"/>
                <w:vertAlign w:val="baseline"/>
                <w:lang w:val="en-US" w:eastAsia="zh-CN"/>
              </w:rPr>
              <w:t>√</w:t>
            </w:r>
          </w:p>
        </w:tc>
        <w:tc>
          <w:tcPr>
            <w:tcW w:w="220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sz w:val="21"/>
                <w:szCs w:val="21"/>
                <w:vertAlign w:val="baseline"/>
                <w:lang w:val="en-US" w:eastAsia="zh-CN"/>
              </w:rPr>
            </w:pPr>
            <w:r>
              <w:rPr>
                <w:rFonts w:hint="default" w:ascii="Arial" w:hAnsi="Arial" w:cs="Arial"/>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887"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w:t>
            </w:r>
          </w:p>
        </w:tc>
        <w:tc>
          <w:tcPr>
            <w:tcW w:w="2849" w:type="dxa"/>
            <w:noWrap w:val="0"/>
            <w:vAlign w:val="center"/>
          </w:tcPr>
          <w:p>
            <w:pPr>
              <w:jc w:val="center"/>
              <w:rPr>
                <w:rFonts w:hint="eastAsia"/>
                <w:sz w:val="21"/>
                <w:szCs w:val="21"/>
                <w:vertAlign w:val="baseline"/>
                <w:lang w:val="en-US" w:eastAsia="zh-CN"/>
              </w:rPr>
            </w:pPr>
            <w:r>
              <w:rPr>
                <w:rFonts w:hint="eastAsia" w:ascii="Times New Roman" w:hAnsi="Times New Roman" w:eastAsia="宋体"/>
                <w:sz w:val="21"/>
                <w:szCs w:val="21"/>
                <w:vertAlign w:val="baseline"/>
                <w:lang w:val="en-US" w:eastAsia="zh-CN"/>
              </w:rPr>
              <w:t>碱回收系统区域</w:t>
            </w:r>
          </w:p>
        </w:tc>
        <w:tc>
          <w:tcPr>
            <w:tcW w:w="21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Arial" w:hAnsi="Arial" w:cs="Arial"/>
                <w:sz w:val="21"/>
                <w:szCs w:val="21"/>
                <w:vertAlign w:val="baseline"/>
                <w:lang w:val="en-US" w:eastAsia="zh-CN"/>
              </w:rPr>
            </w:pPr>
            <w:r>
              <w:rPr>
                <w:rFonts w:hint="default" w:ascii="Arial" w:hAnsi="Arial" w:cs="Arial"/>
                <w:sz w:val="21"/>
                <w:szCs w:val="21"/>
                <w:vertAlign w:val="baseline"/>
                <w:lang w:val="en-US" w:eastAsia="zh-CN"/>
              </w:rPr>
              <w:t>√</w:t>
            </w:r>
          </w:p>
        </w:tc>
        <w:tc>
          <w:tcPr>
            <w:tcW w:w="220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Arial" w:hAnsi="Arial" w:cs="Arial"/>
                <w:sz w:val="21"/>
                <w:szCs w:val="21"/>
                <w:vertAlign w:val="baseline"/>
                <w:lang w:val="en-US" w:eastAsia="zh-CN"/>
              </w:rPr>
            </w:pPr>
            <w:r>
              <w:rPr>
                <w:rFonts w:hint="default" w:ascii="Arial" w:hAnsi="Arial" w:cs="Arial"/>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887"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w:t>
            </w:r>
          </w:p>
        </w:tc>
        <w:tc>
          <w:tcPr>
            <w:tcW w:w="2849" w:type="dxa"/>
            <w:noWrap w:val="0"/>
            <w:vAlign w:val="center"/>
          </w:tcPr>
          <w:p>
            <w:pPr>
              <w:jc w:val="center"/>
              <w:rPr>
                <w:rFonts w:hint="eastAsia"/>
                <w:sz w:val="21"/>
                <w:szCs w:val="21"/>
                <w:vertAlign w:val="baseline"/>
                <w:lang w:val="en-US" w:eastAsia="zh-CN"/>
              </w:rPr>
            </w:pPr>
            <w:r>
              <w:rPr>
                <w:rFonts w:hint="eastAsia" w:ascii="Times New Roman" w:hAnsi="Times New Roman" w:eastAsia="宋体"/>
                <w:sz w:val="21"/>
                <w:szCs w:val="21"/>
                <w:vertAlign w:val="baseline"/>
                <w:lang w:val="en-US" w:eastAsia="zh-CN"/>
              </w:rPr>
              <w:t>RTO系统区域</w:t>
            </w:r>
          </w:p>
        </w:tc>
        <w:tc>
          <w:tcPr>
            <w:tcW w:w="21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sz w:val="21"/>
                <w:szCs w:val="21"/>
                <w:vertAlign w:val="baseline"/>
                <w:lang w:val="en-US" w:eastAsia="zh-CN"/>
              </w:rPr>
            </w:pPr>
            <w:r>
              <w:rPr>
                <w:rFonts w:hint="eastAsia" w:ascii="Arial" w:hAnsi="Arial" w:cs="Arial"/>
                <w:sz w:val="21"/>
                <w:szCs w:val="21"/>
                <w:vertAlign w:val="baseline"/>
                <w:lang w:val="en-US" w:eastAsia="zh-CN"/>
              </w:rPr>
              <w:t>/</w:t>
            </w:r>
          </w:p>
        </w:tc>
        <w:tc>
          <w:tcPr>
            <w:tcW w:w="220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sz w:val="21"/>
                <w:szCs w:val="21"/>
                <w:vertAlign w:val="baseline"/>
                <w:lang w:val="en-US" w:eastAsia="zh-CN"/>
              </w:rPr>
            </w:pPr>
            <w:r>
              <w:rPr>
                <w:rFonts w:hint="default" w:ascii="Arial" w:hAnsi="Arial" w:cs="Arial"/>
                <w:sz w:val="21"/>
                <w:szCs w:val="21"/>
                <w:vertAlign w:val="baseline"/>
                <w:lang w:val="en-US" w:eastAsia="zh-CN"/>
              </w:rPr>
              <w:t>√</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工程存在的危险有害因素分布可以看出，本工程毒害危险性与火灾爆炸危险性是首要的。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本工程各危险单元的危险性、存在条件及转化为事故的触发因素见表6.6-14。</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6.6</w:t>
      </w:r>
      <w:r>
        <w:rPr>
          <w:rFonts w:hint="default" w:ascii="Times New Roman" w:hAnsi="Times New Roman" w:cs="Times New Roman"/>
          <w:b/>
          <w:bCs/>
          <w:sz w:val="24"/>
          <w:szCs w:val="24"/>
          <w:lang w:val="en-US" w:eastAsia="zh-CN"/>
        </w:rPr>
        <w:t>-1</w:t>
      </w:r>
      <w:r>
        <w:rPr>
          <w:rFonts w:hint="eastAsia" w:ascii="Times New Roman" w:hAnsi="Times New Roman" w:cs="Times New Roman"/>
          <w:b/>
          <w:bCs/>
          <w:sz w:val="24"/>
          <w:szCs w:val="24"/>
          <w:lang w:val="en-US" w:eastAsia="zh-CN"/>
        </w:rPr>
        <w:t>4</w:t>
      </w:r>
      <w:r>
        <w:rPr>
          <w:rFonts w:hint="eastAsia"/>
          <w:b/>
          <w:bCs/>
          <w:sz w:val="24"/>
          <w:szCs w:val="24"/>
          <w:lang w:val="en-US" w:eastAsia="zh-CN"/>
        </w:rPr>
        <w:t xml:space="preserve">  本工程各危险单元危险性情况一览表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216"/>
        <w:gridCol w:w="1216"/>
        <w:gridCol w:w="1217"/>
        <w:gridCol w:w="1482"/>
        <w:gridCol w:w="1062"/>
        <w:gridCol w:w="11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694" w:type="dxa"/>
            <w:vMerge w:val="restart"/>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序号</w:t>
            </w:r>
          </w:p>
        </w:tc>
        <w:tc>
          <w:tcPr>
            <w:tcW w:w="1216" w:type="dxa"/>
            <w:vMerge w:val="restart"/>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危险单元</w:t>
            </w:r>
          </w:p>
        </w:tc>
        <w:tc>
          <w:tcPr>
            <w:tcW w:w="3915" w:type="dxa"/>
            <w:gridSpan w:val="3"/>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危险性</w:t>
            </w:r>
          </w:p>
        </w:tc>
        <w:tc>
          <w:tcPr>
            <w:tcW w:w="1062" w:type="dxa"/>
            <w:vMerge w:val="restart"/>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存在条件</w:t>
            </w:r>
          </w:p>
        </w:tc>
        <w:tc>
          <w:tcPr>
            <w:tcW w:w="1107" w:type="dxa"/>
            <w:vMerge w:val="restart"/>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触发因素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694" w:type="dxa"/>
            <w:vMerge w:val="continue"/>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p>
        </w:tc>
        <w:tc>
          <w:tcPr>
            <w:tcW w:w="1216" w:type="dxa"/>
            <w:vMerge w:val="continue"/>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p>
        </w:tc>
        <w:tc>
          <w:tcPr>
            <w:tcW w:w="1216"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危险物质</w:t>
            </w:r>
          </w:p>
        </w:tc>
        <w:tc>
          <w:tcPr>
            <w:tcW w:w="1217"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存在量（t）</w:t>
            </w:r>
          </w:p>
        </w:tc>
        <w:tc>
          <w:tcPr>
            <w:tcW w:w="1482"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潜在危险类别</w:t>
            </w:r>
          </w:p>
        </w:tc>
        <w:tc>
          <w:tcPr>
            <w:tcW w:w="1062" w:type="dxa"/>
            <w:vMerge w:val="continue"/>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p>
        </w:tc>
        <w:tc>
          <w:tcPr>
            <w:tcW w:w="1107" w:type="dxa"/>
            <w:vMerge w:val="continue"/>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694" w:type="dxa"/>
            <w:vMerge w:val="restart"/>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w:t>
            </w:r>
          </w:p>
        </w:tc>
        <w:tc>
          <w:tcPr>
            <w:tcW w:w="1216" w:type="dxa"/>
            <w:vMerge w:val="restart"/>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化机浆车间</w:t>
            </w:r>
          </w:p>
        </w:tc>
        <w:tc>
          <w:tcPr>
            <w:tcW w:w="1216"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氢氧化钠</w:t>
            </w:r>
          </w:p>
        </w:tc>
        <w:tc>
          <w:tcPr>
            <w:tcW w:w="1217"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500</w:t>
            </w:r>
          </w:p>
        </w:tc>
        <w:tc>
          <w:tcPr>
            <w:tcW w:w="1482"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泄露</w:t>
            </w:r>
          </w:p>
        </w:tc>
        <w:tc>
          <w:tcPr>
            <w:tcW w:w="1062"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常温常压</w:t>
            </w:r>
          </w:p>
        </w:tc>
        <w:tc>
          <w:tcPr>
            <w:tcW w:w="1107" w:type="dxa"/>
            <w:tcBorders>
              <w:bottom w:val="single" w:color="000000" w:sz="8" w:space="0"/>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破裂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694" w:type="dxa"/>
            <w:vMerge w:val="continue"/>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p>
        </w:tc>
        <w:tc>
          <w:tcPr>
            <w:tcW w:w="1216" w:type="dxa"/>
            <w:vMerge w:val="continue"/>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p>
        </w:tc>
        <w:tc>
          <w:tcPr>
            <w:tcW w:w="1216"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双氧水（27.5%）</w:t>
            </w:r>
          </w:p>
        </w:tc>
        <w:tc>
          <w:tcPr>
            <w:tcW w:w="1217"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150</w:t>
            </w:r>
          </w:p>
        </w:tc>
        <w:tc>
          <w:tcPr>
            <w:tcW w:w="1482"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泄露、火灾爆炸</w:t>
            </w:r>
          </w:p>
        </w:tc>
        <w:tc>
          <w:tcPr>
            <w:tcW w:w="1062"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常温高压</w:t>
            </w:r>
          </w:p>
        </w:tc>
        <w:tc>
          <w:tcPr>
            <w:tcW w:w="1107" w:type="dxa"/>
            <w:tcBorders>
              <w:top w:val="single" w:color="000000" w:sz="8" w:space="0"/>
              <w:bottom w:val="single" w:color="000000" w:sz="8" w:space="0"/>
            </w:tcBorders>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破裂或遇明火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694" w:type="dxa"/>
            <w:vMerge w:val="continue"/>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p>
        </w:tc>
        <w:tc>
          <w:tcPr>
            <w:tcW w:w="1216" w:type="dxa"/>
            <w:vMerge w:val="continue"/>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p>
        </w:tc>
        <w:tc>
          <w:tcPr>
            <w:tcW w:w="1216"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DTPA</w:t>
            </w:r>
          </w:p>
        </w:tc>
        <w:tc>
          <w:tcPr>
            <w:tcW w:w="1217"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10</w:t>
            </w:r>
          </w:p>
        </w:tc>
        <w:tc>
          <w:tcPr>
            <w:tcW w:w="1482"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泄露</w:t>
            </w:r>
          </w:p>
        </w:tc>
        <w:tc>
          <w:tcPr>
            <w:tcW w:w="1062"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常温常压</w:t>
            </w:r>
          </w:p>
        </w:tc>
        <w:tc>
          <w:tcPr>
            <w:tcW w:w="1107" w:type="dxa"/>
            <w:tcBorders>
              <w:top w:val="single" w:color="000000" w:sz="8"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破裂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694" w:type="dxa"/>
            <w:vMerge w:val="restart"/>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w:t>
            </w:r>
          </w:p>
        </w:tc>
        <w:tc>
          <w:tcPr>
            <w:tcW w:w="1216" w:type="dxa"/>
            <w:vMerge w:val="restart"/>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碱回收系统区域</w:t>
            </w:r>
          </w:p>
        </w:tc>
        <w:tc>
          <w:tcPr>
            <w:tcW w:w="1216"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氧化钙</w:t>
            </w:r>
          </w:p>
        </w:tc>
        <w:tc>
          <w:tcPr>
            <w:tcW w:w="1217"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300</w:t>
            </w:r>
          </w:p>
        </w:tc>
        <w:tc>
          <w:tcPr>
            <w:tcW w:w="1482"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泄露</w:t>
            </w:r>
          </w:p>
        </w:tc>
        <w:tc>
          <w:tcPr>
            <w:tcW w:w="10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高温高压</w:t>
            </w:r>
          </w:p>
        </w:tc>
        <w:tc>
          <w:tcPr>
            <w:tcW w:w="110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破裂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694" w:type="dxa"/>
            <w:vMerge w:val="continue"/>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p>
        </w:tc>
        <w:tc>
          <w:tcPr>
            <w:tcW w:w="1216" w:type="dxa"/>
            <w:vMerge w:val="continue"/>
            <w:noWrap w:val="0"/>
            <w:vAlign w:val="center"/>
          </w:tcPr>
          <w:p>
            <w:pPr>
              <w:jc w:val="center"/>
              <w:rPr>
                <w:rFonts w:hint="eastAsia" w:ascii="Times New Roman" w:hAnsi="Times New Roman" w:eastAsia="宋体"/>
                <w:sz w:val="21"/>
                <w:szCs w:val="21"/>
                <w:vertAlign w:val="baseline"/>
                <w:lang w:val="en-US" w:eastAsia="zh-CN"/>
              </w:rPr>
            </w:pPr>
          </w:p>
        </w:tc>
        <w:tc>
          <w:tcPr>
            <w:tcW w:w="1216"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氨水（20%）</w:t>
            </w:r>
          </w:p>
        </w:tc>
        <w:tc>
          <w:tcPr>
            <w:tcW w:w="1217"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w:t>
            </w:r>
          </w:p>
        </w:tc>
        <w:tc>
          <w:tcPr>
            <w:tcW w:w="1482"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泄露</w:t>
            </w:r>
          </w:p>
        </w:tc>
        <w:tc>
          <w:tcPr>
            <w:tcW w:w="10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常温常压</w:t>
            </w:r>
          </w:p>
        </w:tc>
        <w:tc>
          <w:tcPr>
            <w:tcW w:w="110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破裂或遇明火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694"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w:t>
            </w:r>
          </w:p>
        </w:tc>
        <w:tc>
          <w:tcPr>
            <w:tcW w:w="1216"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RTO系统区域</w:t>
            </w:r>
          </w:p>
        </w:tc>
        <w:tc>
          <w:tcPr>
            <w:tcW w:w="1216"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氢氧化钠</w:t>
            </w:r>
          </w:p>
        </w:tc>
        <w:tc>
          <w:tcPr>
            <w:tcW w:w="1217"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400</w:t>
            </w:r>
          </w:p>
        </w:tc>
        <w:tc>
          <w:tcPr>
            <w:tcW w:w="1482"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泄露</w:t>
            </w:r>
          </w:p>
        </w:tc>
        <w:tc>
          <w:tcPr>
            <w:tcW w:w="1062"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常温常压</w:t>
            </w:r>
          </w:p>
        </w:tc>
        <w:tc>
          <w:tcPr>
            <w:tcW w:w="1107" w:type="dxa"/>
            <w:noWrap w:val="0"/>
            <w:vAlign w:val="center"/>
          </w:tcPr>
          <w:p>
            <w:pPr>
              <w:pStyle w:val="25"/>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破裂</w:t>
            </w:r>
          </w:p>
        </w:tc>
      </w:tr>
    </w:tbl>
    <w:p>
      <w:pPr>
        <w:pStyle w:val="25"/>
        <w:numPr>
          <w:ilvl w:val="0"/>
          <w:numId w:val="0"/>
        </w:numPr>
        <w:ind w:firstLine="480" w:firstLineChars="200"/>
        <w:rPr>
          <w:rFonts w:ascii="宋体" w:hAnsi="宋体" w:eastAsia="宋体" w:cs="宋体"/>
          <w:sz w:val="24"/>
          <w:szCs w:val="24"/>
        </w:rPr>
      </w:pPr>
      <w:r>
        <w:rPr>
          <w:rFonts w:hint="eastAsia" w:ascii="宋体" w:hAnsi="宋体" w:cs="宋体"/>
          <w:sz w:val="24"/>
          <w:szCs w:val="24"/>
          <w:lang w:eastAsia="zh-CN"/>
        </w:rPr>
        <w:t>（</w:t>
      </w:r>
      <w:r>
        <w:rPr>
          <w:rFonts w:hint="default" w:ascii="Times New Roman" w:hAnsi="Times New Roman" w:cs="Times New Roman"/>
          <w:sz w:val="24"/>
          <w:szCs w:val="24"/>
          <w:lang w:val="en-US" w:eastAsia="zh-CN"/>
        </w:rPr>
        <w:t>3</w:t>
      </w:r>
      <w:r>
        <w:rPr>
          <w:rFonts w:hint="eastAsia" w:ascii="宋体" w:hAnsi="宋体" w:cs="宋体"/>
          <w:sz w:val="24"/>
          <w:szCs w:val="24"/>
          <w:lang w:eastAsia="zh-CN"/>
        </w:rPr>
        <w:t>）</w:t>
      </w:r>
      <w:r>
        <w:rPr>
          <w:rFonts w:ascii="宋体" w:hAnsi="宋体" w:eastAsia="宋体" w:cs="宋体"/>
          <w:sz w:val="24"/>
          <w:szCs w:val="24"/>
        </w:rPr>
        <w:t>重</w:t>
      </w:r>
      <w:r>
        <w:rPr>
          <w:rFonts w:hint="eastAsia" w:ascii="宋体" w:hAnsi="宋体" w:cs="宋体"/>
          <w:sz w:val="24"/>
          <w:szCs w:val="24"/>
          <w:lang w:eastAsia="zh-CN"/>
        </w:rPr>
        <w:t>大</w:t>
      </w:r>
      <w:r>
        <w:rPr>
          <w:rFonts w:ascii="宋体" w:hAnsi="宋体" w:eastAsia="宋体" w:cs="宋体"/>
          <w:sz w:val="24"/>
          <w:szCs w:val="24"/>
        </w:rPr>
        <w:t>风险源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ascii="Times New Roman" w:hAnsi="Times New Roman" w:eastAsia="宋体" w:cs="宋体"/>
          <w:sz w:val="24"/>
          <w:szCs w:val="24"/>
        </w:rPr>
        <w:t>根据表</w:t>
      </w:r>
      <w:r>
        <w:rPr>
          <w:rFonts w:hint="default" w:ascii="Times New Roman" w:hAnsi="Times New Roman" w:cs="Times New Roman"/>
          <w:sz w:val="24"/>
          <w:szCs w:val="24"/>
          <w:lang w:val="en-US" w:eastAsia="zh-CN"/>
        </w:rPr>
        <w:t>6.6</w:t>
      </w:r>
      <w:r>
        <w:rPr>
          <w:rFonts w:hint="default" w:ascii="Times New Roman" w:hAnsi="Times New Roman" w:eastAsia="宋体" w:cs="Times New Roman"/>
          <w:sz w:val="24"/>
          <w:szCs w:val="24"/>
        </w:rPr>
        <w:t>-</w:t>
      </w:r>
      <w:r>
        <w:rPr>
          <w:rFonts w:hint="default" w:ascii="Times New Roman" w:hAnsi="Times New Roman" w:cs="Times New Roman"/>
          <w:sz w:val="24"/>
          <w:szCs w:val="24"/>
          <w:lang w:val="en-US" w:eastAsia="zh-CN"/>
        </w:rPr>
        <w:t>13</w:t>
      </w:r>
      <w:r>
        <w:rPr>
          <w:rFonts w:ascii="Times New Roman" w:hAnsi="Times New Roman" w:eastAsia="宋体" w:cs="宋体"/>
          <w:sz w:val="24"/>
          <w:szCs w:val="24"/>
        </w:rPr>
        <w:t>识别的风险源按照在线量与《建设项目环境风险评价技术导则》(HJ169-2018)附录B中的临界量的比值进行排序，比值超过1的即为重点风险源，排序结果见表</w:t>
      </w:r>
      <w:r>
        <w:rPr>
          <w:rFonts w:hint="eastAsia" w:ascii="Times New Roman" w:hAnsi="Times New Roman" w:cs="宋体"/>
          <w:sz w:val="24"/>
          <w:szCs w:val="24"/>
          <w:lang w:val="en-US" w:eastAsia="zh-CN"/>
        </w:rPr>
        <w:t>6.6</w:t>
      </w:r>
      <w:r>
        <w:rPr>
          <w:rFonts w:ascii="Times New Roman" w:hAnsi="Times New Roman" w:eastAsia="宋体" w:cs="宋体"/>
          <w:sz w:val="24"/>
          <w:szCs w:val="24"/>
        </w:rPr>
        <w:t>-</w:t>
      </w:r>
      <w:r>
        <w:rPr>
          <w:rFonts w:hint="default" w:ascii="Times New Roman" w:hAnsi="Times New Roman" w:cs="Times New Roman"/>
          <w:sz w:val="24"/>
          <w:szCs w:val="24"/>
          <w:lang w:val="en-US" w:eastAsia="zh-CN"/>
        </w:rPr>
        <w:t>14</w:t>
      </w:r>
      <w:r>
        <w:rPr>
          <w:rFonts w:ascii="宋体" w:hAnsi="宋体" w:eastAsia="宋体" w:cs="宋体"/>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6.6</w:t>
      </w:r>
      <w:r>
        <w:rPr>
          <w:rFonts w:hint="default" w:ascii="Times New Roman" w:hAnsi="Times New Roman" w:cs="Times New Roman"/>
          <w:b/>
          <w:bCs/>
          <w:sz w:val="24"/>
          <w:szCs w:val="24"/>
          <w:lang w:val="en-US" w:eastAsia="zh-CN"/>
        </w:rPr>
        <w:t>-1</w:t>
      </w:r>
      <w:r>
        <w:rPr>
          <w:rFonts w:hint="eastAsia" w:ascii="Times New Roman" w:hAnsi="Times New Roman" w:cs="Times New Roman"/>
          <w:b/>
          <w:bCs/>
          <w:sz w:val="24"/>
          <w:szCs w:val="24"/>
          <w:lang w:val="en-US" w:eastAsia="zh-CN"/>
        </w:rPr>
        <w:t>4</w:t>
      </w:r>
      <w:r>
        <w:rPr>
          <w:rFonts w:hint="eastAsia"/>
          <w:b/>
          <w:bCs/>
          <w:sz w:val="24"/>
          <w:szCs w:val="24"/>
          <w:lang w:val="en-US" w:eastAsia="zh-CN"/>
        </w:rPr>
        <w:t xml:space="preserve">  本工程重点风险源筛选一览表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9"/>
        <w:gridCol w:w="1238"/>
        <w:gridCol w:w="1471"/>
        <w:gridCol w:w="1329"/>
        <w:gridCol w:w="1529"/>
        <w:gridCol w:w="1123"/>
        <w:gridCol w:w="10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序号</w:t>
            </w:r>
          </w:p>
        </w:tc>
        <w:tc>
          <w:tcPr>
            <w:tcW w:w="1238"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危险单元</w:t>
            </w:r>
          </w:p>
        </w:tc>
        <w:tc>
          <w:tcPr>
            <w:tcW w:w="1471"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风险源</w:t>
            </w:r>
          </w:p>
        </w:tc>
        <w:tc>
          <w:tcPr>
            <w:tcW w:w="132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危险物质</w:t>
            </w:r>
          </w:p>
        </w:tc>
        <w:tc>
          <w:tcPr>
            <w:tcW w:w="152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最大存在量（t）</w:t>
            </w:r>
          </w:p>
        </w:tc>
        <w:tc>
          <w:tcPr>
            <w:tcW w:w="112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临界量（t）</w:t>
            </w:r>
          </w:p>
        </w:tc>
        <w:tc>
          <w:tcPr>
            <w:tcW w:w="101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比值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549" w:type="dxa"/>
            <w:vMerge w:val="restart"/>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w:t>
            </w:r>
          </w:p>
        </w:tc>
        <w:tc>
          <w:tcPr>
            <w:tcW w:w="1238" w:type="dxa"/>
            <w:vMerge w:val="restart"/>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化机浆车间</w:t>
            </w:r>
          </w:p>
        </w:tc>
        <w:tc>
          <w:tcPr>
            <w:tcW w:w="1471"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化学品室</w:t>
            </w:r>
          </w:p>
        </w:tc>
        <w:tc>
          <w:tcPr>
            <w:tcW w:w="132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氢氧化钠</w:t>
            </w:r>
          </w:p>
        </w:tc>
        <w:tc>
          <w:tcPr>
            <w:tcW w:w="152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500</w:t>
            </w:r>
          </w:p>
        </w:tc>
        <w:tc>
          <w:tcPr>
            <w:tcW w:w="112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c>
          <w:tcPr>
            <w:tcW w:w="101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49" w:type="dxa"/>
            <w:vMerge w:val="continue"/>
            <w:noWrap w:val="0"/>
            <w:vAlign w:val="center"/>
          </w:tcPr>
          <w:p>
            <w:pPr>
              <w:jc w:val="center"/>
              <w:rPr>
                <w:rFonts w:hint="eastAsia" w:ascii="Times New Roman" w:hAnsi="Times New Roman" w:eastAsia="宋体"/>
                <w:sz w:val="21"/>
                <w:szCs w:val="21"/>
                <w:vertAlign w:val="baseline"/>
                <w:lang w:val="en-US" w:eastAsia="zh-CN"/>
              </w:rPr>
            </w:pPr>
          </w:p>
        </w:tc>
        <w:tc>
          <w:tcPr>
            <w:tcW w:w="1238" w:type="dxa"/>
            <w:vMerge w:val="continue"/>
            <w:noWrap w:val="0"/>
            <w:vAlign w:val="center"/>
          </w:tcPr>
          <w:p>
            <w:pPr>
              <w:jc w:val="center"/>
              <w:rPr>
                <w:rFonts w:hint="eastAsia" w:ascii="Times New Roman" w:hAnsi="Times New Roman" w:eastAsia="宋体"/>
                <w:sz w:val="21"/>
                <w:szCs w:val="21"/>
                <w:vertAlign w:val="baseline"/>
                <w:lang w:val="en-US" w:eastAsia="zh-CN"/>
              </w:rPr>
            </w:pPr>
          </w:p>
        </w:tc>
        <w:tc>
          <w:tcPr>
            <w:tcW w:w="1471"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双氧水储存区</w:t>
            </w:r>
          </w:p>
        </w:tc>
        <w:tc>
          <w:tcPr>
            <w:tcW w:w="132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双氧水（27.5%）</w:t>
            </w:r>
          </w:p>
        </w:tc>
        <w:tc>
          <w:tcPr>
            <w:tcW w:w="152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150</w:t>
            </w:r>
          </w:p>
        </w:tc>
        <w:tc>
          <w:tcPr>
            <w:tcW w:w="112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200</w:t>
            </w:r>
          </w:p>
        </w:tc>
        <w:tc>
          <w:tcPr>
            <w:tcW w:w="101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49" w:type="dxa"/>
            <w:vMerge w:val="continue"/>
            <w:noWrap w:val="0"/>
            <w:vAlign w:val="center"/>
          </w:tcPr>
          <w:p>
            <w:pPr>
              <w:jc w:val="center"/>
              <w:rPr>
                <w:rFonts w:hint="eastAsia" w:ascii="Times New Roman" w:hAnsi="Times New Roman" w:eastAsia="宋体"/>
                <w:sz w:val="21"/>
                <w:szCs w:val="21"/>
                <w:vertAlign w:val="baseline"/>
                <w:lang w:val="en-US" w:eastAsia="zh-CN"/>
              </w:rPr>
            </w:pPr>
          </w:p>
        </w:tc>
        <w:tc>
          <w:tcPr>
            <w:tcW w:w="1238" w:type="dxa"/>
            <w:vMerge w:val="continue"/>
            <w:noWrap w:val="0"/>
            <w:vAlign w:val="center"/>
          </w:tcPr>
          <w:p>
            <w:pPr>
              <w:jc w:val="center"/>
              <w:rPr>
                <w:rFonts w:hint="eastAsia" w:ascii="Times New Roman" w:hAnsi="Times New Roman" w:eastAsia="宋体"/>
                <w:sz w:val="21"/>
                <w:szCs w:val="21"/>
                <w:vertAlign w:val="baseline"/>
                <w:lang w:val="en-US" w:eastAsia="zh-CN"/>
              </w:rPr>
            </w:pPr>
          </w:p>
        </w:tc>
        <w:tc>
          <w:tcPr>
            <w:tcW w:w="1471"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化学品室</w:t>
            </w:r>
          </w:p>
        </w:tc>
        <w:tc>
          <w:tcPr>
            <w:tcW w:w="132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DTPA</w:t>
            </w:r>
          </w:p>
        </w:tc>
        <w:tc>
          <w:tcPr>
            <w:tcW w:w="152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10</w:t>
            </w:r>
          </w:p>
        </w:tc>
        <w:tc>
          <w:tcPr>
            <w:tcW w:w="112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c>
          <w:tcPr>
            <w:tcW w:w="101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549" w:type="dxa"/>
            <w:vMerge w:val="restart"/>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w:t>
            </w:r>
          </w:p>
        </w:tc>
        <w:tc>
          <w:tcPr>
            <w:tcW w:w="1238" w:type="dxa"/>
            <w:vMerge w:val="restart"/>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碱回收系统区域</w:t>
            </w:r>
          </w:p>
        </w:tc>
        <w:tc>
          <w:tcPr>
            <w:tcW w:w="1471"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氧化钙储存区</w:t>
            </w:r>
          </w:p>
        </w:tc>
        <w:tc>
          <w:tcPr>
            <w:tcW w:w="1329"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氧化钙</w:t>
            </w:r>
          </w:p>
        </w:tc>
        <w:tc>
          <w:tcPr>
            <w:tcW w:w="152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300</w:t>
            </w:r>
          </w:p>
        </w:tc>
        <w:tc>
          <w:tcPr>
            <w:tcW w:w="112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c>
          <w:tcPr>
            <w:tcW w:w="101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549" w:type="dxa"/>
            <w:vMerge w:val="continue"/>
            <w:noWrap w:val="0"/>
            <w:vAlign w:val="center"/>
          </w:tcPr>
          <w:p>
            <w:pPr>
              <w:jc w:val="center"/>
              <w:rPr>
                <w:rFonts w:hint="default" w:ascii="Times New Roman" w:hAnsi="Times New Roman" w:eastAsia="宋体"/>
                <w:sz w:val="21"/>
                <w:szCs w:val="21"/>
                <w:vertAlign w:val="baseline"/>
                <w:lang w:val="en-US" w:eastAsia="zh-CN"/>
              </w:rPr>
            </w:pPr>
          </w:p>
        </w:tc>
        <w:tc>
          <w:tcPr>
            <w:tcW w:w="1238" w:type="dxa"/>
            <w:vMerge w:val="continue"/>
            <w:noWrap w:val="0"/>
            <w:vAlign w:val="center"/>
          </w:tcPr>
          <w:p>
            <w:pPr>
              <w:jc w:val="center"/>
              <w:rPr>
                <w:rFonts w:hint="eastAsia" w:ascii="Times New Roman" w:hAnsi="Times New Roman" w:eastAsia="宋体"/>
                <w:sz w:val="21"/>
                <w:szCs w:val="21"/>
                <w:vertAlign w:val="baseline"/>
                <w:lang w:val="en-US" w:eastAsia="zh-CN"/>
              </w:rPr>
            </w:pPr>
          </w:p>
        </w:tc>
        <w:tc>
          <w:tcPr>
            <w:tcW w:w="1471"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氨水储存区</w:t>
            </w:r>
          </w:p>
        </w:tc>
        <w:tc>
          <w:tcPr>
            <w:tcW w:w="1329"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氨水（20%）</w:t>
            </w:r>
          </w:p>
        </w:tc>
        <w:tc>
          <w:tcPr>
            <w:tcW w:w="152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w:t>
            </w:r>
          </w:p>
        </w:tc>
        <w:tc>
          <w:tcPr>
            <w:tcW w:w="112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c>
          <w:tcPr>
            <w:tcW w:w="101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4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w:t>
            </w:r>
          </w:p>
        </w:tc>
        <w:tc>
          <w:tcPr>
            <w:tcW w:w="1238"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RTO系统区域</w:t>
            </w:r>
          </w:p>
        </w:tc>
        <w:tc>
          <w:tcPr>
            <w:tcW w:w="1471"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碱液喷淋塔</w:t>
            </w:r>
          </w:p>
        </w:tc>
        <w:tc>
          <w:tcPr>
            <w:tcW w:w="1329" w:type="dxa"/>
            <w:noWrap w:val="0"/>
            <w:vAlign w:val="center"/>
          </w:tcPr>
          <w:p>
            <w:pPr>
              <w:jc w:val="center"/>
              <w:rPr>
                <w:rFonts w:hint="eastAsia"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氢氧化钠</w:t>
            </w:r>
          </w:p>
        </w:tc>
        <w:tc>
          <w:tcPr>
            <w:tcW w:w="1529"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400</w:t>
            </w:r>
          </w:p>
        </w:tc>
        <w:tc>
          <w:tcPr>
            <w:tcW w:w="1123"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c>
          <w:tcPr>
            <w:tcW w:w="1011"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ascii="Times New Roman" w:hAnsi="Times New Roman"/>
          <w:sz w:val="24"/>
          <w:szCs w:val="24"/>
          <w:lang w:val="en-US" w:eastAsia="zh-CN"/>
        </w:rPr>
      </w:pPr>
      <w:r>
        <w:rPr>
          <w:rFonts w:hint="eastAsia"/>
          <w:sz w:val="24"/>
          <w:szCs w:val="24"/>
          <w:lang w:val="en-US" w:eastAsia="zh-CN"/>
        </w:rPr>
        <w:t>由表</w:t>
      </w:r>
      <w:r>
        <w:rPr>
          <w:rFonts w:hint="default" w:ascii="Times New Roman" w:hAnsi="Times New Roman" w:cs="Times New Roman"/>
          <w:sz w:val="24"/>
          <w:szCs w:val="24"/>
          <w:lang w:val="en-US" w:eastAsia="zh-CN"/>
        </w:rPr>
        <w:t>6.6-14</w:t>
      </w:r>
      <w:r>
        <w:rPr>
          <w:rFonts w:hint="eastAsia"/>
          <w:sz w:val="24"/>
          <w:szCs w:val="24"/>
          <w:lang w:val="en-US" w:eastAsia="zh-CN"/>
        </w:rPr>
        <w:t>可知，本工程比值超过</w:t>
      </w:r>
      <w:r>
        <w:rPr>
          <w:rFonts w:hint="default" w:ascii="Times New Roman" w:hAnsi="Times New Roman" w:cs="Times New Roman"/>
          <w:sz w:val="24"/>
          <w:szCs w:val="24"/>
          <w:lang w:val="en-US" w:eastAsia="zh-CN"/>
        </w:rPr>
        <w:t>1</w:t>
      </w:r>
      <w:r>
        <w:rPr>
          <w:rFonts w:hint="eastAsia"/>
          <w:sz w:val="24"/>
          <w:szCs w:val="24"/>
          <w:lang w:val="en-US" w:eastAsia="zh-CN"/>
        </w:rPr>
        <w:t>的即为重大风险源，本项目工程无重点风险源。</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2.4</w:t>
      </w:r>
      <w:r>
        <w:rPr>
          <w:rFonts w:hint="eastAsia" w:ascii="Times New Roman" w:hAnsi="Times New Roman"/>
          <w:b/>
          <w:bCs/>
          <w:sz w:val="24"/>
          <w:szCs w:val="24"/>
          <w:highlight w:val="none"/>
          <w:lang w:val="en-US" w:eastAsia="zh-CN"/>
        </w:rPr>
        <w:t>风险识别结果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本项目共包括3个危险单元，无</w:t>
      </w:r>
      <w:r>
        <w:rPr>
          <w:rFonts w:hint="eastAsia" w:ascii="Times New Roman" w:hAnsi="Times New Roman"/>
          <w:sz w:val="24"/>
          <w:szCs w:val="24"/>
          <w:highlight w:val="none"/>
          <w:lang w:val="en-US" w:eastAsia="zh-CN"/>
        </w:rPr>
        <w:t>重点风险源。</w:t>
      </w:r>
      <w:r>
        <w:rPr>
          <w:rFonts w:hint="eastAsia" w:ascii="Times New Roman" w:hAnsi="Times New Roman"/>
          <w:sz w:val="24"/>
          <w:szCs w:val="24"/>
          <w:lang w:val="en-US" w:eastAsia="zh-CN"/>
        </w:rPr>
        <w:t>涉及的危险物质主要是H</w:t>
      </w:r>
      <w:r>
        <w:rPr>
          <w:rFonts w:hint="eastAsia" w:ascii="Times New Roman" w:hAnsi="Times New Roman"/>
          <w:sz w:val="24"/>
          <w:szCs w:val="24"/>
          <w:vertAlign w:val="subscript"/>
          <w:lang w:val="en-US" w:eastAsia="zh-CN"/>
        </w:rPr>
        <w:t>2</w:t>
      </w:r>
      <w:r>
        <w:rPr>
          <w:rFonts w:hint="eastAsia" w:ascii="Times New Roman" w:hAnsi="Times New Roman"/>
          <w:sz w:val="24"/>
          <w:szCs w:val="24"/>
          <w:lang w:val="en-US" w:eastAsia="zh-CN"/>
        </w:rPr>
        <w:t>O</w:t>
      </w:r>
      <w:r>
        <w:rPr>
          <w:rFonts w:hint="eastAsia" w:ascii="Times New Roman" w:hAnsi="Times New Roman"/>
          <w:sz w:val="24"/>
          <w:szCs w:val="24"/>
          <w:vertAlign w:val="subscript"/>
          <w:lang w:val="en-US" w:eastAsia="zh-CN"/>
        </w:rPr>
        <w:t>2</w:t>
      </w:r>
      <w:r>
        <w:rPr>
          <w:rFonts w:hint="eastAsia" w:ascii="Times New Roman" w:hAnsi="Times New Roman"/>
          <w:sz w:val="24"/>
          <w:szCs w:val="24"/>
          <w:lang w:val="en-US" w:eastAsia="zh-CN"/>
        </w:rPr>
        <w:t>，危险物质环境风险类型包括泄漏引发的伴生/次生污染物，向环境转移的途径为以面源的形式向大气中转移，可能受影响的环境目标为辛家村等。危险单元划分情况见图6.6-1。</w:t>
      </w:r>
    </w:p>
    <w:p>
      <w:pPr>
        <w:pStyle w:val="17"/>
        <w:rPr>
          <w:rFonts w:hint="eastAsi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spacing w:line="240" w:lineRule="auto"/>
        <w:ind w:left="0" w:leftChars="0" w:firstLine="0" w:firstLineChars="0"/>
        <w:rPr>
          <w:rFonts w:hint="eastAsia" w:eastAsia="宋体"/>
          <w:lang w:eastAsia="zh-CN"/>
        </w:rPr>
      </w:pPr>
      <w:r>
        <w:rPr>
          <w:sz w:val="21"/>
        </w:rPr>
        <mc:AlternateContent>
          <mc:Choice Requires="wps">
            <w:drawing>
              <wp:anchor distT="0" distB="0" distL="114300" distR="114300" simplePos="0" relativeHeight="251801600" behindDoc="0" locked="0" layoutInCell="1" allowOverlap="1">
                <wp:simplePos x="0" y="0"/>
                <wp:positionH relativeFrom="column">
                  <wp:posOffset>7124700</wp:posOffset>
                </wp:positionH>
                <wp:positionV relativeFrom="paragraph">
                  <wp:posOffset>3371850</wp:posOffset>
                </wp:positionV>
                <wp:extent cx="436245" cy="214630"/>
                <wp:effectExtent l="6350" t="6350" r="14605" b="7620"/>
                <wp:wrapNone/>
                <wp:docPr id="250" name="矩形 250"/>
                <wp:cNvGraphicFramePr/>
                <a:graphic xmlns:a="http://schemas.openxmlformats.org/drawingml/2006/main">
                  <a:graphicData uri="http://schemas.microsoft.com/office/word/2010/wordprocessingShape">
                    <wps:wsp>
                      <wps:cNvSpPr/>
                      <wps:spPr>
                        <a:xfrm>
                          <a:off x="0" y="0"/>
                          <a:ext cx="436245" cy="214630"/>
                        </a:xfrm>
                        <a:prstGeom prst="rect">
                          <a:avLst/>
                        </a:prstGeom>
                        <a:solidFill>
                          <a:srgbClr val="FFFF00">
                            <a:alpha val="40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1pt;margin-top:265.5pt;height:16.9pt;width:34.35pt;z-index:251801600;v-text-anchor:middle;mso-width-relative:page;mso-height-relative:page;" fillcolor="#FFFF00" filled="t" stroked="t" coordsize="21600,21600" o:gfxdata="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u9ANx2QAAAA0BAAAPAAAAAAAAAAEAIAAAACIAAABkcnMvZG93bnJldi54bWxQSwECFAAU&#10;AAAACACHTuJAHcETFGICAADKBAAADgAAAAAAAAABACAAAAAoAQAAZHJzL2Uyb0RvYy54bWxQSwUG&#10;AAAAAAYABgBZAQAA/AUAAAAA&#10;">
                <v:fill on="t" opacity="26214f" focussize="0,0"/>
                <v:stroke weight="1pt" color="#FFFF00 [3204]" miterlimit="8" joinstyle="miter"/>
                <v:imagedata o:title=""/>
                <o:lock v:ext="edit" aspectratio="f"/>
              </v:rect>
            </w:pict>
          </mc:Fallback>
        </mc:AlternateContent>
      </w:r>
      <w:r>
        <w:rPr>
          <w:sz w:val="21"/>
        </w:rPr>
        <mc:AlternateContent>
          <mc:Choice Requires="wps">
            <w:drawing>
              <wp:anchor distT="0" distB="0" distL="114300" distR="114300" simplePos="0" relativeHeight="251804672" behindDoc="0" locked="0" layoutInCell="1" allowOverlap="1">
                <wp:simplePos x="0" y="0"/>
                <wp:positionH relativeFrom="column">
                  <wp:posOffset>7150100</wp:posOffset>
                </wp:positionH>
                <wp:positionV relativeFrom="paragraph">
                  <wp:posOffset>3857625</wp:posOffset>
                </wp:positionV>
                <wp:extent cx="436245" cy="214630"/>
                <wp:effectExtent l="6350" t="6350" r="14605" b="7620"/>
                <wp:wrapNone/>
                <wp:docPr id="251" name="矩形 251"/>
                <wp:cNvGraphicFramePr/>
                <a:graphic xmlns:a="http://schemas.openxmlformats.org/drawingml/2006/main">
                  <a:graphicData uri="http://schemas.microsoft.com/office/word/2010/wordprocessingShape">
                    <wps:wsp>
                      <wps:cNvSpPr/>
                      <wps:spPr>
                        <a:xfrm>
                          <a:off x="0" y="0"/>
                          <a:ext cx="436245" cy="214630"/>
                        </a:xfrm>
                        <a:prstGeom prst="rect">
                          <a:avLst/>
                        </a:prstGeom>
                        <a:solidFill>
                          <a:srgbClr val="FF0000">
                            <a:alpha val="4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3pt;margin-top:303.75pt;height:16.9pt;width:34.35pt;z-index:251804672;v-text-anchor:middle;mso-width-relative:page;mso-height-relative:page;" fillcolor="#FF0000" filled="t" stroked="t" coordsize="21600,21600" o:gfxdata="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DDrAjcAAAADQEAAA8AAAAAAAAAAQAgAAAAIgAAAGRycy9kb3ducmV2LnhtbFBL&#10;AQIUABQAAAAIAIdO4kAAgiVPZAIAAMoEAAAOAAAAAAAAAAEAIAAAACsBAABkcnMvZTJvRG9jLnht&#10;bFBLBQYAAAAABgAGAFkBAAABBgAAAAA=&#10;">
                <v:fill on="t" opacity="26214f" focussize="0,0"/>
                <v:stroke weight="1pt" color="#FF0000 [3204]" miterlimit="8" joinstyle="miter"/>
                <v:imagedata o:title=""/>
                <o:lock v:ext="edit" aspectratio="f"/>
              </v:rect>
            </w:pict>
          </mc:Fallback>
        </mc:AlternateContent>
      </w:r>
      <w:r>
        <w:rPr>
          <w:sz w:val="21"/>
        </w:rPr>
        <mc:AlternateContent>
          <mc:Choice Requires="wps">
            <w:drawing>
              <wp:anchor distT="0" distB="0" distL="114300" distR="114300" simplePos="0" relativeHeight="251798528" behindDoc="0" locked="0" layoutInCell="1" allowOverlap="1">
                <wp:simplePos x="0" y="0"/>
                <wp:positionH relativeFrom="column">
                  <wp:posOffset>7123430</wp:posOffset>
                </wp:positionH>
                <wp:positionV relativeFrom="paragraph">
                  <wp:posOffset>2917190</wp:posOffset>
                </wp:positionV>
                <wp:extent cx="436245" cy="214630"/>
                <wp:effectExtent l="6350" t="6350" r="14605" b="7620"/>
                <wp:wrapNone/>
                <wp:docPr id="249" name="矩形 249"/>
                <wp:cNvGraphicFramePr/>
                <a:graphic xmlns:a="http://schemas.openxmlformats.org/drawingml/2006/main">
                  <a:graphicData uri="http://schemas.microsoft.com/office/word/2010/wordprocessingShape">
                    <wps:wsp>
                      <wps:cNvSpPr/>
                      <wps:spPr>
                        <a:xfrm>
                          <a:off x="8037830" y="4036060"/>
                          <a:ext cx="436245" cy="214630"/>
                        </a:xfrm>
                        <a:prstGeom prst="rect">
                          <a:avLst/>
                        </a:prstGeom>
                        <a:solidFill>
                          <a:srgbClr val="00B050">
                            <a:alpha val="40000"/>
                          </a:srgb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0.9pt;margin-top:229.7pt;height:16.9pt;width:34.35pt;z-index:251798528;v-text-anchor:middle;mso-width-relative:page;mso-height-relative:page;" fillcolor="#00B050" filled="t" stroked="t" coordsize="21600,21600" o:gfxdata="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bIYmtNsAAAANAQAADwAAAAAAAAABACAAAAAiAAAAZHJzL2Rv&#10;d25yZXYueG1sUEsBAhQAFAAAAAgAh07iQFH96Y5wAgAA1gQAAA4AAAAAAAAAAQAgAAAAKgEAAGRy&#10;cy9lMm9Eb2MueG1sUEsFBgAAAAAGAAYAWQEAAAwGAAAAAA==&#10;">
                <v:fill on="t" opacity="26214f" focussize="0,0"/>
                <v:stroke weight="1pt" color="#00B050 [3204]" miterlimit="8" joinstyle="miter"/>
                <v:imagedata o:title=""/>
                <o:lock v:ext="edit" aspectratio="f"/>
              </v:rect>
            </w:pict>
          </mc:Fallback>
        </mc:AlternateContent>
      </w:r>
      <w:r>
        <w:rPr>
          <w:sz w:val="21"/>
        </w:rPr>
        <mc:AlternateContent>
          <mc:Choice Requires="wps">
            <w:drawing>
              <wp:anchor distT="0" distB="0" distL="114300" distR="114300" simplePos="0" relativeHeight="251797504" behindDoc="0" locked="0" layoutInCell="1" allowOverlap="1">
                <wp:simplePos x="0" y="0"/>
                <wp:positionH relativeFrom="column">
                  <wp:posOffset>6980555</wp:posOffset>
                </wp:positionH>
                <wp:positionV relativeFrom="paragraph">
                  <wp:posOffset>2567940</wp:posOffset>
                </wp:positionV>
                <wp:extent cx="1816735" cy="1785620"/>
                <wp:effectExtent l="4445" t="4445" r="7620" b="19685"/>
                <wp:wrapNone/>
                <wp:docPr id="248" name="文本框 248"/>
                <wp:cNvGraphicFramePr/>
                <a:graphic xmlns:a="http://schemas.openxmlformats.org/drawingml/2006/main">
                  <a:graphicData uri="http://schemas.microsoft.com/office/word/2010/wordprocessingShape">
                    <wps:wsp>
                      <wps:cNvSpPr txBox="1"/>
                      <wps:spPr>
                        <a:xfrm>
                          <a:off x="8045450" y="3710940"/>
                          <a:ext cx="1816735" cy="17856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lang w:val="en-US" w:eastAsia="zh-CN"/>
                              </w:rPr>
                            </w:pPr>
                            <w:r>
                              <w:rPr>
                                <w:rFonts w:hint="eastAsia"/>
                                <w:b/>
                                <w:bCs/>
                                <w:lang w:val="en-US" w:eastAsia="zh-CN"/>
                              </w:rPr>
                              <w:t>图例：</w:t>
                            </w:r>
                          </w:p>
                          <w:p>
                            <w:pPr>
                              <w:pStyle w:val="2"/>
                              <w:ind w:left="0" w:leftChars="0" w:firstLine="1054" w:firstLineChars="500"/>
                              <w:rPr>
                                <w:rFonts w:hint="eastAsia"/>
                                <w:b/>
                                <w:bCs/>
                                <w:lang w:val="en-US" w:eastAsia="zh-CN"/>
                              </w:rPr>
                            </w:pPr>
                            <w:r>
                              <w:rPr>
                                <w:rFonts w:hint="eastAsia"/>
                                <w:b/>
                                <w:bCs/>
                                <w:lang w:val="en-US" w:eastAsia="zh-CN"/>
                              </w:rPr>
                              <w:t>化机浆车间</w:t>
                            </w:r>
                          </w:p>
                          <w:p>
                            <w:pPr>
                              <w:rPr>
                                <w:rFonts w:hint="eastAsia"/>
                                <w:b/>
                                <w:bCs/>
                                <w:lang w:val="en-US" w:eastAsia="zh-CN"/>
                              </w:rPr>
                            </w:pPr>
                          </w:p>
                          <w:p>
                            <w:pPr>
                              <w:ind w:firstLine="1054" w:firstLineChars="500"/>
                              <w:rPr>
                                <w:rFonts w:hint="eastAsia"/>
                                <w:b/>
                                <w:bCs/>
                                <w:lang w:val="en-US" w:eastAsia="zh-CN"/>
                              </w:rPr>
                            </w:pPr>
                            <w:r>
                              <w:rPr>
                                <w:rFonts w:hint="eastAsia"/>
                                <w:b/>
                                <w:bCs/>
                                <w:lang w:val="en-US" w:eastAsia="zh-CN"/>
                              </w:rPr>
                              <w:t>RTO系统区域</w:t>
                            </w:r>
                          </w:p>
                          <w:p>
                            <w:pPr>
                              <w:pStyle w:val="2"/>
                              <w:rPr>
                                <w:rFonts w:hint="eastAsia"/>
                                <w:b/>
                                <w:bCs/>
                                <w:lang w:val="en-US" w:eastAsia="zh-CN"/>
                              </w:rPr>
                            </w:pPr>
                          </w:p>
                          <w:p>
                            <w:pPr>
                              <w:pStyle w:val="17"/>
                              <w:ind w:left="0" w:leftChars="0" w:firstLine="1054" w:firstLineChars="500"/>
                              <w:rPr>
                                <w:rFonts w:hint="default"/>
                                <w:lang w:val="en-US" w:eastAsia="zh-CN"/>
                              </w:rPr>
                            </w:pPr>
                            <w:r>
                              <w:rPr>
                                <w:rFonts w:hint="eastAsia"/>
                                <w:b/>
                                <w:bCs/>
                                <w:lang w:val="en-US" w:eastAsia="zh-CN"/>
                              </w:rPr>
                              <w:t>碱回收系统区域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9.65pt;margin-top:202.2pt;height:140.6pt;width:143.05pt;z-index:251797504;mso-width-relative:page;mso-height-relative:page;" fillcolor="#FFFFFF [3201]" filled="t" stroked="t" coordsize="21600,21600" o:gfxdata="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34U922QAAAA0BAAAPAAAA&#10;AAAAAAEAIAAAACIAAABkcnMvZG93bnJldi54bWxQSwECFAAUAAAACACHTuJA7l4/5k0CAAB6BAAA&#10;DgAAAAAAAAABACAAAAAoAQAAZHJzL2Uyb0RvYy54bWxQSwUGAAAAAAYABgBZAQAA5wUAAAAA&#10;">
                <v:fill on="t" focussize="0,0"/>
                <v:stroke weight="0.5pt" color="#000000 [3204]" joinstyle="round"/>
                <v:imagedata o:title=""/>
                <o:lock v:ext="edit" aspectratio="f"/>
                <v:textbox>
                  <w:txbxContent>
                    <w:p>
                      <w:pPr>
                        <w:rPr>
                          <w:rFonts w:hint="eastAsia"/>
                          <w:b/>
                          <w:bCs/>
                          <w:lang w:val="en-US" w:eastAsia="zh-CN"/>
                        </w:rPr>
                      </w:pPr>
                      <w:r>
                        <w:rPr>
                          <w:rFonts w:hint="eastAsia"/>
                          <w:b/>
                          <w:bCs/>
                          <w:lang w:val="en-US" w:eastAsia="zh-CN"/>
                        </w:rPr>
                        <w:t>图例：</w:t>
                      </w:r>
                    </w:p>
                    <w:p>
                      <w:pPr>
                        <w:pStyle w:val="2"/>
                        <w:ind w:left="0" w:leftChars="0" w:firstLine="1054" w:firstLineChars="500"/>
                        <w:rPr>
                          <w:rFonts w:hint="eastAsia"/>
                          <w:b/>
                          <w:bCs/>
                          <w:lang w:val="en-US" w:eastAsia="zh-CN"/>
                        </w:rPr>
                      </w:pPr>
                      <w:r>
                        <w:rPr>
                          <w:rFonts w:hint="eastAsia"/>
                          <w:b/>
                          <w:bCs/>
                          <w:lang w:val="en-US" w:eastAsia="zh-CN"/>
                        </w:rPr>
                        <w:t>化机浆车间</w:t>
                      </w:r>
                    </w:p>
                    <w:p>
                      <w:pPr>
                        <w:rPr>
                          <w:rFonts w:hint="eastAsia"/>
                          <w:b/>
                          <w:bCs/>
                          <w:lang w:val="en-US" w:eastAsia="zh-CN"/>
                        </w:rPr>
                      </w:pPr>
                    </w:p>
                    <w:p>
                      <w:pPr>
                        <w:ind w:firstLine="1054" w:firstLineChars="500"/>
                        <w:rPr>
                          <w:rFonts w:hint="eastAsia"/>
                          <w:b/>
                          <w:bCs/>
                          <w:lang w:val="en-US" w:eastAsia="zh-CN"/>
                        </w:rPr>
                      </w:pPr>
                      <w:r>
                        <w:rPr>
                          <w:rFonts w:hint="eastAsia"/>
                          <w:b/>
                          <w:bCs/>
                          <w:lang w:val="en-US" w:eastAsia="zh-CN"/>
                        </w:rPr>
                        <w:t>RTO系统区域</w:t>
                      </w:r>
                    </w:p>
                    <w:p>
                      <w:pPr>
                        <w:pStyle w:val="2"/>
                        <w:rPr>
                          <w:rFonts w:hint="eastAsia"/>
                          <w:b/>
                          <w:bCs/>
                          <w:lang w:val="en-US" w:eastAsia="zh-CN"/>
                        </w:rPr>
                      </w:pPr>
                    </w:p>
                    <w:p>
                      <w:pPr>
                        <w:pStyle w:val="17"/>
                        <w:ind w:left="0" w:leftChars="0" w:firstLine="1054" w:firstLineChars="500"/>
                        <w:rPr>
                          <w:rFonts w:hint="default"/>
                          <w:lang w:val="en-US" w:eastAsia="zh-CN"/>
                        </w:rPr>
                      </w:pPr>
                      <w:r>
                        <w:rPr>
                          <w:rFonts w:hint="eastAsia"/>
                          <w:b/>
                          <w:bCs/>
                          <w:lang w:val="en-US" w:eastAsia="zh-CN"/>
                        </w:rPr>
                        <w:t>碱回收系统区域</w:t>
                      </w:r>
                    </w:p>
                  </w:txbxContent>
                </v:textbox>
              </v:shape>
            </w:pict>
          </mc:Fallback>
        </mc:AlternateContent>
      </w:r>
      <w:r>
        <w:rPr>
          <w:sz w:val="21"/>
        </w:rPr>
        <mc:AlternateContent>
          <mc:Choice Requires="wps">
            <w:drawing>
              <wp:anchor distT="0" distB="0" distL="114300" distR="114300" simplePos="0" relativeHeight="251796480" behindDoc="0" locked="0" layoutInCell="1" allowOverlap="1">
                <wp:simplePos x="0" y="0"/>
                <wp:positionH relativeFrom="column">
                  <wp:posOffset>5412105</wp:posOffset>
                </wp:positionH>
                <wp:positionV relativeFrom="paragraph">
                  <wp:posOffset>1835150</wp:posOffset>
                </wp:positionV>
                <wp:extent cx="331470" cy="232410"/>
                <wp:effectExtent l="6350" t="7620" r="24130" b="26670"/>
                <wp:wrapNone/>
                <wp:docPr id="247" name="任意多边形 247"/>
                <wp:cNvGraphicFramePr/>
                <a:graphic xmlns:a="http://schemas.openxmlformats.org/drawingml/2006/main">
                  <a:graphicData uri="http://schemas.microsoft.com/office/word/2010/wordprocessingShape">
                    <wps:wsp>
                      <wps:cNvSpPr/>
                      <wps:spPr>
                        <a:xfrm>
                          <a:off x="6326505" y="2978150"/>
                          <a:ext cx="331470" cy="232410"/>
                        </a:xfrm>
                        <a:custGeom>
                          <a:avLst/>
                          <a:gdLst>
                            <a:gd name="connisteX0" fmla="*/ 0 w 331470"/>
                            <a:gd name="connsiteY0" fmla="*/ 63500 h 232410"/>
                            <a:gd name="connisteX1" fmla="*/ 137795 w 331470"/>
                            <a:gd name="connsiteY1" fmla="*/ 63500 h 232410"/>
                            <a:gd name="connisteX2" fmla="*/ 194310 w 331470"/>
                            <a:gd name="connsiteY2" fmla="*/ 0 h 232410"/>
                            <a:gd name="connisteX3" fmla="*/ 331470 w 331470"/>
                            <a:gd name="connsiteY3" fmla="*/ 55245 h 232410"/>
                            <a:gd name="connisteX4" fmla="*/ 250825 w 331470"/>
                            <a:gd name="connsiteY4" fmla="*/ 232410 h 232410"/>
                            <a:gd name="connisteX5" fmla="*/ 179705 w 331470"/>
                            <a:gd name="connsiteY5" fmla="*/ 175895 h 232410"/>
                            <a:gd name="connisteX6" fmla="*/ 0 w 331470"/>
                            <a:gd name="connsiteY6" fmla="*/ 172720 h 232410"/>
                            <a:gd name="connisteX7" fmla="*/ 0 w 331470"/>
                            <a:gd name="connsiteY7" fmla="*/ 63500 h 23241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331470" h="232410">
                              <a:moveTo>
                                <a:pt x="0" y="63500"/>
                              </a:moveTo>
                              <a:lnTo>
                                <a:pt x="137795" y="63500"/>
                              </a:lnTo>
                              <a:lnTo>
                                <a:pt x="194310" y="0"/>
                              </a:lnTo>
                              <a:lnTo>
                                <a:pt x="331470" y="55245"/>
                              </a:lnTo>
                              <a:lnTo>
                                <a:pt x="250825" y="232410"/>
                              </a:lnTo>
                              <a:lnTo>
                                <a:pt x="179705" y="175895"/>
                              </a:lnTo>
                              <a:lnTo>
                                <a:pt x="0" y="172720"/>
                              </a:lnTo>
                              <a:lnTo>
                                <a:pt x="0" y="63500"/>
                              </a:lnTo>
                              <a:close/>
                            </a:path>
                          </a:pathLst>
                        </a:custGeom>
                        <a:solidFill>
                          <a:srgbClr val="FF0000">
                            <a:alpha val="4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26.15pt;margin-top:144.5pt;height:18.3pt;width:26.1pt;z-index:251796480;mso-width-relative:page;mso-height-relative:page;" fillcolor="#FF0000" filled="t" stroked="t" coordsize="331470,232410" o:gfxdata="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" path="m0,63500l137795,63500,194310,0,331470,55245,250825,232410,179705,175895,0,172720,0,63500xe">
                <v:path o:connectlocs="0,63500;137795,63500;194310,0;331470,55245;250825,232410;179705,175895;0,172720;0,63500" o:connectangles="0,0,0,0,0,0,0,0"/>
                <v:fill on="t" opacity="26214f" focussize="0,0"/>
                <v:stroke weight="1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251795456" behindDoc="0" locked="0" layoutInCell="1" allowOverlap="1">
                <wp:simplePos x="0" y="0"/>
                <wp:positionH relativeFrom="column">
                  <wp:posOffset>2825115</wp:posOffset>
                </wp:positionH>
                <wp:positionV relativeFrom="paragraph">
                  <wp:posOffset>843280</wp:posOffset>
                </wp:positionV>
                <wp:extent cx="142875" cy="147955"/>
                <wp:effectExtent l="6350" t="6350" r="22225" b="17145"/>
                <wp:wrapNone/>
                <wp:docPr id="246" name="矩形 246"/>
                <wp:cNvGraphicFramePr/>
                <a:graphic xmlns:a="http://schemas.openxmlformats.org/drawingml/2006/main">
                  <a:graphicData uri="http://schemas.microsoft.com/office/word/2010/wordprocessingShape">
                    <wps:wsp>
                      <wps:cNvSpPr/>
                      <wps:spPr>
                        <a:xfrm>
                          <a:off x="3739515" y="1986280"/>
                          <a:ext cx="142875" cy="147955"/>
                        </a:xfrm>
                        <a:prstGeom prst="rect">
                          <a:avLst/>
                        </a:prstGeom>
                        <a:solidFill>
                          <a:srgbClr val="FFFF00">
                            <a:alpha val="40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45pt;margin-top:66.4pt;height:11.65pt;width:11.25pt;z-index:251795456;v-text-anchor:middle;mso-width-relative:page;mso-height-relative:page;" fillcolor="#FFFF00" filled="t" stroked="t" coordsize="21600,21600" o:gfxdata="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bibK49gAAAALAQAADwAAAAAAAAABACAAAAAiAAAAZHJzL2Rvd25y&#10;ZXYueG1sUEsBAhQAFAAAAAgAh07iQEd5J9hwAgAA1gQAAA4AAAAAAAAAAQAgAAAAJwEAAGRycy9l&#10;Mm9Eb2MueG1sUEsFBgAAAAAGAAYAWQEAAAkGAAAAAA==&#10;">
                <v:fill on="t" opacity="26214f" focussize="0,0"/>
                <v:stroke weight="1pt" color="#FFFF00 [3204]" miterlimit="8" joinstyle="miter"/>
                <v:imagedata o:title=""/>
                <o:lock v:ext="edit" aspectratio="f"/>
              </v:rect>
            </w:pict>
          </mc:Fallback>
        </mc:AlternateContent>
      </w:r>
      <w:r>
        <w:rPr>
          <w:sz w:val="21"/>
        </w:rPr>
        <mc:AlternateContent>
          <mc:Choice Requires="wps">
            <w:drawing>
              <wp:anchor distT="0" distB="0" distL="114300" distR="114300" simplePos="0" relativeHeight="251794432" behindDoc="0" locked="0" layoutInCell="1" allowOverlap="1">
                <wp:simplePos x="0" y="0"/>
                <wp:positionH relativeFrom="column">
                  <wp:posOffset>2420620</wp:posOffset>
                </wp:positionH>
                <wp:positionV relativeFrom="paragraph">
                  <wp:posOffset>1661795</wp:posOffset>
                </wp:positionV>
                <wp:extent cx="485775" cy="619125"/>
                <wp:effectExtent l="6350" t="6350" r="22225" b="22225"/>
                <wp:wrapNone/>
                <wp:docPr id="244" name="任意多边形 244"/>
                <wp:cNvGraphicFramePr/>
                <a:graphic xmlns:a="http://schemas.openxmlformats.org/drawingml/2006/main">
                  <a:graphicData uri="http://schemas.microsoft.com/office/word/2010/wordprocessingShape">
                    <wps:wsp>
                      <wps:cNvSpPr/>
                      <wps:spPr>
                        <a:xfrm>
                          <a:off x="3335020" y="2804795"/>
                          <a:ext cx="485775" cy="619125"/>
                        </a:xfrm>
                        <a:custGeom>
                          <a:avLst/>
                          <a:gdLst>
                            <a:gd name="connisteX0" fmla="*/ 19050 w 485775"/>
                            <a:gd name="connsiteY0" fmla="*/ 0 h 619125"/>
                            <a:gd name="connisteX1" fmla="*/ 476250 w 485775"/>
                            <a:gd name="connsiteY1" fmla="*/ 9525 h 619125"/>
                            <a:gd name="connisteX2" fmla="*/ 485775 w 485775"/>
                            <a:gd name="connsiteY2" fmla="*/ 609600 h 619125"/>
                            <a:gd name="connisteX3" fmla="*/ 0 w 485775"/>
                            <a:gd name="connsiteY3" fmla="*/ 619125 h 619125"/>
                            <a:gd name="connisteX4" fmla="*/ 19050 w 485775"/>
                            <a:gd name="connsiteY4" fmla="*/ 0 h 6191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85775" h="619125">
                              <a:moveTo>
                                <a:pt x="19050" y="0"/>
                              </a:moveTo>
                              <a:lnTo>
                                <a:pt x="476250" y="9525"/>
                              </a:lnTo>
                              <a:lnTo>
                                <a:pt x="485775" y="609600"/>
                              </a:lnTo>
                              <a:lnTo>
                                <a:pt x="0" y="619125"/>
                              </a:lnTo>
                              <a:lnTo>
                                <a:pt x="19050" y="0"/>
                              </a:lnTo>
                              <a:close/>
                            </a:path>
                          </a:pathLst>
                        </a:custGeom>
                        <a:solidFill>
                          <a:srgbClr val="00B050">
                            <a:alpha val="40000"/>
                          </a:srgb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90.6pt;margin-top:130.85pt;height:48.75pt;width:38.25pt;z-index:251794432;mso-width-relative:page;mso-height-relative:page;" fillcolor="#00B050" filled="t" stroked="t" coordsize="485775,619125" o:gfxdata="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" path="m19050,0l476250,9525,485775,609600,0,619125,19050,0xe">
                <v:path o:connectlocs="19050,0;476250,9525;485775,609600;0,619125;19050,0" o:connectangles="0,0,0,0,0"/>
                <v:fill on="t" opacity="26214f" focussize="0,0"/>
                <v:stroke weight="1pt" color="#00B050 [3204]" miterlimit="8" joinstyle="miter"/>
                <v:imagedata o:title=""/>
                <o:lock v:ext="edit" aspectratio="f"/>
              </v:shape>
            </w:pict>
          </mc:Fallback>
        </mc:AlternateContent>
      </w:r>
      <w:r>
        <w:rPr>
          <w:sz w:val="21"/>
        </w:rPr>
        <mc:AlternateContent>
          <mc:Choice Requires="wps">
            <w:drawing>
              <wp:anchor distT="0" distB="0" distL="114300" distR="114300" simplePos="0" relativeHeight="251793408" behindDoc="0" locked="0" layoutInCell="1" allowOverlap="1">
                <wp:simplePos x="0" y="0"/>
                <wp:positionH relativeFrom="column">
                  <wp:posOffset>2398395</wp:posOffset>
                </wp:positionH>
                <wp:positionV relativeFrom="paragraph">
                  <wp:posOffset>579755</wp:posOffset>
                </wp:positionV>
                <wp:extent cx="1905000" cy="1741170"/>
                <wp:effectExtent l="9525" t="10160" r="9525" b="20320"/>
                <wp:wrapNone/>
                <wp:docPr id="243" name="任意多边形 243"/>
                <wp:cNvGraphicFramePr/>
                <a:graphic xmlns:a="http://schemas.openxmlformats.org/drawingml/2006/main">
                  <a:graphicData uri="http://schemas.microsoft.com/office/word/2010/wordprocessingShape">
                    <wps:wsp>
                      <wps:cNvSpPr/>
                      <wps:spPr>
                        <a:xfrm>
                          <a:off x="3312795" y="1722755"/>
                          <a:ext cx="1905000" cy="1741170"/>
                        </a:xfrm>
                        <a:custGeom>
                          <a:avLst/>
                          <a:gdLst>
                            <a:gd name="connisteX0" fmla="*/ 0 w 1905000"/>
                            <a:gd name="connsiteY0" fmla="*/ 121920 h 1741170"/>
                            <a:gd name="connisteX1" fmla="*/ 1905000 w 1905000"/>
                            <a:gd name="connsiteY1" fmla="*/ 0 h 1741170"/>
                            <a:gd name="connisteX2" fmla="*/ 1878965 w 1905000"/>
                            <a:gd name="connsiteY2" fmla="*/ 1732915 h 1741170"/>
                            <a:gd name="connisteX3" fmla="*/ 0 w 1905000"/>
                            <a:gd name="connsiteY3" fmla="*/ 1741170 h 1741170"/>
                            <a:gd name="connisteX4" fmla="*/ 0 w 1905000"/>
                            <a:gd name="connsiteY4" fmla="*/ 121920 h 174117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905000" h="1741170">
                              <a:moveTo>
                                <a:pt x="0" y="121920"/>
                              </a:moveTo>
                              <a:lnTo>
                                <a:pt x="1905000" y="0"/>
                              </a:lnTo>
                              <a:lnTo>
                                <a:pt x="1878965" y="1732915"/>
                              </a:lnTo>
                              <a:lnTo>
                                <a:pt x="0" y="1741170"/>
                              </a:lnTo>
                              <a:lnTo>
                                <a:pt x="0" y="121920"/>
                              </a:lnTo>
                              <a:close/>
                            </a:path>
                          </a:pathLst>
                        </a:cu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88.85pt;margin-top:45.65pt;height:137.1pt;width:150pt;z-index:251793408;mso-width-relative:page;mso-height-relative:page;" filled="f" stroked="t" coordsize="1905000,1741170" o:gfxdata="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" path="m0,121920l1905000,0,1878965,1732915,0,1741170,0,121920xe">
                <v:path o:connectlocs="0,121920;1905000,0;1878965,1732915;0,1741170;0,121920" o:connectangles="0,0,0,0,0"/>
                <v:fill on="f" focussize="0,0"/>
                <v:stroke weight="1.5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251792384" behindDoc="0" locked="0" layoutInCell="1" allowOverlap="1">
                <wp:simplePos x="0" y="0"/>
                <wp:positionH relativeFrom="column">
                  <wp:posOffset>1644015</wp:posOffset>
                </wp:positionH>
                <wp:positionV relativeFrom="paragraph">
                  <wp:posOffset>2001520</wp:posOffset>
                </wp:positionV>
                <wp:extent cx="384810" cy="671195"/>
                <wp:effectExtent l="5715" t="3175" r="9525" b="11430"/>
                <wp:wrapNone/>
                <wp:docPr id="241" name="直接连接符 241"/>
                <wp:cNvGraphicFramePr/>
                <a:graphic xmlns:a="http://schemas.openxmlformats.org/drawingml/2006/main">
                  <a:graphicData uri="http://schemas.microsoft.com/office/word/2010/wordprocessingShape">
                    <wps:wsp>
                      <wps:cNvCnPr>
                        <a:stCxn id="238" idx="1"/>
                      </wps:cNvCnPr>
                      <wps:spPr>
                        <a:xfrm>
                          <a:off x="2558415" y="3144520"/>
                          <a:ext cx="384810" cy="67119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29.45pt;margin-top:157.6pt;height:52.85pt;width:30.3pt;z-index:251792384;mso-width-relative:page;mso-height-relative:page;" filled="f" stroked="t" coordsize="21600,21600" o:gfxdata="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c4/0jNsAAAALAQAADwAAAAAAAAABACAAAAAiAAAAZHJzL2Rvd25yZXYueG1sUEsBAhQAFAAA&#10;AAgAh07iQNj1cMDsAQAAoAMAAA4AAAAAAAAAAQAgAAAAKgEAAGRycy9lMm9Eb2MueG1sUEsFBgAA&#10;AAAGAAYAWQEAAIgFA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51791360" behindDoc="0" locked="0" layoutInCell="1" allowOverlap="1">
                <wp:simplePos x="0" y="0"/>
                <wp:positionH relativeFrom="column">
                  <wp:posOffset>1656080</wp:posOffset>
                </wp:positionH>
                <wp:positionV relativeFrom="paragraph">
                  <wp:posOffset>262255</wp:posOffset>
                </wp:positionV>
                <wp:extent cx="360680" cy="1279525"/>
                <wp:effectExtent l="6350" t="1905" r="13970" b="13970"/>
                <wp:wrapNone/>
                <wp:docPr id="240" name="直接连接符 240"/>
                <wp:cNvGraphicFramePr/>
                <a:graphic xmlns:a="http://schemas.openxmlformats.org/drawingml/2006/main">
                  <a:graphicData uri="http://schemas.microsoft.com/office/word/2010/wordprocessingShape">
                    <wps:wsp>
                      <wps:cNvCnPr>
                        <a:stCxn id="238" idx="2"/>
                      </wps:cNvCnPr>
                      <wps:spPr>
                        <a:xfrm flipV="1">
                          <a:off x="2570480" y="1405255"/>
                          <a:ext cx="360680" cy="1279525"/>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130.4pt;margin-top:20.65pt;height:100.75pt;width:28.4pt;z-index:251791360;mso-width-relative:page;mso-height-relative:page;" filled="f" stroked="t" coordsize="21600,21600" o:gfxdata="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ZgBCGNcAAAAKAQAADwAAAAAAAAABACAAAAAiAAAAZHJzL2Rvd25yZXYueG1sUEsBAhQAFAAAAAgA&#10;h07iQE8368DtAQAAqwMAAA4AAAAAAAAAAQAgAAAAJgEAAGRycy9lMm9Eb2MueG1sUEsFBgAAAAAG&#10;AAYAWQEAAIUFA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51790336" behindDoc="0" locked="0" layoutInCell="1" allowOverlap="1">
                <wp:simplePos x="0" y="0"/>
                <wp:positionH relativeFrom="column">
                  <wp:posOffset>1143000</wp:posOffset>
                </wp:positionH>
                <wp:positionV relativeFrom="paragraph">
                  <wp:posOffset>1541780</wp:posOffset>
                </wp:positionV>
                <wp:extent cx="513080" cy="468630"/>
                <wp:effectExtent l="6350" t="6985" r="13970" b="19685"/>
                <wp:wrapNone/>
                <wp:docPr id="238" name="任意多边形 238"/>
                <wp:cNvGraphicFramePr/>
                <a:graphic xmlns:a="http://schemas.openxmlformats.org/drawingml/2006/main">
                  <a:graphicData uri="http://schemas.microsoft.com/office/word/2010/wordprocessingShape">
                    <wps:wsp>
                      <wps:cNvSpPr/>
                      <wps:spPr>
                        <a:xfrm>
                          <a:off x="2057400" y="2684780"/>
                          <a:ext cx="513080" cy="468630"/>
                        </a:xfrm>
                        <a:custGeom>
                          <a:avLst/>
                          <a:gdLst>
                            <a:gd name="connisteX0" fmla="*/ 0 w 513080"/>
                            <a:gd name="connsiteY0" fmla="*/ 468630 h 468630"/>
                            <a:gd name="connisteX1" fmla="*/ 501015 w 513080"/>
                            <a:gd name="connsiteY1" fmla="*/ 459740 h 468630"/>
                            <a:gd name="connisteX2" fmla="*/ 513080 w 513080"/>
                            <a:gd name="connsiteY2" fmla="*/ 0 h 468630"/>
                            <a:gd name="connisteX3" fmla="*/ 12065 w 513080"/>
                            <a:gd name="connsiteY3" fmla="*/ 37465 h 468630"/>
                            <a:gd name="connisteX4" fmla="*/ 0 w 513080"/>
                            <a:gd name="connsiteY4" fmla="*/ 468630 h 4686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13080" h="468630">
                              <a:moveTo>
                                <a:pt x="0" y="468630"/>
                              </a:moveTo>
                              <a:lnTo>
                                <a:pt x="501015" y="459740"/>
                              </a:lnTo>
                              <a:lnTo>
                                <a:pt x="513080" y="0"/>
                              </a:lnTo>
                              <a:lnTo>
                                <a:pt x="12065" y="37465"/>
                              </a:lnTo>
                              <a:lnTo>
                                <a:pt x="0" y="46863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90pt;margin-top:121.4pt;height:36.9pt;width:40.4pt;z-index:251790336;mso-width-relative:page;mso-height-relative:page;" filled="f" stroked="t" coordsize="513080,468630" o:gfxdata="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" path="m0,468630l501015,459740,513080,0,12065,37465,0,468630xe">
                <v:path o:connectlocs="0,468630;501015,459740;513080,0;12065,37465;0,468630" o:connectangles="0,0,0,0,0"/>
                <v:fill on="f" focussize="0,0"/>
                <v:stroke weight="1pt" color="#FFFF00 [3204]" miterlimit="8" joinstyle="miter"/>
                <v:imagedata o:title=""/>
                <o:lock v:ext="edit" aspectratio="f"/>
              </v:shape>
            </w:pict>
          </mc:Fallback>
        </mc:AlternateContent>
      </w:r>
      <w:r>
        <w:rPr>
          <w:rFonts w:hint="eastAsia"/>
          <w:lang w:eastAsia="zh-CN"/>
        </w:rPr>
        <w:drawing>
          <wp:anchor distT="0" distB="0" distL="114300" distR="114300" simplePos="0" relativeHeight="251789312" behindDoc="0" locked="0" layoutInCell="1" allowOverlap="1">
            <wp:simplePos x="0" y="0"/>
            <wp:positionH relativeFrom="column">
              <wp:posOffset>2037080</wp:posOffset>
            </wp:positionH>
            <wp:positionV relativeFrom="paragraph">
              <wp:posOffset>275590</wp:posOffset>
            </wp:positionV>
            <wp:extent cx="2576195" cy="2394585"/>
            <wp:effectExtent l="19050" t="19050" r="33655" b="24765"/>
            <wp:wrapNone/>
            <wp:docPr id="237" name="图片 2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2"/>
                    <pic:cNvPicPr>
                      <a:picLocks noChangeAspect="1"/>
                    </pic:cNvPicPr>
                  </pic:nvPicPr>
                  <pic:blipFill>
                    <a:blip r:embed="rId170"/>
                    <a:stretch>
                      <a:fillRect/>
                    </a:stretch>
                  </pic:blipFill>
                  <pic:spPr>
                    <a:xfrm>
                      <a:off x="0" y="0"/>
                      <a:ext cx="2576195" cy="2394585"/>
                    </a:xfrm>
                    <a:prstGeom prst="rect">
                      <a:avLst/>
                    </a:prstGeom>
                    <a:ln w="19050">
                      <a:solidFill>
                        <a:schemeClr val="tx1"/>
                      </a:solidFill>
                    </a:ln>
                  </pic:spPr>
                </pic:pic>
              </a:graphicData>
            </a:graphic>
          </wp:anchor>
        </w:drawing>
      </w:r>
      <w:r>
        <w:rPr>
          <w:sz w:val="21"/>
        </w:rPr>
        <mc:AlternateContent>
          <mc:Choice Requires="wps">
            <w:drawing>
              <wp:anchor distT="0" distB="0" distL="114300" distR="114300" simplePos="0" relativeHeight="251788288" behindDoc="0" locked="0" layoutInCell="1" allowOverlap="1">
                <wp:simplePos x="0" y="0"/>
                <wp:positionH relativeFrom="column">
                  <wp:posOffset>4862830</wp:posOffset>
                </wp:positionH>
                <wp:positionV relativeFrom="paragraph">
                  <wp:posOffset>273050</wp:posOffset>
                </wp:positionV>
                <wp:extent cx="3911600" cy="3549650"/>
                <wp:effectExtent l="6985" t="7620" r="24765" b="24130"/>
                <wp:wrapNone/>
                <wp:docPr id="236" name="任意多边形 236"/>
                <wp:cNvGraphicFramePr/>
                <a:graphic xmlns:a="http://schemas.openxmlformats.org/drawingml/2006/main">
                  <a:graphicData uri="http://schemas.microsoft.com/office/word/2010/wordprocessingShape">
                    <wps:wsp>
                      <wps:cNvSpPr/>
                      <wps:spPr>
                        <a:xfrm>
                          <a:off x="5777230" y="1416050"/>
                          <a:ext cx="3911600" cy="3549650"/>
                        </a:xfrm>
                        <a:custGeom>
                          <a:avLst/>
                          <a:gdLst>
                            <a:gd name="connisteX0" fmla="*/ 0 w 3911600"/>
                            <a:gd name="connsiteY0" fmla="*/ 908050 h 3549650"/>
                            <a:gd name="connisteX1" fmla="*/ 120650 w 3911600"/>
                            <a:gd name="connsiteY1" fmla="*/ 2228850 h 3549650"/>
                            <a:gd name="connisteX2" fmla="*/ 495300 w 3911600"/>
                            <a:gd name="connsiteY2" fmla="*/ 2222500 h 3549650"/>
                            <a:gd name="connisteX3" fmla="*/ 673100 w 3911600"/>
                            <a:gd name="connsiteY3" fmla="*/ 2508250 h 3549650"/>
                            <a:gd name="connisteX4" fmla="*/ 654050 w 3911600"/>
                            <a:gd name="connsiteY4" fmla="*/ 3498850 h 3549650"/>
                            <a:gd name="connisteX5" fmla="*/ 1473200 w 3911600"/>
                            <a:gd name="connsiteY5" fmla="*/ 3549650 h 3549650"/>
                            <a:gd name="connisteX6" fmla="*/ 1479550 w 3911600"/>
                            <a:gd name="connsiteY6" fmla="*/ 3505200 h 3549650"/>
                            <a:gd name="connisteX7" fmla="*/ 1644650 w 3911600"/>
                            <a:gd name="connsiteY7" fmla="*/ 3511550 h 3549650"/>
                            <a:gd name="connisteX8" fmla="*/ 1765300 w 3911600"/>
                            <a:gd name="connsiteY8" fmla="*/ 1797050 h 3549650"/>
                            <a:gd name="connisteX9" fmla="*/ 3543300 w 3911600"/>
                            <a:gd name="connsiteY9" fmla="*/ 1587500 h 3549650"/>
                            <a:gd name="connisteX10" fmla="*/ 3422650 w 3911600"/>
                            <a:gd name="connsiteY10" fmla="*/ 628650 h 3549650"/>
                            <a:gd name="connisteX11" fmla="*/ 3911600 w 3911600"/>
                            <a:gd name="connsiteY11" fmla="*/ 590550 h 3549650"/>
                            <a:gd name="connisteX12" fmla="*/ 3759200 w 3911600"/>
                            <a:gd name="connsiteY12" fmla="*/ 0 h 3549650"/>
                            <a:gd name="connisteX13" fmla="*/ 2851150 w 3911600"/>
                            <a:gd name="connsiteY13" fmla="*/ 215900 h 3549650"/>
                            <a:gd name="connisteX14" fmla="*/ 2006600 w 3911600"/>
                            <a:gd name="connsiteY14" fmla="*/ 1009650 h 3549650"/>
                            <a:gd name="connisteX15" fmla="*/ 1600200 w 3911600"/>
                            <a:gd name="connsiteY15" fmla="*/ 1016000 h 3549650"/>
                            <a:gd name="connisteX16" fmla="*/ 1473200 w 3911600"/>
                            <a:gd name="connsiteY16" fmla="*/ 558800 h 3549650"/>
                            <a:gd name="connisteX17" fmla="*/ 425450 w 3911600"/>
                            <a:gd name="connsiteY17" fmla="*/ 793750 h 3549650"/>
                            <a:gd name="connisteX18" fmla="*/ 177800 w 3911600"/>
                            <a:gd name="connsiteY18" fmla="*/ 806450 h 3549650"/>
                            <a:gd name="connisteX19" fmla="*/ 0 w 3911600"/>
                            <a:gd name="connsiteY19" fmla="*/ 908050 h 35496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3911600" h="3549650">
                              <a:moveTo>
                                <a:pt x="0" y="908050"/>
                              </a:moveTo>
                              <a:lnTo>
                                <a:pt x="120650" y="2228850"/>
                              </a:lnTo>
                              <a:lnTo>
                                <a:pt x="495300" y="2222500"/>
                              </a:lnTo>
                              <a:lnTo>
                                <a:pt x="673100" y="2508250"/>
                              </a:lnTo>
                              <a:lnTo>
                                <a:pt x="654050" y="3498850"/>
                              </a:lnTo>
                              <a:lnTo>
                                <a:pt x="1473200" y="3549650"/>
                              </a:lnTo>
                              <a:lnTo>
                                <a:pt x="1479550" y="3505200"/>
                              </a:lnTo>
                              <a:lnTo>
                                <a:pt x="1644650" y="3511550"/>
                              </a:lnTo>
                              <a:lnTo>
                                <a:pt x="1765300" y="1797050"/>
                              </a:lnTo>
                              <a:lnTo>
                                <a:pt x="3543300" y="1587500"/>
                              </a:lnTo>
                              <a:lnTo>
                                <a:pt x="3422650" y="628650"/>
                              </a:lnTo>
                              <a:lnTo>
                                <a:pt x="3911600" y="590550"/>
                              </a:lnTo>
                              <a:lnTo>
                                <a:pt x="3759200" y="0"/>
                              </a:lnTo>
                              <a:lnTo>
                                <a:pt x="2851150" y="215900"/>
                              </a:lnTo>
                              <a:lnTo>
                                <a:pt x="2006600" y="1009650"/>
                              </a:lnTo>
                              <a:lnTo>
                                <a:pt x="1600200" y="1016000"/>
                              </a:lnTo>
                              <a:lnTo>
                                <a:pt x="1473200" y="558800"/>
                              </a:lnTo>
                              <a:lnTo>
                                <a:pt x="425450" y="793750"/>
                              </a:lnTo>
                              <a:lnTo>
                                <a:pt x="177800" y="806450"/>
                              </a:lnTo>
                              <a:lnTo>
                                <a:pt x="0" y="90805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82.9pt;margin-top:21.5pt;height:279.5pt;width:308pt;z-index:251788288;mso-width-relative:page;mso-height-relative:page;" filled="f" stroked="t" coordsize="3911600,3549650" o:gfxdata="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" path="m0,908050l120650,2228850,495300,2222500,673100,2508250,654050,3498850,1473200,3549650,1479550,3505200,1644650,3511550,1765300,1797050,3543300,1587500,3422650,628650,3911600,590550,3759200,0,2851150,215900,2006600,1009650,1600200,1016000,1473200,558800,425450,793750,177800,806450,0,908050xe">
                <v:path o:connectlocs="0,908050;120650,2228850;495300,2222500;673100,2508250;654050,3498850;1473200,3549650;1479550,3505200;1644650,3511550;1765300,1797050;3543300,1587500;3422650,628650;3911600,590550;3759200,0;2851150,215900;2006600,1009650;1600200,1016000;1473200,558800;425450,793750;177800,806450;0,908050" o:connectangles="0,0,0,0,0,0,0,0,0,0,0,0,0,0,0,0,0,0,0,0"/>
                <v:fill on="f" focussize="0,0"/>
                <v:stroke weight="1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251787264" behindDoc="0" locked="0" layoutInCell="1" allowOverlap="1">
                <wp:simplePos x="0" y="0"/>
                <wp:positionH relativeFrom="column">
                  <wp:posOffset>1076325</wp:posOffset>
                </wp:positionH>
                <wp:positionV relativeFrom="paragraph">
                  <wp:posOffset>1530350</wp:posOffset>
                </wp:positionV>
                <wp:extent cx="590550" cy="2120900"/>
                <wp:effectExtent l="6350" t="6985" r="12700" b="24765"/>
                <wp:wrapNone/>
                <wp:docPr id="235" name="任意多边形 235"/>
                <wp:cNvGraphicFramePr/>
                <a:graphic xmlns:a="http://schemas.openxmlformats.org/drawingml/2006/main">
                  <a:graphicData uri="http://schemas.microsoft.com/office/word/2010/wordprocessingShape">
                    <wps:wsp>
                      <wps:cNvSpPr/>
                      <wps:spPr>
                        <a:xfrm>
                          <a:off x="1990725" y="2673350"/>
                          <a:ext cx="590550" cy="2120900"/>
                        </a:xfrm>
                        <a:custGeom>
                          <a:avLst/>
                          <a:gdLst>
                            <a:gd name="connisteX0" fmla="*/ 69850 w 590550"/>
                            <a:gd name="connsiteY0" fmla="*/ 38100 h 2120900"/>
                            <a:gd name="connisteX1" fmla="*/ 590550 w 590550"/>
                            <a:gd name="connsiteY1" fmla="*/ 0 h 2120900"/>
                            <a:gd name="connisteX2" fmla="*/ 577850 w 590550"/>
                            <a:gd name="connsiteY2" fmla="*/ 2120900 h 2120900"/>
                            <a:gd name="connisteX3" fmla="*/ 0 w 590550"/>
                            <a:gd name="connsiteY3" fmla="*/ 2076450 h 2120900"/>
                            <a:gd name="connisteX4" fmla="*/ 69850 w 590550"/>
                            <a:gd name="connsiteY4" fmla="*/ 38100 h 21209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90550" h="2120900">
                              <a:moveTo>
                                <a:pt x="69850" y="38100"/>
                              </a:moveTo>
                              <a:lnTo>
                                <a:pt x="590550" y="0"/>
                              </a:lnTo>
                              <a:lnTo>
                                <a:pt x="577850" y="2120900"/>
                              </a:lnTo>
                              <a:lnTo>
                                <a:pt x="0" y="2076450"/>
                              </a:lnTo>
                              <a:lnTo>
                                <a:pt x="69850" y="3810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84.75pt;margin-top:120.5pt;height:167pt;width:46.5pt;z-index:251787264;mso-width-relative:page;mso-height-relative:page;" filled="f" stroked="t" coordsize="590550,2120900" o:gfxdata="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" path="m69850,38100l590550,0,577850,2120900,0,2076450,69850,38100xe">
                <v:path o:connectlocs="69850,38100;590550,0;577850,2120900;0,2076450;69850,38100" o:connectangles="0,0,0,0,0"/>
                <v:fill on="f" focussize="0,0"/>
                <v:stroke weight="1pt" color="#FF0000 [3204]" miterlimit="8" joinstyle="miter"/>
                <v:imagedata o:title=""/>
                <o:lock v:ext="edit" aspectratio="f"/>
              </v:shape>
            </w:pict>
          </mc:Fallback>
        </mc:AlternateContent>
      </w:r>
      <w:r>
        <w:rPr>
          <w:rFonts w:hint="eastAsia" w:eastAsia="宋体"/>
          <w:lang w:eastAsia="zh-CN"/>
        </w:rPr>
        <w:drawing>
          <wp:inline distT="0" distB="0" distL="114300" distR="114300">
            <wp:extent cx="8856345" cy="4382770"/>
            <wp:effectExtent l="0" t="0" r="1905" b="17780"/>
            <wp:docPr id="234" name="图片 2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1"/>
                    <pic:cNvPicPr>
                      <a:picLocks noChangeAspect="1"/>
                    </pic:cNvPicPr>
                  </pic:nvPicPr>
                  <pic:blipFill>
                    <a:blip r:embed="rId171"/>
                    <a:stretch>
                      <a:fillRect/>
                    </a:stretch>
                  </pic:blipFill>
                  <pic:spPr>
                    <a:xfrm>
                      <a:off x="0" y="0"/>
                      <a:ext cx="8856345" cy="4382770"/>
                    </a:xfrm>
                    <a:prstGeom prst="rect">
                      <a:avLst/>
                    </a:prstGeom>
                  </pic:spPr>
                </pic:pic>
              </a:graphicData>
            </a:graphic>
          </wp:inline>
        </w:drawing>
      </w:r>
    </w:p>
    <w:p>
      <w:pPr>
        <w:pStyle w:val="17"/>
        <w:rPr>
          <w:rFonts w:hint="eastAsia" w:eastAsia="宋体"/>
          <w:lang w:eastAsia="zh-CN"/>
        </w:rPr>
      </w:pPr>
    </w:p>
    <w:p>
      <w:pPr>
        <w:rPr>
          <w:rFonts w:hint="eastAsia"/>
          <w:lang w:eastAsia="zh-CN"/>
        </w:rPr>
        <w:sectPr>
          <w:headerReference r:id="rId54" w:type="default"/>
          <w:footerReference r:id="rId55"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b/>
          <w:bCs/>
          <w:color w:val="auto"/>
          <w:sz w:val="28"/>
          <w:szCs w:val="28"/>
        </w:rPr>
      </w:pPr>
      <w:r>
        <w:rPr>
          <w:rFonts w:hint="eastAsia" w:ascii="Times New Roman" w:hAnsi="Times New Roman"/>
          <w:b/>
          <w:bCs/>
          <w:color w:val="auto"/>
          <w:sz w:val="28"/>
          <w:szCs w:val="28"/>
          <w:lang w:val="en-US" w:eastAsia="zh-CN"/>
        </w:rPr>
        <w:t>6.6</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3</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本</w:t>
      </w:r>
      <w:r>
        <w:rPr>
          <w:rFonts w:hint="eastAsia" w:ascii="Times New Roman" w:hAnsi="Times New Roman"/>
          <w:b/>
          <w:bCs/>
          <w:color w:val="auto"/>
          <w:sz w:val="28"/>
          <w:szCs w:val="28"/>
        </w:rPr>
        <w:t>项目环境风险识别</w:t>
      </w:r>
    </w:p>
    <w:p>
      <w:pPr>
        <w:pStyle w:val="2"/>
        <w:keepNext w:val="0"/>
        <w:keepLines w:val="0"/>
        <w:pageBreakBefore w:val="0"/>
        <w:widowControl w:val="0"/>
        <w:kinsoku/>
        <w:wordWrap/>
        <w:overflowPunct/>
        <w:topLinePunct w:val="0"/>
        <w:autoSpaceDE/>
        <w:autoSpaceDN/>
        <w:bidi w:val="0"/>
        <w:adjustRightInd/>
        <w:snapToGrid w:val="0"/>
        <w:spacing w:line="360" w:lineRule="auto"/>
        <w:jc w:val="both"/>
        <w:textAlignment w:val="auto"/>
        <w:rPr>
          <w:rFonts w:hint="eastAsia"/>
          <w:sz w:val="24"/>
          <w:szCs w:val="24"/>
          <w:lang w:val="en-US" w:eastAsia="zh-CN"/>
        </w:rPr>
      </w:pPr>
      <w:r>
        <w:rPr>
          <w:rFonts w:hint="eastAsia"/>
          <w:sz w:val="24"/>
          <w:szCs w:val="24"/>
          <w:lang w:val="en-US" w:eastAsia="zh-CN"/>
        </w:rPr>
        <w:t>1、危险物质数量与临界量比值(</w:t>
      </w:r>
      <w:r>
        <w:rPr>
          <w:rFonts w:hint="default" w:ascii="Times New Roman" w:hAnsi="Times New Roman" w:cs="Times New Roman"/>
          <w:sz w:val="24"/>
          <w:szCs w:val="24"/>
          <w:lang w:val="en-US" w:eastAsia="zh-CN"/>
        </w:rPr>
        <w:t>Q</w:t>
      </w:r>
      <w:r>
        <w:rPr>
          <w:rFonts w:hint="eastAsia"/>
          <w:sz w:val="24"/>
          <w:szCs w:val="24"/>
          <w:lang w:val="en-US" w:eastAsia="zh-CN"/>
        </w:rPr>
        <w:t>)</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jc w:val="both"/>
        <w:textAlignment w:val="auto"/>
        <w:rPr>
          <w:rFonts w:hint="default"/>
          <w:sz w:val="24"/>
          <w:szCs w:val="24"/>
          <w:lang w:val="en-US" w:eastAsia="zh-CN"/>
        </w:rPr>
      </w:pPr>
      <w:r>
        <w:rPr>
          <w:rFonts w:hint="default"/>
          <w:sz w:val="24"/>
          <w:szCs w:val="24"/>
          <w:lang w:val="en-US" w:eastAsia="zh-CN"/>
        </w:rPr>
        <w:t>计算所涉及的每种危险物质在厂界内的最大存在总量与其在附录B中对应临界量的比值Q。在不同厂区的同一种物质，按其在厂界内的最大存在总量计算。对于长输管线项目，按照两个截断阀室之间管段危险物质最大存在总量计算。</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jc w:val="both"/>
        <w:textAlignment w:val="auto"/>
        <w:rPr>
          <w:rFonts w:hint="default"/>
          <w:sz w:val="24"/>
          <w:szCs w:val="24"/>
          <w:lang w:val="en-US" w:eastAsia="zh-CN"/>
        </w:rPr>
      </w:pPr>
      <w:r>
        <w:rPr>
          <w:rFonts w:hint="default"/>
          <w:sz w:val="24"/>
          <w:szCs w:val="24"/>
          <w:lang w:val="en-US" w:eastAsia="zh-CN"/>
        </w:rPr>
        <w:t>当只涉及一种危险物质时，计算该物质的总量与其临界量比值，即为Q；</w:t>
      </w:r>
    </w:p>
    <w:p>
      <w:pPr>
        <w:keepNext w:val="0"/>
        <w:keepLines w:val="0"/>
        <w:pageBreakBefore w:val="0"/>
        <w:widowControl w:val="0"/>
        <w:kinsoku/>
        <w:wordWrap/>
        <w:overflowPunct/>
        <w:topLinePunct w:val="0"/>
        <w:autoSpaceDE/>
        <w:autoSpaceDN/>
        <w:bidi w:val="0"/>
        <w:snapToGrid w:val="0"/>
        <w:spacing w:line="360" w:lineRule="auto"/>
        <w:ind w:firstLine="480" w:firstLineChars="200"/>
        <w:jc w:val="both"/>
        <w:rPr>
          <w:rFonts w:hint="default"/>
          <w:sz w:val="24"/>
          <w:szCs w:val="24"/>
          <w:lang w:val="en-US" w:eastAsia="zh-CN"/>
        </w:rPr>
      </w:pPr>
      <w:r>
        <w:rPr>
          <w:rFonts w:hint="default"/>
          <w:sz w:val="24"/>
          <w:szCs w:val="24"/>
          <w:lang w:val="en-US" w:eastAsia="zh-CN"/>
        </w:rPr>
        <w:t>当存在多种危险物质时，则按式（C.1）计算物质总量与其临界量比值（Q）：</w:t>
      </w:r>
    </w:p>
    <w:p>
      <w:pPr>
        <w:pStyle w:val="2"/>
        <w:keepNext w:val="0"/>
        <w:keepLines w:val="0"/>
        <w:pageBreakBefore w:val="0"/>
        <w:widowControl w:val="0"/>
        <w:kinsoku/>
        <w:wordWrap/>
        <w:overflowPunct/>
        <w:topLinePunct w:val="0"/>
        <w:autoSpaceDE/>
        <w:autoSpaceDN/>
        <w:bidi w:val="0"/>
        <w:snapToGrid w:val="0"/>
        <w:spacing w:line="360" w:lineRule="auto"/>
        <w:jc w:val="center"/>
        <w:rPr>
          <w:rFonts w:hint="default"/>
          <w:lang w:val="en-US" w:eastAsia="zh-CN"/>
        </w:rPr>
      </w:pPr>
      <w:r>
        <w:rPr>
          <w:rFonts w:hint="default"/>
          <w:lang w:val="en-US" w:eastAsia="zh-CN"/>
        </w:rPr>
        <w:drawing>
          <wp:inline distT="0" distB="0" distL="114300" distR="114300">
            <wp:extent cx="2331085" cy="521335"/>
            <wp:effectExtent l="0" t="0" r="12065" b="12065"/>
            <wp:docPr id="130" name="图片 56" descr="C:\Users\T480\Desktop\截图20201119212211.png截图2020111921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6" descr="C:\Users\T480\Desktop\截图20201119212211.png截图20201119212211"/>
                    <pic:cNvPicPr>
                      <a:picLocks noChangeAspect="1"/>
                    </pic:cNvPicPr>
                  </pic:nvPicPr>
                  <pic:blipFill>
                    <a:blip r:embed="rId172"/>
                    <a:stretch>
                      <a:fillRect/>
                    </a:stretch>
                  </pic:blipFill>
                  <pic:spPr>
                    <a:xfrm>
                      <a:off x="0" y="0"/>
                      <a:ext cx="2331085" cy="52133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式中：q</w:t>
      </w:r>
      <w:r>
        <w:rPr>
          <w:rFonts w:hint="default" w:ascii="Times New Roman" w:hAnsi="Times New Roman"/>
          <w:sz w:val="24"/>
          <w:szCs w:val="24"/>
          <w:vertAlign w:val="subscript"/>
          <w:lang w:val="en-US" w:eastAsia="zh-CN"/>
        </w:rPr>
        <w:t>1</w:t>
      </w:r>
      <w:r>
        <w:rPr>
          <w:rFonts w:hint="default" w:ascii="Times New Roman" w:hAnsi="Times New Roman"/>
          <w:sz w:val="24"/>
          <w:szCs w:val="24"/>
          <w:lang w:val="en-US" w:eastAsia="zh-CN"/>
        </w:rPr>
        <w:t>，q</w:t>
      </w:r>
      <w:r>
        <w:rPr>
          <w:rFonts w:hint="default" w:ascii="Times New Roman" w:hAnsi="Times New Roman"/>
          <w:sz w:val="24"/>
          <w:szCs w:val="24"/>
          <w:vertAlign w:val="subscript"/>
          <w:lang w:val="en-US" w:eastAsia="zh-CN"/>
        </w:rPr>
        <w:t>2</w:t>
      </w:r>
      <w:r>
        <w:rPr>
          <w:rFonts w:hint="default" w:ascii="Times New Roman" w:hAnsi="Times New Roman"/>
          <w:sz w:val="24"/>
          <w:szCs w:val="24"/>
          <w:lang w:val="en-US" w:eastAsia="zh-CN"/>
        </w:rPr>
        <w:t>，...，q</w:t>
      </w:r>
      <w:r>
        <w:rPr>
          <w:rFonts w:hint="default" w:ascii="Times New Roman" w:hAnsi="Times New Roman"/>
          <w:sz w:val="24"/>
          <w:szCs w:val="24"/>
          <w:vertAlign w:val="subscript"/>
          <w:lang w:val="en-US" w:eastAsia="zh-CN"/>
        </w:rPr>
        <w:t>n</w:t>
      </w:r>
      <w:r>
        <w:rPr>
          <w:rFonts w:hint="default" w:ascii="Times New Roman" w:hAnsi="Times New Roman"/>
          <w:sz w:val="24"/>
          <w:szCs w:val="24"/>
          <w:lang w:val="en-US" w:eastAsia="zh-CN"/>
        </w:rPr>
        <w:t>—每种危险物质的最大存在总量，t；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Q</w:t>
      </w:r>
      <w:r>
        <w:rPr>
          <w:rFonts w:hint="default" w:ascii="Times New Roman" w:hAnsi="Times New Roman"/>
          <w:sz w:val="24"/>
          <w:szCs w:val="24"/>
          <w:vertAlign w:val="subscript"/>
          <w:lang w:val="en-US" w:eastAsia="zh-CN"/>
        </w:rPr>
        <w:t>1</w:t>
      </w:r>
      <w:r>
        <w:rPr>
          <w:rFonts w:hint="default" w:ascii="Times New Roman" w:hAnsi="Times New Roman"/>
          <w:sz w:val="24"/>
          <w:szCs w:val="24"/>
          <w:lang w:val="en-US" w:eastAsia="zh-CN"/>
        </w:rPr>
        <w:t>，Q</w:t>
      </w:r>
      <w:r>
        <w:rPr>
          <w:rFonts w:hint="default" w:ascii="Times New Roman" w:hAnsi="Times New Roman"/>
          <w:sz w:val="24"/>
          <w:szCs w:val="24"/>
          <w:vertAlign w:val="subscript"/>
          <w:lang w:val="en-US" w:eastAsia="zh-CN"/>
        </w:rPr>
        <w:t>2</w:t>
      </w:r>
      <w:r>
        <w:rPr>
          <w:rFonts w:hint="default" w:ascii="Times New Roman" w:hAnsi="Times New Roman"/>
          <w:sz w:val="24"/>
          <w:szCs w:val="24"/>
          <w:lang w:val="en-US" w:eastAsia="zh-CN"/>
        </w:rPr>
        <w:t>，...，Q</w:t>
      </w:r>
      <w:r>
        <w:rPr>
          <w:rFonts w:hint="default" w:ascii="Times New Roman" w:hAnsi="Times New Roman"/>
          <w:sz w:val="24"/>
          <w:szCs w:val="24"/>
          <w:vertAlign w:val="subscript"/>
          <w:lang w:val="en-US" w:eastAsia="zh-CN"/>
        </w:rPr>
        <w:t>n</w:t>
      </w:r>
      <w:r>
        <w:rPr>
          <w:rFonts w:hint="default" w:ascii="Times New Roman" w:hAnsi="Times New Roman"/>
          <w:sz w:val="24"/>
          <w:szCs w:val="24"/>
          <w:lang w:val="en-US" w:eastAsia="zh-CN"/>
        </w:rPr>
        <w:t xml:space="preserve">—每种危险物质的临界量，t。 </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当Q＜1时，该项目环境风险潜势为Ⅰ。</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当Q≥1时，将Q值划分为：（1）1≤Q＜10；（2）10≤Q＜100；（3）Q≥100。</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项目Q值确定情况</w:t>
      </w:r>
      <w:r>
        <w:rPr>
          <w:rFonts w:hint="default" w:ascii="Times New Roman" w:hAnsi="Times New Roman"/>
          <w:sz w:val="24"/>
          <w:szCs w:val="24"/>
          <w:highlight w:val="none"/>
          <w:lang w:val="en-US" w:eastAsia="zh-CN"/>
        </w:rPr>
        <w:t>见表</w:t>
      </w:r>
      <w:r>
        <w:rPr>
          <w:rFonts w:hint="eastAsia" w:ascii="Times New Roman" w:hAnsi="Times New Roman"/>
          <w:sz w:val="24"/>
          <w:szCs w:val="24"/>
          <w:highlight w:val="none"/>
          <w:lang w:val="en-US" w:eastAsia="zh-CN"/>
        </w:rPr>
        <w:t>6.6</w:t>
      </w:r>
      <w:r>
        <w:rPr>
          <w:rFonts w:hint="default" w:ascii="Times New Roman" w:hAnsi="Times New Roman"/>
          <w:sz w:val="24"/>
          <w:szCs w:val="24"/>
          <w:highlight w:val="none"/>
          <w:lang w:val="en-US" w:eastAsia="zh-CN"/>
        </w:rPr>
        <w:t>-</w:t>
      </w:r>
      <w:r>
        <w:rPr>
          <w:rFonts w:hint="eastAsia" w:ascii="Times New Roman" w:hAnsi="Times New Roman"/>
          <w:sz w:val="24"/>
          <w:szCs w:val="24"/>
          <w:highlight w:val="none"/>
          <w:lang w:val="en-US" w:eastAsia="zh-CN"/>
        </w:rPr>
        <w:t>15</w:t>
      </w:r>
      <w:r>
        <w:rPr>
          <w:rFonts w:hint="default" w:ascii="Times New Roman" w:hAnsi="Times New Roman"/>
          <w:sz w:val="24"/>
          <w:szCs w:val="24"/>
          <w:highlight w:val="none"/>
          <w:lang w:val="en-US" w:eastAsia="zh-CN"/>
        </w:rPr>
        <w:t>。</w:t>
      </w:r>
    </w:p>
    <w:p>
      <w:pPr>
        <w:pStyle w:val="17"/>
        <w:jc w:val="center"/>
        <w:rPr>
          <w:rFonts w:hint="eastAsia"/>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15</w:t>
      </w:r>
      <w:r>
        <w:rPr>
          <w:rFonts w:hint="eastAsia"/>
          <w:b/>
          <w:bCs/>
          <w:sz w:val="24"/>
          <w:szCs w:val="24"/>
          <w:lang w:val="en-US" w:eastAsia="zh-CN"/>
        </w:rPr>
        <w:t xml:space="preserve"> 建设项目</w:t>
      </w:r>
      <w:r>
        <w:rPr>
          <w:rFonts w:hint="default" w:ascii="Times New Roman" w:hAnsi="Times New Roman" w:cs="Times New Roman"/>
          <w:b/>
          <w:bCs/>
          <w:sz w:val="24"/>
          <w:szCs w:val="24"/>
          <w:lang w:val="en-US" w:eastAsia="zh-CN"/>
        </w:rPr>
        <w:t>Q</w:t>
      </w:r>
      <w:r>
        <w:rPr>
          <w:rFonts w:hint="eastAsia"/>
          <w:b/>
          <w:bCs/>
          <w:sz w:val="24"/>
          <w:szCs w:val="24"/>
          <w:lang w:val="en-US" w:eastAsia="zh-CN"/>
        </w:rPr>
        <w:t>值确定表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525"/>
        <w:gridCol w:w="1225"/>
        <w:gridCol w:w="1513"/>
        <w:gridCol w:w="1375"/>
        <w:gridCol w:w="1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序号</w:t>
            </w:r>
          </w:p>
        </w:tc>
        <w:tc>
          <w:tcPr>
            <w:tcW w:w="15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危险物质名称</w:t>
            </w:r>
          </w:p>
        </w:tc>
        <w:tc>
          <w:tcPr>
            <w:tcW w:w="12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CAS号</w:t>
            </w:r>
          </w:p>
        </w:tc>
        <w:tc>
          <w:tcPr>
            <w:tcW w:w="151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最大储量（t）</w:t>
            </w:r>
          </w:p>
        </w:tc>
        <w:tc>
          <w:tcPr>
            <w:tcW w:w="137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临界量（t）</w:t>
            </w:r>
          </w:p>
        </w:tc>
        <w:tc>
          <w:tcPr>
            <w:tcW w:w="192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该种危险物质Q值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w:t>
            </w:r>
          </w:p>
        </w:tc>
        <w:tc>
          <w:tcPr>
            <w:tcW w:w="15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双氧水</w:t>
            </w:r>
          </w:p>
        </w:tc>
        <w:tc>
          <w:tcPr>
            <w:tcW w:w="12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7782-50-5</w:t>
            </w:r>
          </w:p>
        </w:tc>
        <w:tc>
          <w:tcPr>
            <w:tcW w:w="151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150</w:t>
            </w:r>
          </w:p>
        </w:tc>
        <w:tc>
          <w:tcPr>
            <w:tcW w:w="137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200</w:t>
            </w:r>
          </w:p>
        </w:tc>
        <w:tc>
          <w:tcPr>
            <w:tcW w:w="192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w:t>
            </w:r>
          </w:p>
        </w:tc>
        <w:tc>
          <w:tcPr>
            <w:tcW w:w="15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DTPA</w:t>
            </w:r>
          </w:p>
        </w:tc>
        <w:tc>
          <w:tcPr>
            <w:tcW w:w="12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szCs w:val="21"/>
                <w:lang w:val="en-US" w:eastAsia="zh-CN"/>
              </w:rPr>
              <w:t>/</w:t>
            </w:r>
          </w:p>
        </w:tc>
        <w:tc>
          <w:tcPr>
            <w:tcW w:w="151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10</w:t>
            </w:r>
          </w:p>
        </w:tc>
        <w:tc>
          <w:tcPr>
            <w:tcW w:w="137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92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3</w:t>
            </w:r>
          </w:p>
        </w:tc>
        <w:tc>
          <w:tcPr>
            <w:tcW w:w="1525" w:type="dxa"/>
            <w:noWrap w:val="0"/>
            <w:vAlign w:val="center"/>
          </w:tcPr>
          <w:p>
            <w:pPr>
              <w:jc w:val="center"/>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氧化钙</w:t>
            </w:r>
          </w:p>
        </w:tc>
        <w:tc>
          <w:tcPr>
            <w:tcW w:w="12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7758-89-6</w:t>
            </w:r>
          </w:p>
        </w:tc>
        <w:tc>
          <w:tcPr>
            <w:tcW w:w="151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300</w:t>
            </w:r>
          </w:p>
        </w:tc>
        <w:tc>
          <w:tcPr>
            <w:tcW w:w="137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92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4</w:t>
            </w:r>
          </w:p>
        </w:tc>
        <w:tc>
          <w:tcPr>
            <w:tcW w:w="1525" w:type="dxa"/>
            <w:noWrap w:val="0"/>
            <w:vAlign w:val="center"/>
          </w:tcPr>
          <w:p>
            <w:pPr>
              <w:jc w:val="center"/>
              <w:rPr>
                <w:rFonts w:hint="eastAsia" w:ascii="Times New Roman" w:hAnsi="Times New Roman" w:eastAsia="宋体"/>
                <w:vertAlign w:val="baseline"/>
                <w:lang w:val="en-US" w:eastAsia="zh-CN"/>
              </w:rPr>
            </w:pPr>
            <w:r>
              <w:rPr>
                <w:rFonts w:hint="eastAsia" w:ascii="Times New Roman" w:hAnsi="Times New Roman" w:eastAsia="宋体"/>
                <w:sz w:val="21"/>
                <w:szCs w:val="21"/>
                <w:vertAlign w:val="baseline"/>
                <w:lang w:val="en-US" w:eastAsia="zh-CN"/>
              </w:rPr>
              <w:t>氢氧化钠</w:t>
            </w:r>
          </w:p>
        </w:tc>
        <w:tc>
          <w:tcPr>
            <w:tcW w:w="12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ascii="Times New Roman" w:hAnsi="Times New Roman" w:eastAsia="宋体"/>
                <w:kern w:val="0"/>
                <w:szCs w:val="21"/>
              </w:rPr>
              <w:t>1310-73-2</w:t>
            </w:r>
          </w:p>
        </w:tc>
        <w:tc>
          <w:tcPr>
            <w:tcW w:w="151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900</w:t>
            </w:r>
          </w:p>
        </w:tc>
        <w:tc>
          <w:tcPr>
            <w:tcW w:w="137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92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w:t>
            </w:r>
          </w:p>
        </w:tc>
        <w:tc>
          <w:tcPr>
            <w:tcW w:w="1525" w:type="dxa"/>
            <w:noWrap w:val="0"/>
            <w:vAlign w:val="center"/>
          </w:tcPr>
          <w:p>
            <w:pPr>
              <w:jc w:val="center"/>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氨水</w:t>
            </w:r>
          </w:p>
        </w:tc>
        <w:tc>
          <w:tcPr>
            <w:tcW w:w="12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ascii="Times New Roman" w:hAnsi="Times New Roman" w:eastAsia="宋体"/>
                <w:kern w:val="0"/>
                <w:szCs w:val="21"/>
              </w:rPr>
              <w:t>7681-52-9</w:t>
            </w:r>
          </w:p>
        </w:tc>
        <w:tc>
          <w:tcPr>
            <w:tcW w:w="151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w:t>
            </w:r>
          </w:p>
        </w:tc>
        <w:tc>
          <w:tcPr>
            <w:tcW w:w="137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92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71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6</w:t>
            </w:r>
          </w:p>
        </w:tc>
        <w:tc>
          <w:tcPr>
            <w:tcW w:w="1525" w:type="dxa"/>
            <w:noWrap w:val="0"/>
            <w:vAlign w:val="center"/>
          </w:tcPr>
          <w:p>
            <w:pPr>
              <w:jc w:val="center"/>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废矿物油</w:t>
            </w:r>
          </w:p>
        </w:tc>
        <w:tc>
          <w:tcPr>
            <w:tcW w:w="122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kern w:val="0"/>
                <w:szCs w:val="21"/>
                <w:lang w:val="en-US" w:eastAsia="zh-CN"/>
              </w:rPr>
            </w:pPr>
            <w:r>
              <w:rPr>
                <w:rFonts w:hint="eastAsia" w:ascii="Times New Roman" w:hAnsi="Times New Roman" w:eastAsia="宋体"/>
                <w:kern w:val="0"/>
                <w:szCs w:val="21"/>
                <w:lang w:val="en-US" w:eastAsia="zh-CN"/>
              </w:rPr>
              <w:t>/</w:t>
            </w:r>
          </w:p>
        </w:tc>
        <w:tc>
          <w:tcPr>
            <w:tcW w:w="1513"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 xml:space="preserve">1 </w:t>
            </w:r>
          </w:p>
        </w:tc>
        <w:tc>
          <w:tcPr>
            <w:tcW w:w="1375"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2500</w:t>
            </w:r>
          </w:p>
        </w:tc>
        <w:tc>
          <w:tcPr>
            <w:tcW w:w="192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6356" w:type="dxa"/>
            <w:gridSpan w:val="5"/>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项目Q值</w:t>
            </w:r>
          </w:p>
        </w:tc>
        <w:tc>
          <w:tcPr>
            <w:tcW w:w="192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highlight w:val="yellow"/>
                <w:vertAlign w:val="baseline"/>
                <w:lang w:val="en-US" w:eastAsia="zh-CN"/>
              </w:rPr>
            </w:pPr>
            <w:r>
              <w:rPr>
                <w:rFonts w:hint="eastAsia" w:ascii="Times New Roman" w:hAnsi="Times New Roman" w:eastAsia="宋体"/>
                <w:highlight w:val="none"/>
                <w:vertAlign w:val="baseline"/>
                <w:lang w:val="en-US" w:eastAsia="zh-CN"/>
              </w:rPr>
              <w:t>0.75</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由表</w:t>
      </w:r>
      <w:r>
        <w:rPr>
          <w:rFonts w:hint="eastAsia" w:ascii="Times New Roman" w:hAnsi="Times New Roman"/>
          <w:sz w:val="24"/>
          <w:szCs w:val="24"/>
          <w:lang w:val="en-US" w:eastAsia="zh-CN"/>
        </w:rPr>
        <w:t>6.6</w:t>
      </w:r>
      <w:r>
        <w:rPr>
          <w:rFonts w:hint="eastAsia" w:ascii="Times New Roman" w:hAnsi="Times New Roman"/>
          <w:sz w:val="24"/>
          <w:szCs w:val="24"/>
        </w:rPr>
        <w:t>-1</w:t>
      </w:r>
      <w:r>
        <w:rPr>
          <w:rFonts w:hint="eastAsia" w:ascii="Times New Roman" w:hAnsi="Times New Roman"/>
          <w:sz w:val="24"/>
          <w:szCs w:val="24"/>
          <w:lang w:val="en-US" w:eastAsia="zh-CN"/>
        </w:rPr>
        <w:t>5</w:t>
      </w:r>
      <w:r>
        <w:rPr>
          <w:rFonts w:hint="eastAsia" w:ascii="Times New Roman" w:hAnsi="Times New Roman"/>
          <w:sz w:val="24"/>
          <w:szCs w:val="24"/>
        </w:rPr>
        <w:t>可知，本项目Q=</w:t>
      </w:r>
      <w:r>
        <w:rPr>
          <w:rFonts w:hint="eastAsia" w:ascii="Times New Roman" w:hAnsi="Times New Roman"/>
          <w:sz w:val="24"/>
          <w:szCs w:val="24"/>
          <w:lang w:val="en-US" w:eastAsia="zh-CN"/>
        </w:rPr>
        <w:t>0.75</w:t>
      </w:r>
      <w:r>
        <w:rPr>
          <w:rFonts w:hint="eastAsia" w:ascii="Times New Roman" w:hAnsi="Times New Roman"/>
          <w:sz w:val="24"/>
          <w:szCs w:val="24"/>
        </w:rPr>
        <w:t>，</w:t>
      </w:r>
      <w:r>
        <w:rPr>
          <w:rFonts w:hint="eastAsia" w:ascii="Times New Roman" w:hAnsi="Times New Roman"/>
          <w:sz w:val="24"/>
          <w:szCs w:val="24"/>
          <w:lang w:val="en-US" w:eastAsia="zh-CN"/>
        </w:rPr>
        <w:t>小于</w:t>
      </w:r>
      <w:r>
        <w:rPr>
          <w:rFonts w:hint="eastAsia" w:ascii="Times New Roman" w:hAnsi="Times New Roman"/>
          <w:sz w:val="24"/>
          <w:szCs w:val="24"/>
        </w:rPr>
        <w:t>1。</w:t>
      </w:r>
    </w:p>
    <w:p>
      <w:pPr>
        <w:keepNext w:val="0"/>
        <w:keepLines w:val="0"/>
        <w:pageBreakBefore w:val="0"/>
        <w:widowControl w:val="0"/>
        <w:kinsoku/>
        <w:wordWrap/>
        <w:overflowPunct/>
        <w:topLinePunct w:val="0"/>
        <w:autoSpaceDE/>
        <w:autoSpaceDN/>
        <w:bidi w:val="0"/>
        <w:snapToGrid w:val="0"/>
        <w:spacing w:line="360" w:lineRule="auto"/>
        <w:ind w:firstLine="480" w:firstLineChars="200"/>
        <w:rPr>
          <w:rFonts w:hint="eastAsia" w:ascii="Times New Roman" w:hAnsi="Times New Roman" w:eastAsia="宋体"/>
          <w:sz w:val="24"/>
          <w:szCs w:val="24"/>
          <w:lang w:val="en-US" w:eastAsia="zh-CN"/>
        </w:rPr>
      </w:pPr>
      <w:r>
        <w:rPr>
          <w:rFonts w:hint="eastAsia" w:ascii="Times New Roman" w:hAnsi="Times New Roman" w:eastAsia="宋体"/>
          <w:sz w:val="24"/>
          <w:szCs w:val="24"/>
          <w:lang w:val="en-US" w:eastAsia="zh-CN"/>
        </w:rPr>
        <w:t>2、环境风险潜势初判</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建设项目环境风险潜势划分为</w:t>
      </w:r>
      <w:r>
        <w:rPr>
          <w:rFonts w:hint="eastAsia" w:ascii="Times New Roman" w:hAnsi="Times New Roman"/>
          <w:sz w:val="24"/>
          <w:szCs w:val="24"/>
          <w:lang w:val="en-US" w:eastAsia="zh-CN"/>
        </w:rPr>
        <w:t xml:space="preserve"> </w:t>
      </w:r>
      <w:r>
        <w:rPr>
          <w:rFonts w:hint="default" w:ascii="Times New Roman" w:hAnsi="Times New Roman" w:cs="Times New Roman"/>
          <w:sz w:val="24"/>
          <w:szCs w:val="24"/>
        </w:rPr>
        <w:t>Ⅰ、Ⅱ、Ⅲ、Ⅳ/Ⅳ</w:t>
      </w:r>
      <w:r>
        <w:rPr>
          <w:rFonts w:hint="default" w:ascii="Times New Roman" w:hAnsi="Times New Roman" w:cs="Times New Roman"/>
          <w:sz w:val="24"/>
          <w:szCs w:val="24"/>
          <w:vertAlign w:val="superscript"/>
        </w:rPr>
        <w:t>+</w:t>
      </w:r>
      <w:r>
        <w:rPr>
          <w:rFonts w:hint="eastAsia" w:ascii="Times New Roman" w:hAnsi="Times New Roman"/>
          <w:sz w:val="24"/>
          <w:szCs w:val="24"/>
        </w:rPr>
        <w:t>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根据《建设项目环境风险评价技术导则》（HJ 169-2018）附录C，当Q＜1 时，</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sz w:val="24"/>
          <w:szCs w:val="24"/>
        </w:rPr>
        <w:t>该项目环境风险潜势为</w:t>
      </w:r>
      <w:r>
        <w:rPr>
          <w:rFonts w:hint="eastAsia" w:ascii="Times New Roman" w:hAnsi="Times New Roman"/>
          <w:sz w:val="24"/>
          <w:szCs w:val="24"/>
          <w:lang w:val="en-US" w:eastAsia="zh-CN"/>
        </w:rPr>
        <w:t xml:space="preserve"> </w:t>
      </w:r>
      <w:r>
        <w:rPr>
          <w:rFonts w:hint="default" w:ascii="Times New Roman" w:hAnsi="Times New Roman" w:cs="Times New Roman"/>
          <w:sz w:val="24"/>
          <w:szCs w:val="24"/>
        </w:rPr>
        <w:t>Ⅰ</w:t>
      </w:r>
      <w:r>
        <w:rPr>
          <w:rFonts w:hint="eastAsia" w:ascii="Times New Roman" w:hAnsi="Times New Roman"/>
          <w:sz w:val="24"/>
          <w:szCs w:val="24"/>
        </w:rPr>
        <w:t>。因此，本项目环境风险潜势为</w:t>
      </w:r>
      <w:r>
        <w:rPr>
          <w:rFonts w:hint="eastAsia" w:ascii="Times New Roman" w:hAnsi="Times New Roman"/>
          <w:sz w:val="24"/>
          <w:szCs w:val="24"/>
          <w:lang w:val="en-US" w:eastAsia="zh-CN"/>
        </w:rPr>
        <w:t xml:space="preserve"> </w:t>
      </w:r>
      <w:r>
        <w:rPr>
          <w:rFonts w:hint="default" w:ascii="Times New Roman" w:hAnsi="Times New Roman" w:cs="Times New Roman"/>
          <w:sz w:val="24"/>
          <w:szCs w:val="24"/>
        </w:rPr>
        <w:t>Ⅰ</w:t>
      </w:r>
      <w:r>
        <w:rPr>
          <w:rFonts w:hint="eastAsia" w:ascii="Times New Roman" w:hAnsi="Times New Roman"/>
          <w:sz w:val="24"/>
          <w:szCs w:val="24"/>
        </w:rPr>
        <w: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b/>
          <w:bCs/>
          <w:color w:val="auto"/>
          <w:sz w:val="28"/>
          <w:szCs w:val="28"/>
          <w:lang w:val="en-US" w:eastAsia="zh-CN"/>
        </w:rPr>
      </w:pP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b/>
          <w:bCs/>
          <w:color w:val="auto"/>
          <w:sz w:val="28"/>
          <w:szCs w:val="28"/>
        </w:rPr>
      </w:pPr>
      <w:r>
        <w:rPr>
          <w:rFonts w:hint="eastAsia" w:ascii="Times New Roman" w:hAnsi="Times New Roman"/>
          <w:b/>
          <w:bCs/>
          <w:color w:val="auto"/>
          <w:sz w:val="28"/>
          <w:szCs w:val="28"/>
          <w:lang w:val="en-US" w:eastAsia="zh-CN"/>
        </w:rPr>
        <w:t>6.6</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4</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 xml:space="preserve"> 评价等级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根据《建设项目环境风险评价技术导则》（HJ169-2018）：环境风险评价工作等级划分为一级、二级、三级。根据建设项目涉及的物质及工艺系统危险性和所在地的环境敏感性确定环境风险潜势，按照表</w:t>
      </w:r>
      <w:r>
        <w:rPr>
          <w:rFonts w:hint="eastAsia" w:ascii="Times New Roman" w:hAnsi="Times New Roman"/>
          <w:sz w:val="24"/>
          <w:szCs w:val="24"/>
          <w:lang w:val="en-US" w:eastAsia="zh-CN"/>
        </w:rPr>
        <w:t>6.6</w:t>
      </w:r>
      <w:r>
        <w:rPr>
          <w:rFonts w:hint="eastAsia" w:ascii="Times New Roman" w:hAnsi="Times New Roman"/>
          <w:sz w:val="24"/>
          <w:szCs w:val="24"/>
        </w:rPr>
        <w:t>-</w:t>
      </w:r>
      <w:r>
        <w:rPr>
          <w:rFonts w:hint="eastAsia" w:ascii="Times New Roman" w:hAnsi="Times New Roman"/>
          <w:sz w:val="24"/>
          <w:szCs w:val="24"/>
          <w:lang w:val="en-US" w:eastAsia="zh-CN"/>
        </w:rPr>
        <w:t>16</w:t>
      </w:r>
      <w:r>
        <w:rPr>
          <w:rFonts w:hint="eastAsia" w:ascii="Times New Roman" w:hAnsi="Times New Roman"/>
          <w:sz w:val="24"/>
          <w:szCs w:val="24"/>
        </w:rPr>
        <w:t>确定评价工作等级。</w:t>
      </w:r>
    </w:p>
    <w:p>
      <w:pPr>
        <w:pStyle w:val="17"/>
        <w:jc w:val="center"/>
        <w:rPr>
          <w:rFonts w:hint="eastAsia"/>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16</w:t>
      </w:r>
      <w:r>
        <w:rPr>
          <w:rFonts w:hint="eastAsia"/>
          <w:b/>
          <w:bCs/>
          <w:sz w:val="24"/>
          <w:szCs w:val="24"/>
          <w:lang w:val="en-US" w:eastAsia="zh-CN"/>
        </w:rPr>
        <w:t xml:space="preserve"> 评价工作等级划分</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drawing>
          <wp:inline distT="0" distB="0" distL="114300" distR="114300">
            <wp:extent cx="5266690" cy="713105"/>
            <wp:effectExtent l="0" t="0" r="10160" b="10795"/>
            <wp:docPr id="131" name="图片 1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1"/>
                    <pic:cNvPicPr>
                      <a:picLocks noChangeAspect="1"/>
                    </pic:cNvPicPr>
                  </pic:nvPicPr>
                  <pic:blipFill>
                    <a:blip r:embed="rId173"/>
                    <a:stretch>
                      <a:fillRect/>
                    </a:stretch>
                  </pic:blipFill>
                  <pic:spPr>
                    <a:xfrm>
                      <a:off x="0" y="0"/>
                      <a:ext cx="5266690" cy="7131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根据表6.3-1，本项目环境风险评价工作等级为简单分析。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根据《建设项目环境风险评价技术导则》（HJ 169-2018）附录A简单分析基本内容：包括环境风险识别、环境风险分析、防范措施。</w:t>
      </w:r>
    </w:p>
    <w:p>
      <w:pPr>
        <w:pStyle w:val="17"/>
        <w:jc w:val="center"/>
        <w:rPr>
          <w:rFonts w:hint="eastAsia"/>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6.6</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17</w:t>
      </w:r>
      <w:r>
        <w:rPr>
          <w:rFonts w:hint="eastAsia"/>
          <w:b/>
          <w:bCs/>
          <w:sz w:val="24"/>
          <w:szCs w:val="24"/>
          <w:lang w:val="en-US" w:eastAsia="zh-CN"/>
        </w:rPr>
        <w:t xml:space="preserve"> 评价工作等级划分</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4"/>
        <w:gridCol w:w="1637"/>
        <w:gridCol w:w="1486"/>
        <w:gridCol w:w="1364"/>
        <w:gridCol w:w="18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2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建设项目名称</w:t>
            </w:r>
          </w:p>
        </w:tc>
        <w:tc>
          <w:tcPr>
            <w:tcW w:w="6318" w:type="dxa"/>
            <w:gridSpan w:val="4"/>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年产20万吨化机浆项目（2#）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建设地点</w:t>
            </w:r>
          </w:p>
        </w:tc>
        <w:tc>
          <w:tcPr>
            <w:tcW w:w="1637"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eastAsia="zh-CN"/>
              </w:rPr>
              <w:t>（</w:t>
            </w:r>
            <w:r>
              <w:rPr>
                <w:rFonts w:hint="eastAsia" w:ascii="Times New Roman" w:hAnsi="Times New Roman" w:eastAsia="宋体"/>
                <w:sz w:val="21"/>
                <w:szCs w:val="21"/>
                <w:lang w:val="en-US" w:eastAsia="zh-CN"/>
              </w:rPr>
              <w:t>山东</w:t>
            </w:r>
            <w:r>
              <w:rPr>
                <w:rFonts w:hint="eastAsia" w:ascii="Times New Roman" w:hAnsi="Times New Roman" w:eastAsia="宋体"/>
                <w:sz w:val="21"/>
                <w:szCs w:val="21"/>
                <w:lang w:eastAsia="zh-CN"/>
              </w:rPr>
              <w:t>）</w:t>
            </w:r>
            <w:r>
              <w:rPr>
                <w:rFonts w:hint="eastAsia" w:ascii="Times New Roman" w:hAnsi="Times New Roman" w:eastAsia="宋体"/>
                <w:sz w:val="21"/>
                <w:szCs w:val="21"/>
                <w:lang w:val="en-US" w:eastAsia="zh-CN"/>
              </w:rPr>
              <w:t>省</w:t>
            </w:r>
          </w:p>
        </w:tc>
        <w:tc>
          <w:tcPr>
            <w:tcW w:w="148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r>
              <w:rPr>
                <w:rFonts w:hint="eastAsia" w:ascii="Times New Roman" w:hAnsi="Times New Roman"/>
                <w:sz w:val="21"/>
                <w:szCs w:val="21"/>
                <w:lang w:val="en-US" w:eastAsia="zh-CN"/>
              </w:rPr>
              <w:t>淄博</w:t>
            </w:r>
            <w:r>
              <w:rPr>
                <w:rFonts w:hint="eastAsia" w:ascii="Times New Roman" w:hAnsi="Times New Roman" w:eastAsia="宋体"/>
                <w:sz w:val="21"/>
                <w:szCs w:val="21"/>
                <w:lang w:eastAsia="zh-CN"/>
              </w:rPr>
              <w:t>）</w:t>
            </w:r>
            <w:r>
              <w:rPr>
                <w:rFonts w:hint="eastAsia" w:ascii="Times New Roman" w:hAnsi="Times New Roman" w:eastAsia="宋体"/>
                <w:sz w:val="21"/>
                <w:szCs w:val="21"/>
                <w:lang w:val="en-US" w:eastAsia="zh-CN"/>
              </w:rPr>
              <w:t>市</w:t>
            </w:r>
          </w:p>
        </w:tc>
        <w:tc>
          <w:tcPr>
            <w:tcW w:w="136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（桓台）县</w:t>
            </w:r>
          </w:p>
        </w:tc>
        <w:tc>
          <w:tcPr>
            <w:tcW w:w="1831"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eastAsia="zh-CN"/>
              </w:rPr>
              <w:t>（</w:t>
            </w:r>
            <w:r>
              <w:rPr>
                <w:rFonts w:hint="eastAsia" w:ascii="Times New Roman" w:hAnsi="Times New Roman" w:eastAsia="宋体"/>
                <w:sz w:val="21"/>
                <w:szCs w:val="21"/>
                <w:lang w:val="en-US" w:eastAsia="zh-CN"/>
              </w:rPr>
              <w:t>马桥化工</w:t>
            </w:r>
            <w:r>
              <w:rPr>
                <w:rFonts w:hint="eastAsia" w:ascii="Times New Roman" w:hAnsi="Times New Roman" w:eastAsia="宋体"/>
                <w:sz w:val="21"/>
                <w:szCs w:val="21"/>
                <w:lang w:eastAsia="zh-CN"/>
              </w:rPr>
              <w:t>）</w:t>
            </w:r>
            <w:r>
              <w:rPr>
                <w:rFonts w:hint="eastAsia" w:ascii="Times New Roman" w:hAnsi="Times New Roman" w:eastAsia="宋体"/>
                <w:sz w:val="21"/>
                <w:szCs w:val="21"/>
                <w:lang w:val="en-US" w:eastAsia="zh-CN"/>
              </w:rPr>
              <w:t>园区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2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地理坐标</w:t>
            </w:r>
          </w:p>
        </w:tc>
        <w:tc>
          <w:tcPr>
            <w:tcW w:w="3123" w:type="dxa"/>
            <w:gridSpan w:val="2"/>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经度：117.878</w:t>
            </w:r>
          </w:p>
        </w:tc>
        <w:tc>
          <w:tcPr>
            <w:tcW w:w="3195" w:type="dxa"/>
            <w:gridSpan w:val="2"/>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纬度：37.062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2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主要危险物质及分布</w:t>
            </w:r>
          </w:p>
        </w:tc>
        <w:tc>
          <w:tcPr>
            <w:tcW w:w="6318" w:type="dxa"/>
            <w:gridSpan w:val="4"/>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2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环境影响途径及危害后果</w:t>
            </w:r>
          </w:p>
        </w:tc>
        <w:tc>
          <w:tcPr>
            <w:tcW w:w="6318" w:type="dxa"/>
            <w:gridSpan w:val="4"/>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2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风险防范措施要求</w:t>
            </w:r>
          </w:p>
        </w:tc>
        <w:tc>
          <w:tcPr>
            <w:tcW w:w="6318" w:type="dxa"/>
            <w:gridSpan w:val="4"/>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2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填表说明</w:t>
            </w:r>
          </w:p>
        </w:tc>
        <w:tc>
          <w:tcPr>
            <w:tcW w:w="6318" w:type="dxa"/>
            <w:gridSpan w:val="4"/>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w:t>
            </w:r>
          </w:p>
        </w:tc>
      </w:tr>
    </w:tbl>
    <w:p>
      <w:pPr>
        <w:pStyle w:val="2"/>
        <w:keepNext w:val="0"/>
        <w:keepLines w:val="0"/>
        <w:pageBreakBefore w:val="0"/>
        <w:widowControl w:val="0"/>
        <w:kinsoku/>
        <w:wordWrap/>
        <w:overflowPunct/>
        <w:topLinePunct w:val="0"/>
        <w:autoSpaceDE/>
        <w:autoSpaceDN/>
        <w:bidi w:val="0"/>
        <w:adjustRightInd/>
        <w:snapToGrid w:val="0"/>
        <w:spacing w:before="157" w:beforeLines="50" w:line="360" w:lineRule="auto"/>
        <w:ind w:left="0" w:leftChars="0" w:firstLine="0" w:firstLineChars="0"/>
        <w:textAlignment w:val="auto"/>
        <w:rPr>
          <w:rFonts w:hint="eastAsia" w:ascii="Times New Roman" w:hAnsi="Times New Roman"/>
          <w:b/>
          <w:bCs/>
          <w:color w:val="auto"/>
          <w:sz w:val="28"/>
          <w:szCs w:val="28"/>
        </w:rPr>
      </w:pPr>
      <w:r>
        <w:rPr>
          <w:rFonts w:hint="eastAsia" w:ascii="Times New Roman" w:hAnsi="Times New Roman"/>
          <w:b/>
          <w:bCs/>
          <w:color w:val="auto"/>
          <w:sz w:val="28"/>
          <w:szCs w:val="28"/>
          <w:lang w:val="en-US" w:eastAsia="zh-CN"/>
        </w:rPr>
        <w:t>6.6</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5</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环境敏感目标概况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本项目评价等级为简单分析。评价范围参照大气环境风险三级评价范围，为以本项目厂区边界为起点，距项目边界3km的范围。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评价范围内环境敏感目标情况及分布分别见表</w:t>
      </w:r>
      <w:r>
        <w:rPr>
          <w:rFonts w:hint="eastAsia" w:ascii="Times New Roman" w:hAnsi="Times New Roman"/>
          <w:sz w:val="24"/>
          <w:szCs w:val="24"/>
          <w:lang w:val="en-US" w:eastAsia="zh-CN"/>
        </w:rPr>
        <w:t>2</w:t>
      </w:r>
      <w:r>
        <w:rPr>
          <w:rFonts w:hint="eastAsia" w:ascii="Times New Roman" w:hAnsi="Times New Roman"/>
          <w:sz w:val="24"/>
          <w:szCs w:val="24"/>
        </w:rPr>
        <w:t>.6-1和图</w:t>
      </w:r>
      <w:r>
        <w:rPr>
          <w:rFonts w:hint="eastAsia" w:ascii="Times New Roman" w:hAnsi="Times New Roman"/>
          <w:sz w:val="24"/>
          <w:szCs w:val="24"/>
          <w:lang w:val="en-US" w:eastAsia="zh-CN"/>
        </w:rPr>
        <w:t>2</w:t>
      </w:r>
      <w:r>
        <w:rPr>
          <w:rFonts w:hint="eastAsia" w:ascii="Times New Roman" w:hAnsi="Times New Roman"/>
          <w:sz w:val="24"/>
          <w:szCs w:val="24"/>
        </w:rPr>
        <w:t>.6-1。</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b/>
          <w:bCs/>
          <w:color w:val="auto"/>
          <w:sz w:val="28"/>
          <w:szCs w:val="28"/>
        </w:rPr>
      </w:pPr>
      <w:r>
        <w:rPr>
          <w:rFonts w:hint="eastAsia" w:ascii="Times New Roman" w:hAnsi="Times New Roman"/>
          <w:b/>
          <w:bCs/>
          <w:color w:val="auto"/>
          <w:sz w:val="28"/>
          <w:szCs w:val="28"/>
          <w:lang w:val="en-US" w:eastAsia="zh-CN"/>
        </w:rPr>
        <w:t>6.6</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6</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环境风险分析</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6.1</w:t>
      </w:r>
      <w:r>
        <w:rPr>
          <w:rFonts w:hint="eastAsia" w:ascii="Times New Roman" w:hAnsi="Times New Roman"/>
          <w:b/>
          <w:bCs/>
          <w:sz w:val="24"/>
          <w:szCs w:val="24"/>
          <w:highlight w:val="none"/>
          <w:lang w:val="en-US" w:eastAsia="zh-CN"/>
        </w:rPr>
        <w:t>对地表水环境影响分析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本项目所用的化学品都暂存于</w:t>
      </w:r>
      <w:r>
        <w:rPr>
          <w:rFonts w:hint="eastAsia" w:ascii="Times New Roman" w:hAnsi="Times New Roman"/>
          <w:sz w:val="24"/>
          <w:szCs w:val="24"/>
          <w:lang w:val="en-US" w:eastAsia="zh-CN"/>
        </w:rPr>
        <w:t>化学品间</w:t>
      </w:r>
      <w:r>
        <w:rPr>
          <w:rFonts w:hint="eastAsia" w:ascii="Times New Roman" w:hAnsi="Times New Roman"/>
          <w:sz w:val="24"/>
          <w:szCs w:val="24"/>
        </w:rPr>
        <w:t>，周边设有集水沟，与</w:t>
      </w:r>
      <w:r>
        <w:rPr>
          <w:rFonts w:hint="eastAsia" w:ascii="Times New Roman" w:hAnsi="Times New Roman"/>
          <w:sz w:val="24"/>
          <w:szCs w:val="24"/>
          <w:lang w:val="en-US" w:eastAsia="zh-CN"/>
        </w:rPr>
        <w:t>事故水池</w:t>
      </w:r>
      <w:r>
        <w:rPr>
          <w:rFonts w:hint="eastAsia" w:ascii="Times New Roman" w:hAnsi="Times New Roman"/>
          <w:sz w:val="24"/>
          <w:szCs w:val="24"/>
        </w:rPr>
        <w:t>相连。确保发生事故时，泄露的化学品及灭火时产生的废水可完全被收集处理，不会通过渗透和地表径流污染地下水和地表水。</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6.2</w:t>
      </w:r>
      <w:r>
        <w:rPr>
          <w:rFonts w:hint="eastAsia" w:ascii="Times New Roman" w:hAnsi="Times New Roman"/>
          <w:b/>
          <w:bCs/>
          <w:sz w:val="24"/>
          <w:szCs w:val="24"/>
          <w:highlight w:val="none"/>
          <w:lang w:val="en-US" w:eastAsia="zh-CN"/>
        </w:rPr>
        <w:t>对地下水的影响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本项目可能发生的突发性水污染事故主要有化学品储罐泄漏、地下水防渗措施被破坏等事故。事故发生后，污染物可能通过下渗、地表径流、地下径流污染周围水环境。</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项目已进行详细的水文地质勘探工作，建设时结合水文地质条件进行设备布置，并采取完善的防渗措施，正常情况下，建设项目对地下水的影响较小。但建设项目的生产是一个长期的过程，如在生产过程中发生风险事故或防渗设施出现问题，将会对地下水产生影响。项目区范围地势平坦，地下水坡度较小，径流缓慢。对污染物的向外扩散起到一定的限制作用。短时期内仅会在局部形成污染团，但随着时间的推移，污染物会随地下水向下游缓慢径流，污染范围不断扩大。</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b/>
          <w:bCs/>
          <w:color w:val="auto"/>
          <w:sz w:val="28"/>
          <w:szCs w:val="28"/>
        </w:rPr>
      </w:pPr>
      <w:r>
        <w:rPr>
          <w:rFonts w:hint="eastAsia" w:ascii="Times New Roman" w:hAnsi="Times New Roman"/>
          <w:b/>
          <w:bCs/>
          <w:color w:val="auto"/>
          <w:sz w:val="28"/>
          <w:szCs w:val="28"/>
          <w:lang w:val="en-US" w:eastAsia="zh-CN"/>
        </w:rPr>
        <w:t>6.6</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7</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原料存储环境风险防范措施及应急预案</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7.1</w:t>
      </w:r>
      <w:r>
        <w:rPr>
          <w:rFonts w:hint="eastAsia" w:ascii="Times New Roman" w:hAnsi="Times New Roman"/>
          <w:b/>
          <w:bCs/>
          <w:sz w:val="24"/>
          <w:szCs w:val="24"/>
          <w:highlight w:val="none"/>
          <w:lang w:val="en-US" w:eastAsia="zh-CN"/>
        </w:rPr>
        <w:t>防范措施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lang w:val="en-US" w:eastAsia="zh-CN"/>
        </w:rPr>
        <w:t>1、</w:t>
      </w:r>
      <w:r>
        <w:rPr>
          <w:rFonts w:hint="eastAsia" w:ascii="Times New Roman" w:hAnsi="Times New Roman"/>
          <w:sz w:val="24"/>
          <w:szCs w:val="24"/>
        </w:rPr>
        <w:t>消除和控制明火源：在原料仓库和成品仓库内，有醒目的严禁烟火标志，严禁动火吸烟；进入危险区的机车，停止抽风，关闭灰箱，其烟筒上装设火星熄灭器；进入危险区的机动车辆，其排气管应戴防火帽；进入危险区的人员，按规定登记，严禁携带火柴、打火机等；使用气焊、电焊等进行按照维修时，必须按照规定办理动火批准手续，领取动火证，采取防护措施，确保安全无误后，方可动火作业。动火过程中，必须按规定办理动火批准手续，领取动火证，并消除物体和环境的危险状态。备好灭火器材，采取防护措施，确保安全无误后，方可动火作业。动火过程中，必须遵守安全技术规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lang w:val="en-US" w:eastAsia="zh-CN"/>
        </w:rPr>
        <w:t>2、</w:t>
      </w:r>
      <w:r>
        <w:rPr>
          <w:rFonts w:hint="eastAsia" w:ascii="Times New Roman" w:hAnsi="Times New Roman"/>
          <w:sz w:val="24"/>
          <w:szCs w:val="24"/>
        </w:rPr>
        <w:t>防止电气火花：采取有效措施防止电气线路和电气设施在开关断开、接触不良、短路、漏电时产生火花，防止静电放电火花；采取防雷接地措施，防止雷电放电火花。</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lang w:val="en-US" w:eastAsia="zh-CN"/>
        </w:rPr>
        <w:t>3、</w:t>
      </w:r>
      <w:r>
        <w:rPr>
          <w:rFonts w:hint="eastAsia" w:ascii="Times New Roman" w:hAnsi="Times New Roman"/>
          <w:sz w:val="24"/>
          <w:szCs w:val="24"/>
        </w:rPr>
        <w:t>原辅材料及成品仓库周围设置环形消防通道，原料仓库、成品仓库与周围构筑物设置一定的安全防护距离，以防火灾发生时火势蔓延。</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sz w:val="24"/>
          <w:szCs w:val="24"/>
          <w:lang w:eastAsia="zh-CN"/>
        </w:rPr>
      </w:pPr>
      <w:r>
        <w:rPr>
          <w:rFonts w:hint="eastAsia" w:ascii="Times New Roman" w:hAnsi="Times New Roman"/>
          <w:sz w:val="24"/>
          <w:szCs w:val="24"/>
          <w:lang w:val="en-US" w:eastAsia="zh-CN"/>
        </w:rPr>
        <w:t>4、</w:t>
      </w:r>
      <w:r>
        <w:rPr>
          <w:rFonts w:hint="eastAsia" w:ascii="Times New Roman" w:hAnsi="Times New Roman"/>
          <w:sz w:val="24"/>
          <w:szCs w:val="24"/>
        </w:rPr>
        <w:t>建立应急救援组织或者配备应急救援人员，配备必要的应急救援器材、设备，对消防措施定期检查，保证消防措施的有效性，并定期组织演练。灭火器材配置有安全帽、安全带、切割机、气焊设备、小型电动工具、一般五金工具、雨衣、雨靴、手电筒等。统一存放在仓库，仓库保管员 24 小时值班。消防器材主要有干粉灭火器和灭火器、国标消防栓。设置现场疏散指示标志和应急照明灯。周围消防栓应标明地点</w:t>
      </w:r>
      <w:r>
        <w:rPr>
          <w:rFonts w:hint="eastAsia" w:ascii="Times New Roman" w:hAnsi="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7.2</w:t>
      </w:r>
      <w:r>
        <w:rPr>
          <w:rFonts w:hint="eastAsia" w:ascii="Times New Roman" w:hAnsi="Times New Roman"/>
          <w:b/>
          <w:bCs/>
          <w:sz w:val="24"/>
          <w:szCs w:val="24"/>
          <w:highlight w:val="none"/>
          <w:lang w:val="en-US" w:eastAsia="zh-CN"/>
        </w:rPr>
        <w:t>应急预案</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火灾事故应急救援的总目标是通过有效的应急救援行动，尽可能地降低事故的后果，包括人员伤亡、财产损失和环境破坏等。火灾事故应急救援的基本任务有以下几个方面：</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l）成立应急小组，落实职能组职责。领导小组职责：当发生火灾事故时，负责指挥工地抢救工作，向各职能组下达抢救指令任务，协调各组之间的抢救工作，随时掌握各组最新动态并做出最新决策，第一时间向119、120、公司及当地消防部门、建设行政主管部门及有关部门报告和求援。平时小组成员轮流值班，发生火灾紧急事故时，在应急小组长未到达工地前，值班者即为临时代理组长，全权负责落实抢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各职能组职责如下：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联络组：其任务是了解掌握事故情况，负责事故发生后在第一时间通知公司，根据情况酌情及时通知当地建设行政主管部门、电力部门、劳动部门、当事人的亲人等。</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抢险组：其任务是根据指挥组指令，及时负责扑救、抢险，并布置现场人员到医院陪护。当事态无法控制时，立刻通知联络组拨打政府主管部门电话求救。</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疏散组：其任务为在发生事故时，负责人员的疏散、逃生。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救护组：其任务是负责受伤人员的救治和送医院急救。</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后勤组：负责抢险物资、器材器具的供应及后勤保障。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义务消防队：发生火灾时，应按预案演练方法，积极参加扑救工作。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2）立即组织营救受害人员，组织撤离或者采取其他措施保护危害区域内的其他人员。抢救受害人员是应急救援的首要任务，在应急救援行动中，快速、有序、有效地实施现场急救与安全转送伤员是降低伤亡率、减少事故损失的关键。由于火灾发生突然、扩散迅速、应及时教育和组织职工采取各种措施进行自身防</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sz w:val="24"/>
          <w:szCs w:val="24"/>
        </w:rPr>
        <w:t>护；同时通知村民及时采取各种措施进行自身防护；必要时迅速组织职工和村民</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sz w:val="24"/>
          <w:szCs w:val="24"/>
        </w:rPr>
        <w:t>撤离危险区或可能受到危害的区域。在撤离过程中，积极组织职工开展自救和互</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sz w:val="24"/>
          <w:szCs w:val="24"/>
        </w:rPr>
        <w:t>救工作。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3）迅速控制事态，并对火灾事故造成的危害进行检测、监测、测定事故的危害区域、危害性质及危害程度。及时控制住造成火灾事故的危害源是应急救援工作的重要任务，只有及时地控制住危险源，防止事故的继续扩展，才能及时有效进行救援。发生火灾事故，应尽快组织义务消防队与救援人员一起及时控制事故继续扩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4）消除危害后果，做好现场恢复。针对事故和人体、土壤、空气等造成的现实危害和可能的危害，迅速采取封闭、隔离、洗消、检测等措施，防止对人的继续危害和对环境的污染。及时清理废墟和恢复基本设施。将事故现场恢复至相对稳定的基本状态。</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（5）查清事故原因，评估危害程度。事故发生后应及时调查事故发生的原因和事故性质，评估出事故的危害范围和危险程度，查明人员伤亡情况，做好事故调查。</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b/>
          <w:bCs/>
          <w:color w:val="auto"/>
          <w:sz w:val="28"/>
          <w:szCs w:val="28"/>
        </w:rPr>
      </w:pPr>
      <w:r>
        <w:rPr>
          <w:rFonts w:hint="eastAsia" w:ascii="Times New Roman" w:hAnsi="Times New Roman"/>
          <w:b/>
          <w:bCs/>
          <w:color w:val="auto"/>
          <w:sz w:val="28"/>
          <w:szCs w:val="28"/>
          <w:lang w:val="en-US" w:eastAsia="zh-CN"/>
        </w:rPr>
        <w:t>6.6</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8</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泄漏事故应急及防范措施</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8.1</w:t>
      </w:r>
      <w:r>
        <w:rPr>
          <w:rFonts w:hint="eastAsia" w:ascii="Times New Roman" w:hAnsi="Times New Roman"/>
          <w:b/>
          <w:bCs/>
          <w:sz w:val="24"/>
          <w:szCs w:val="24"/>
          <w:highlight w:val="none"/>
          <w:lang w:val="en-US" w:eastAsia="zh-CN"/>
        </w:rPr>
        <w:t>泄露防范措施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泄漏事故的防范是生产和储运过程中最重要的环节，发生泄漏事故可能引起火灾和爆炸等一系列重大事故。经验表明：设备失灵和操作失误是引发泄漏的主要原因。因此选用较好的设备、精心设计、认真的管理和操作人员的责任心是减少泄漏事故的关键。</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为避免泄漏在各设备之间的影响，过氧化氢储罐需设置围堰，其有效容积为贮罐的容量。灌装设备采用柔性接口，防止灌装过程中发生物料泄漏。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1、储罐（过氧化氢）的结构材料应与储存的物料和储存条件（温度、压力等）相适应。新罐应进行适当的整体试验、外观检查或非破坏性的测厚检查、射线探伤，检查记录应存档备查。定期对储罐外部检查，及时发现破损和漏处，对储罐性能下降应有对策。设置储罐高液位报警器及其它自动安全措施。对储罐焊</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sz w:val="24"/>
          <w:szCs w:val="24"/>
        </w:rPr>
        <w:t>缝、垫片、铆钉或螺栓的泄漏采取必要措施。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定期对贮槽、管道进行探伤、测厚，避免因腐蚀、老化或机械损伤等隐患存在而引发的泄漏事故；对贮槽及危险物料系统的阀门全部采用耐腐蚀的不锈钢材质，每年大修时全部拆下更换，并采用阀门，以备万一情况下倒槽或倒罐急需。</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2、设置安全阀便于贮存时超压泄放，定期对各容器进行清理排污，消除挥发气体积累的危险，对容器超压泄放和清理排污，引入废气处理系统。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3、根据《易燃易爆化学物品消防安全监督管理办法》(公安部第 18 号令)总则第五条规定：“生产、储存、经营和运输易燃易爆化学物品的单位和个人，必须填报《易燃易爆化学物品消防安全审核申报表》或《易燃易爆化学物品准运证审核申报表》，经公安消防监督机构审核合格后，分别填发《易燃易爆化学物品消防安全审核意见书》、《易燃易爆化学物品消防安全许可证》或《易燃易爆化学物品准运证》。无《易燃易爆化学物品消防安全审核意见书》、《易燃易爆化学物品消防安全许可证》、《易燃易爆化学物品准运证》的单位和个人不得生产、储存、经营、运输易燃易爆化学物品”。</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8.2</w:t>
      </w:r>
      <w:r>
        <w:rPr>
          <w:rFonts w:hint="eastAsia" w:ascii="Times New Roman" w:hAnsi="Times New Roman"/>
          <w:b/>
          <w:bCs/>
          <w:sz w:val="24"/>
          <w:szCs w:val="24"/>
          <w:highlight w:val="none"/>
          <w:lang w:val="en-US" w:eastAsia="zh-CN"/>
        </w:rPr>
        <w:t>泄漏事故应急措施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1、泄漏应急处理：少量泄漏用沙土、干燥石灰、苏打灰混合后，也可用水</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sz w:val="24"/>
          <w:szCs w:val="24"/>
        </w:rPr>
        <w:t>冲洗后排入冲洗水收集池。</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2、防护措施：戴化学安全防护眼镜，穿橡胶耐酸碱防护服，穿橡胶耐酸碱手套，工作场所严禁吸烟、进食和饮水。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3、制定紧急事故处理措施，并报当地负责危险化学品安全监督管理综合工作的部门备案，同时还应配备应急救援人员和必要的应急救援器材、设备，并定期组织演练。一旦发生危险化学品事故，单位主要负责人应当按照本单位制定的应急救援预案，立即组织救援，并立即报告当地负责危险化学品安全监督管理综合工作的部门和公安、环境保护、质检部门。</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8.3</w:t>
      </w:r>
      <w:r>
        <w:rPr>
          <w:rFonts w:hint="eastAsia" w:ascii="Times New Roman" w:hAnsi="Times New Roman"/>
          <w:b/>
          <w:bCs/>
          <w:sz w:val="24"/>
          <w:szCs w:val="24"/>
          <w:highlight w:val="none"/>
          <w:lang w:val="en-US" w:eastAsia="zh-CN"/>
        </w:rPr>
        <w:t>运输安全措施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1、对工业双氧水运输必须严格按照中华人民共和国交通部《道路危险货物运输管理规定》（2005年第9号）和GB12268-90《危险货物品名表》5.1类51001执行。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2、必须保证贮存和运输所采用的容器材料不含有也不放出可引起双氧水分解的物质。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3、为避免由于分解产生氧所引起的压力上升，容器必须装有通气装置，在管道输送的情况下，注意不能堵塞双氧水溶液。</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4、运输时要检查运输物固定状态和容器有无泄漏；槽罐车装汽车要认真检查罐底阀门以及其他阀门和注入口；由于转载、休息、故障需要暂时停车时要注意选择安全场所。</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b/>
          <w:bCs/>
          <w:color w:val="auto"/>
          <w:sz w:val="28"/>
          <w:szCs w:val="28"/>
        </w:rPr>
      </w:pPr>
      <w:r>
        <w:rPr>
          <w:rFonts w:hint="eastAsia" w:ascii="Times New Roman" w:hAnsi="Times New Roman"/>
          <w:b/>
          <w:bCs/>
          <w:color w:val="auto"/>
          <w:sz w:val="28"/>
          <w:szCs w:val="28"/>
          <w:lang w:val="en-US" w:eastAsia="zh-CN"/>
        </w:rPr>
        <w:t>6.6</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9</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风险管理</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9.1</w:t>
      </w:r>
      <w:r>
        <w:rPr>
          <w:rFonts w:hint="eastAsia" w:ascii="Times New Roman" w:hAnsi="Times New Roman"/>
          <w:b/>
          <w:bCs/>
          <w:sz w:val="24"/>
          <w:szCs w:val="24"/>
          <w:highlight w:val="none"/>
          <w:lang w:val="en-US" w:eastAsia="zh-CN"/>
        </w:rPr>
        <w:t>一般事故防范措施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人、物、环境和管理构成了现代工业企业生产中最基本的生产组织和生产单位，同时又是构成企业生产过程中诱发各种风险事故的危险因素。</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风险事故发生规律表明：</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物的不安全状态＋管理缺陷 风险事故隐患＋人的不安全行为风险事故“预防为主”是安全生产的原则，加强预防工作，从管理着手，把风险事故的发生和影响降到最低程度，针对</w:t>
      </w:r>
      <w:r>
        <w:rPr>
          <w:rFonts w:hint="eastAsia" w:ascii="Times New Roman" w:hAnsi="Times New Roman"/>
          <w:sz w:val="24"/>
          <w:szCs w:val="24"/>
          <w:lang w:val="en-US" w:eastAsia="zh-CN"/>
        </w:rPr>
        <w:t>本</w:t>
      </w:r>
      <w:r>
        <w:rPr>
          <w:rFonts w:hint="eastAsia" w:ascii="Times New Roman" w:hAnsi="Times New Roman"/>
          <w:sz w:val="24"/>
          <w:szCs w:val="24"/>
        </w:rPr>
        <w:t>项目的生产特点，特别要注意以下几点：</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1、严格按照工业安全生产规定，设置安全监控点，按中华全国总工会职业危害安全监控法执行；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2、对生产设备进行定期检测，对关键设备进行不定期探伤测试；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3、加强各污水处理设施的日常检查和管理工作，确保废水处理设施的正常运行；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4、确保设备、管道、阀门的材质和加工质量，所有管道系统均必须按有关标准进行良好设计、制作及安装；</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5、加强职工安全环保教育，增强操作工人的责任心，防止和减少因人为因素造成的事故，同时也要加强防火安全教育。</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6、消除和控制明火源：在各原料堆场内，应有醒目的严禁烟火标志，严禁动火吸烟；进入危险区的机车，应停止抽风，关闭灰箱，其烟筒上装设火星熄灭器；进入危险区的机动车辆，其排气管应戴防火帽；进入危险区的人员，应按规定登记，严禁携带火柴、打火机等；使用气焊、电焊等进行按照维修时，必须按照规定办理动火批准手续，领取动火证，采取防护措施，确保安全无误后，方可动火作业。动火过程中，必须按规定办理动火批准手续，领取动火证，并消除物体和环境的危险状态。备好灭火器材，采取防护措施，确保安全无误后，方可动火作业。动火过程中，必须遵守安全技术规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7、防止电气火花：采取有效措施防止电气线路和电气设施在开关断开、接触不良、短路、漏电时产生火花，防止静电放电火花；采取防雷接地措施，防止雷电放电火花。</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8、储存过程应加强通风，通风排气口的设置要得当，加强通风，采取防潮措施防止秸秆腐烂及产生可燃性气体。</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9、原料堆场和产品库周围设置环形消防通道，原料堆场和产品库与周围构筑物设置一定的安全防护距离，以防火灾发生时火势蔓延。</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10、建立应急救援组织或者配备应急救援人员，配备必要的应急救援器材、设备，对消防措施定期检查，保证消防措施的有效性，并定期组织演练。灭火器材配置有安全帽、安全带、切割机、气焊设备、小型电动工具、一般五金工具、雨衣、雨靴、手电筒等。统一存放在仓库，仓库保管员24小时值班。消防器材主要有干粉灭火器和灭火器、国标消防栓。设置现场疏散指示标志和应急照明灯。周围消防栓应标明地点。急救物品：配备急救药箱、口罩、担架及各类外伤救护用品。其它必备的物资供应渠道：保持社会上物资供应渠道，随时确保供应。急救车辆：项目部自备小车，或报120急救车救助。</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9.2</w:t>
      </w:r>
      <w:r>
        <w:rPr>
          <w:rFonts w:hint="eastAsia" w:ascii="Times New Roman" w:hAnsi="Times New Roman"/>
          <w:b/>
          <w:bCs/>
          <w:sz w:val="24"/>
          <w:szCs w:val="24"/>
          <w:highlight w:val="none"/>
          <w:lang w:val="en-US" w:eastAsia="zh-CN"/>
        </w:rPr>
        <w:t>事故废水外排防范措施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根据事故状态下的预测结果，废水得不到有效处理的情况下，废水将会直接进入小清河，产生较大的影响，严重影响水体的水质质量。</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sz w:val="24"/>
          <w:szCs w:val="24"/>
        </w:rPr>
        <w:t>因此企业废水处理设施排放口设置了截止阀，并设置废水超标报警系统。在污水处理设施出现故障、废水得不到有效处理出现超标排放的情况下，3min内将会启动报警系统并立即通知各生产车间，10min内工作人员将会关闭截止阀，将事故废水截留在企业废水处理设施内。</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由于企业废水处理设施留有一定的处理余量，根据废水排放情况，最终的废水处理设施出现故障后如在 2 小时内能排除故障，全厂可保持继续生产；如不能在2小时内排除故障，企业必须立即停产检修，在企业终端废水处理设施正常运行后再恢复生产，确保事故状态下的废水不会进入污水管网或直接流入水体。</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4"/>
          <w:szCs w:val="24"/>
          <w:highlight w:val="none"/>
          <w:lang w:val="en-US" w:eastAsia="zh-CN"/>
        </w:rPr>
      </w:pPr>
      <w:r>
        <w:rPr>
          <w:rFonts w:hint="eastAsia" w:ascii="Times New Roman" w:hAnsi="Times New Roman" w:cs="Times New Roman"/>
          <w:b/>
          <w:bCs/>
          <w:sz w:val="24"/>
          <w:szCs w:val="24"/>
          <w:highlight w:val="none"/>
          <w:lang w:val="en-US" w:eastAsia="zh-CN"/>
        </w:rPr>
        <w:t>6.6</w:t>
      </w:r>
      <w:r>
        <w:rPr>
          <w:rFonts w:hint="default" w:ascii="Times New Roman" w:hAnsi="Times New Roman" w:cs="Times New Roman"/>
          <w:b/>
          <w:bCs/>
          <w:sz w:val="24"/>
          <w:szCs w:val="24"/>
          <w:highlight w:val="none"/>
          <w:lang w:val="en-US" w:eastAsia="zh-CN"/>
        </w:rPr>
        <w:t>.</w:t>
      </w:r>
      <w:r>
        <w:rPr>
          <w:rFonts w:hint="eastAsia" w:ascii="Times New Roman" w:hAnsi="Times New Roman" w:cs="Times New Roman"/>
          <w:b/>
          <w:bCs/>
          <w:sz w:val="24"/>
          <w:szCs w:val="24"/>
          <w:highlight w:val="none"/>
          <w:lang w:val="en-US" w:eastAsia="zh-CN"/>
        </w:rPr>
        <w:t>9.3</w:t>
      </w:r>
      <w:r>
        <w:rPr>
          <w:rFonts w:hint="eastAsia" w:ascii="Times New Roman" w:hAnsi="Times New Roman"/>
          <w:b/>
          <w:bCs/>
          <w:sz w:val="24"/>
          <w:szCs w:val="24"/>
          <w:highlight w:val="none"/>
          <w:lang w:val="en-US" w:eastAsia="zh-CN"/>
        </w:rPr>
        <w:t>三级风险防控体系建设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项目在生产过程中有涉及易燃物品，排放大量废水，为防止此环节发生风险事故时对周围环境及受纳水体产生影响，其环境风险应设立三级应急防控体系：一级防控措施：将污染物控制在生产车间装置区、火灾事故控制在储存区；二级防控将污染物控制在事故池、火灾事故控制在厂区内；三级防控将火灾事故控制在不影响附近居民，确保生产非正常状态下不发生污染事件。具体设计要求如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1、一级防控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进行源头控制，化学品区设置围堰，现有氨水储罐已经设置了围堰，可确保罐区内最大容器泄漏后化学品不会溢出，得到有效收集。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2、二级防控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当生产车间发生事故时，事故废水自流入事故水池中储存。待事故结束后，再将应急调节分批次排入污水处理厂。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3、三级防控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sz w:val="24"/>
          <w:szCs w:val="24"/>
          <w:lang w:eastAsia="zh-CN"/>
        </w:rPr>
      </w:pPr>
      <w:r>
        <w:rPr>
          <w:rFonts w:hint="eastAsia" w:ascii="Times New Roman" w:hAnsi="Times New Roman"/>
          <w:sz w:val="24"/>
          <w:szCs w:val="24"/>
        </w:rPr>
        <w:t>将污染物控制在自备污水处理厂，确保生产非正常状态下不发生污染事件。通过三级防控体系的设置可以有效避免事故废水对当地地表水造成大的影响</w:t>
      </w:r>
      <w:r>
        <w:rPr>
          <w:rFonts w:hint="eastAsia" w:ascii="Times New Roman" w:hAnsi="Times New Roman"/>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b/>
          <w:bCs/>
          <w:color w:val="auto"/>
          <w:sz w:val="28"/>
          <w:szCs w:val="28"/>
        </w:rPr>
      </w:pPr>
      <w:r>
        <w:rPr>
          <w:rFonts w:hint="eastAsia" w:ascii="Times New Roman" w:hAnsi="Times New Roman"/>
          <w:b/>
          <w:bCs/>
          <w:color w:val="auto"/>
          <w:sz w:val="28"/>
          <w:szCs w:val="28"/>
          <w:lang w:val="en-US" w:eastAsia="zh-CN"/>
        </w:rPr>
        <w:t>6.6</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10</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小结</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1、根据本项目内容和工程特点，本项目不涉及的危险、有害物质。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2、根据《建设项目环境风险评价技术导则》（HJ 169-2018）本项目环境风险潜势为Ⅰ，评价等级为简单分析。本项目设置三级防控体系，避免事故工况下危险物质、废水泄漏对外环境造成污染影响。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3、本次评价制定了一系列的风险防范措施、应急预案，可将事故风险概率和影响程度降至最低。</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在严格落实事故风险防范措施和应急预案情况下，本项目运行带来的环境风险是可以接受的。</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pStyle w:val="2"/>
        <w:ind w:left="0" w:leftChars="0" w:firstLine="0" w:firstLineChars="0"/>
        <w:rPr>
          <w:rFonts w:hint="eastAsia" w:ascii="Times New Roman" w:hAnsi="Times New Roman"/>
          <w:sz w:val="24"/>
          <w:szCs w:val="24"/>
        </w:rPr>
      </w:pPr>
    </w:p>
    <w:p>
      <w:pPr>
        <w:pStyle w:val="17"/>
        <w:rPr>
          <w:rFonts w:hint="eastAsia"/>
        </w:rPr>
        <w:sectPr>
          <w:headerReference r:id="rId56" w:type="default"/>
          <w:footerReference r:id="rId5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ascii="Times New Roman" w:hAnsi="Times New Roman"/>
          <w:b/>
          <w:bCs/>
          <w:color w:val="auto"/>
          <w:sz w:val="30"/>
          <w:szCs w:val="30"/>
        </w:rPr>
      </w:pPr>
      <w:bookmarkStart w:id="40" w:name="_Toc13649"/>
      <w:bookmarkStart w:id="41" w:name="_Toc27680"/>
      <w:r>
        <w:rPr>
          <w:rFonts w:hint="eastAsia" w:ascii="Times New Roman" w:hAnsi="Times New Roman"/>
          <w:b/>
          <w:bCs/>
          <w:color w:val="auto"/>
          <w:sz w:val="30"/>
          <w:szCs w:val="30"/>
          <w:lang w:val="en-US" w:eastAsia="zh-CN"/>
        </w:rPr>
        <w:t>6.7</w:t>
      </w:r>
      <w:r>
        <w:rPr>
          <w:rFonts w:ascii="Times New Roman" w:hAnsi="Times New Roman"/>
          <w:b/>
          <w:bCs/>
          <w:color w:val="auto"/>
          <w:sz w:val="30"/>
          <w:szCs w:val="30"/>
        </w:rPr>
        <w:t xml:space="preserve"> </w:t>
      </w:r>
      <w:r>
        <w:rPr>
          <w:rFonts w:hint="eastAsia" w:ascii="Times New Roman" w:hAnsi="Times New Roman"/>
          <w:b/>
          <w:bCs/>
          <w:color w:val="auto"/>
          <w:sz w:val="30"/>
          <w:szCs w:val="30"/>
        </w:rPr>
        <w:t>生态环境影响评价</w:t>
      </w:r>
      <w:bookmarkEnd w:id="40"/>
      <w:bookmarkEnd w:id="41"/>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b/>
          <w:bCs/>
          <w:color w:val="auto"/>
          <w:sz w:val="28"/>
          <w:szCs w:val="28"/>
          <w:lang w:val="en-US" w:eastAsia="zh-CN"/>
        </w:rPr>
        <w:t>6.7</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1</w:t>
      </w:r>
      <w:r>
        <w:rPr>
          <w:rFonts w:ascii="Times New Roman" w:hAnsi="Times New Roman"/>
          <w:b/>
          <w:bCs/>
          <w:color w:val="auto"/>
          <w:sz w:val="28"/>
          <w:szCs w:val="28"/>
        </w:rPr>
        <w:t xml:space="preserve"> </w:t>
      </w:r>
      <w:r>
        <w:rPr>
          <w:rFonts w:hint="eastAsia" w:ascii="Times New Roman" w:hAnsi="Times New Roman"/>
          <w:b/>
          <w:bCs/>
          <w:color w:val="auto"/>
          <w:sz w:val="28"/>
          <w:szCs w:val="28"/>
        </w:rPr>
        <w:t>评价等级与评价范围确定</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color w:val="auto"/>
          <w:sz w:val="24"/>
          <w:szCs w:val="24"/>
          <w:lang w:val="en-US" w:eastAsia="zh-CN"/>
        </w:rPr>
      </w:pPr>
      <w:r>
        <w:rPr>
          <w:rFonts w:hint="eastAsia" w:ascii="Times New Roman" w:hAnsi="Times New Roman"/>
          <w:sz w:val="24"/>
          <w:szCs w:val="24"/>
          <w:lang w:val="en-US" w:eastAsia="zh-CN"/>
        </w:rPr>
        <w:t>该</w:t>
      </w:r>
      <w:r>
        <w:rPr>
          <w:rFonts w:hint="default" w:ascii="Times New Roman" w:hAnsi="Times New Roman"/>
          <w:sz w:val="24"/>
          <w:szCs w:val="24"/>
          <w:lang w:val="en-US" w:eastAsia="zh-CN"/>
        </w:rPr>
        <w:t>项目</w:t>
      </w:r>
      <w:r>
        <w:rPr>
          <w:rFonts w:hint="eastAsia" w:ascii="Times New Roman" w:hAnsi="Times New Roman"/>
          <w:sz w:val="24"/>
          <w:szCs w:val="24"/>
          <w:lang w:val="en-US" w:eastAsia="zh-CN"/>
        </w:rPr>
        <w:t>在已建成</w:t>
      </w:r>
      <w:r>
        <w:rPr>
          <w:rFonts w:hint="default" w:ascii="Times New Roman" w:hAnsi="Times New Roman"/>
          <w:color w:val="auto"/>
          <w:sz w:val="24"/>
          <w:szCs w:val="24"/>
          <w:lang w:val="en-US" w:eastAsia="zh-CN"/>
        </w:rPr>
        <w:t>。</w:t>
      </w:r>
      <w:r>
        <w:rPr>
          <w:rFonts w:hint="eastAsia" w:ascii="Times New Roman" w:hAnsi="Times New Roman"/>
          <w:color w:val="auto"/>
          <w:sz w:val="24"/>
          <w:szCs w:val="24"/>
          <w:lang w:val="en-US" w:eastAsia="zh-CN"/>
        </w:rPr>
        <w:t>各个车间及原料堆场</w:t>
      </w:r>
      <w:r>
        <w:rPr>
          <w:rFonts w:hint="default" w:ascii="Times New Roman" w:hAnsi="Times New Roman"/>
          <w:color w:val="auto"/>
          <w:sz w:val="24"/>
          <w:szCs w:val="24"/>
          <w:lang w:val="en-US" w:eastAsia="zh-CN"/>
        </w:rPr>
        <w:t>占地面积</w:t>
      </w:r>
      <w:r>
        <w:rPr>
          <w:rFonts w:hint="eastAsia" w:ascii="Times New Roman" w:hAnsi="Times New Roman"/>
          <w:color w:val="auto"/>
          <w:sz w:val="24"/>
          <w:szCs w:val="24"/>
          <w:lang w:val="en-US" w:eastAsia="zh-CN"/>
        </w:rPr>
        <w:t>约4.51</w:t>
      </w:r>
      <w:r>
        <w:rPr>
          <w:rFonts w:hint="default" w:ascii="Times New Roman" w:hAnsi="Times New Roman"/>
          <w:color w:val="auto"/>
          <w:sz w:val="24"/>
          <w:szCs w:val="24"/>
          <w:lang w:val="en-US" w:eastAsia="zh-CN"/>
        </w:rPr>
        <w:t>hm</w:t>
      </w:r>
      <w:r>
        <w:rPr>
          <w:rFonts w:hint="default" w:ascii="Times New Roman" w:hAnsi="Times New Roman"/>
          <w:color w:val="auto"/>
          <w:sz w:val="24"/>
          <w:szCs w:val="24"/>
          <w:vertAlign w:val="superscript"/>
          <w:lang w:val="en-US" w:eastAsia="zh-CN"/>
        </w:rPr>
        <w:t>2</w:t>
      </w:r>
      <w:r>
        <w:rPr>
          <w:rFonts w:hint="default" w:ascii="Times New Roman" w:hAnsi="Times New Roman"/>
          <w:color w:val="auto"/>
          <w:sz w:val="24"/>
          <w:szCs w:val="24"/>
          <w:lang w:val="en-US" w:eastAsia="zh-CN"/>
        </w:rPr>
        <w:t>。根据调查，厂区周边没有野生动植物、自然保护区和风景名胜区等生态敏感保护目标，不存在珍稀濒危物种消失的情况，项目影响区域的敏感性为一般区域；同时工程占地为永久占地，工程占地面积小于2</w:t>
      </w:r>
      <w:r>
        <w:rPr>
          <w:rFonts w:hint="eastAsia" w:ascii="Times New Roman" w:hAnsi="Times New Roman"/>
          <w:color w:val="auto"/>
          <w:sz w:val="24"/>
          <w:szCs w:val="24"/>
          <w:lang w:val="en-US" w:eastAsia="zh-CN"/>
        </w:rPr>
        <w:t>0</w:t>
      </w:r>
      <w:r>
        <w:rPr>
          <w:rFonts w:hint="default" w:ascii="Times New Roman" w:hAnsi="Times New Roman"/>
          <w:color w:val="auto"/>
          <w:sz w:val="24"/>
          <w:szCs w:val="24"/>
          <w:lang w:val="en-US" w:eastAsia="zh-CN"/>
        </w:rPr>
        <w:t>km</w:t>
      </w:r>
      <w:r>
        <w:rPr>
          <w:rFonts w:hint="default" w:ascii="Times New Roman" w:hAnsi="Times New Roman"/>
          <w:color w:val="auto"/>
          <w:sz w:val="24"/>
          <w:szCs w:val="24"/>
          <w:vertAlign w:val="superscript"/>
          <w:lang w:val="en-US" w:eastAsia="zh-CN"/>
        </w:rPr>
        <w:t>2</w:t>
      </w:r>
      <w:r>
        <w:rPr>
          <w:rFonts w:hint="default" w:ascii="Times New Roman" w:hAnsi="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default" w:ascii="Times New Roman" w:hAnsi="Times New Roman"/>
          <w:color w:val="auto"/>
          <w:sz w:val="24"/>
          <w:szCs w:val="24"/>
          <w:lang w:val="en-US" w:eastAsia="zh-CN"/>
        </w:rPr>
        <w:t>根据《环境影响评价技术导则 生态影响（HJ19-2011）》规定，本次生态环境影响评价工作等级为三级评价，评价范围即为项目占地区域范围。</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b/>
          <w:bCs/>
          <w:color w:val="auto"/>
          <w:sz w:val="28"/>
          <w:szCs w:val="28"/>
          <w:lang w:val="en-US" w:eastAsia="zh-CN"/>
        </w:rPr>
        <w:t>6.7</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2</w:t>
      </w:r>
      <w:r>
        <w:rPr>
          <w:rFonts w:ascii="Times New Roman" w:hAnsi="Times New Roman"/>
          <w:b/>
          <w:bCs/>
          <w:color w:val="auto"/>
          <w:sz w:val="28"/>
          <w:szCs w:val="28"/>
        </w:rPr>
        <w:t xml:space="preserve"> </w:t>
      </w:r>
      <w:r>
        <w:rPr>
          <w:rFonts w:hint="eastAsia" w:ascii="Times New Roman" w:hAnsi="Times New Roman"/>
          <w:b/>
          <w:bCs/>
          <w:color w:val="auto"/>
          <w:sz w:val="28"/>
          <w:szCs w:val="28"/>
        </w:rPr>
        <w:t>生态环境现状调查与评价</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6.7</w:t>
      </w:r>
      <w:r>
        <w:rPr>
          <w:rFonts w:hint="default" w:ascii="Times New Roman" w:hAnsi="Times New Roman" w:cs="Times New Roman"/>
          <w:b/>
          <w:bCs/>
          <w:color w:val="auto"/>
          <w:sz w:val="24"/>
          <w:szCs w:val="24"/>
          <w:highlight w:val="none"/>
          <w:lang w:val="en-US" w:eastAsia="zh-CN"/>
        </w:rPr>
        <w:t>.</w:t>
      </w:r>
      <w:r>
        <w:rPr>
          <w:rFonts w:hint="eastAsia" w:ascii="Times New Roman" w:hAnsi="Times New Roman" w:cs="Times New Roman"/>
          <w:b/>
          <w:bCs/>
          <w:color w:val="auto"/>
          <w:sz w:val="24"/>
          <w:szCs w:val="24"/>
          <w:highlight w:val="none"/>
          <w:lang w:val="en-US" w:eastAsia="zh-CN"/>
        </w:rPr>
        <w:t>2.1</w:t>
      </w:r>
      <w:r>
        <w:rPr>
          <w:rFonts w:hint="eastAsia" w:ascii="Times New Roman" w:hAnsi="Times New Roman"/>
          <w:b/>
          <w:bCs/>
          <w:color w:val="auto"/>
          <w:sz w:val="24"/>
          <w:szCs w:val="24"/>
          <w:highlight w:val="none"/>
          <w:lang w:val="en-US" w:eastAsia="zh-CN"/>
        </w:rPr>
        <w:t>项目建设前生态现状</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经调研和现场踏勘，该项目在</w:t>
      </w:r>
      <w:r>
        <w:rPr>
          <w:rFonts w:hint="eastAsia" w:ascii="Times New Roman" w:hAnsi="Times New Roman"/>
          <w:sz w:val="24"/>
          <w:szCs w:val="24"/>
          <w:lang w:val="en-US" w:eastAsia="zh-CN"/>
        </w:rPr>
        <w:t>主体工程已建成</w:t>
      </w:r>
      <w:r>
        <w:rPr>
          <w:rFonts w:hint="eastAsia" w:ascii="Times New Roman" w:hAnsi="Times New Roman"/>
          <w:sz w:val="24"/>
          <w:szCs w:val="24"/>
        </w:rPr>
        <w:t>，</w:t>
      </w:r>
      <w:r>
        <w:rPr>
          <w:rFonts w:hint="eastAsia" w:ascii="Times New Roman" w:hAnsi="Times New Roman"/>
          <w:sz w:val="24"/>
          <w:szCs w:val="24"/>
          <w:lang w:val="en-US" w:eastAsia="zh-CN"/>
        </w:rPr>
        <w:t>拟建设的RTO设施在现有厂区内进行建设，</w:t>
      </w:r>
      <w:r>
        <w:rPr>
          <w:rFonts w:hint="eastAsia" w:ascii="Times New Roman" w:hAnsi="Times New Roman"/>
          <w:sz w:val="24"/>
          <w:szCs w:val="24"/>
        </w:rPr>
        <w:t>无需土建</w:t>
      </w:r>
      <w:r>
        <w:rPr>
          <w:rFonts w:hint="eastAsia" w:ascii="Times New Roman" w:hAnsi="Times New Roman"/>
          <w:sz w:val="24"/>
          <w:szCs w:val="24"/>
          <w:lang w:eastAsia="zh-CN"/>
        </w:rPr>
        <w:t>，</w:t>
      </w:r>
      <w:r>
        <w:rPr>
          <w:rFonts w:hint="eastAsia" w:ascii="Times New Roman" w:hAnsi="Times New Roman"/>
          <w:sz w:val="24"/>
          <w:szCs w:val="24"/>
        </w:rPr>
        <w:t>项目建设前无地表植被。</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6.7</w:t>
      </w:r>
      <w:r>
        <w:rPr>
          <w:rFonts w:hint="default" w:ascii="Times New Roman" w:hAnsi="Times New Roman" w:cs="Times New Roman"/>
          <w:b/>
          <w:bCs/>
          <w:color w:val="auto"/>
          <w:sz w:val="24"/>
          <w:szCs w:val="24"/>
          <w:highlight w:val="none"/>
          <w:lang w:val="en-US" w:eastAsia="zh-CN"/>
        </w:rPr>
        <w:t>.</w:t>
      </w:r>
      <w:r>
        <w:rPr>
          <w:rFonts w:hint="eastAsia" w:ascii="Times New Roman" w:hAnsi="Times New Roman" w:cs="Times New Roman"/>
          <w:b/>
          <w:bCs/>
          <w:color w:val="auto"/>
          <w:sz w:val="24"/>
          <w:szCs w:val="24"/>
          <w:highlight w:val="none"/>
          <w:lang w:val="en-US" w:eastAsia="zh-CN"/>
        </w:rPr>
        <w:t>2.2</w:t>
      </w:r>
      <w:r>
        <w:rPr>
          <w:rFonts w:hint="eastAsia" w:ascii="Times New Roman" w:hAnsi="Times New Roman"/>
          <w:b/>
          <w:bCs/>
          <w:color w:val="auto"/>
          <w:sz w:val="24"/>
          <w:szCs w:val="24"/>
          <w:highlight w:val="none"/>
          <w:lang w:val="en-US" w:eastAsia="zh-CN"/>
        </w:rPr>
        <w:t>区域陆生植物种类调查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项目所在区域属于暖温带大陆性季风气候区，原生地带性植物以华北成分为主。代表性植被是暖温带落叶阔叶树，由于入类不断的反复破坏活动，原始植被现存的已经很少，目前，绝大多数是人工植被。经调查，区域以木本植物为主。物种类为常见种、普生种，评价区内无重点保护植物与珍稀濒危植物分布，物物种多样性不高。</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6.7</w:t>
      </w:r>
      <w:r>
        <w:rPr>
          <w:rFonts w:hint="default" w:ascii="Times New Roman" w:hAnsi="Times New Roman" w:cs="Times New Roman"/>
          <w:b/>
          <w:bCs/>
          <w:color w:val="auto"/>
          <w:sz w:val="24"/>
          <w:szCs w:val="24"/>
          <w:highlight w:val="none"/>
          <w:lang w:val="en-US" w:eastAsia="zh-CN"/>
        </w:rPr>
        <w:t>.</w:t>
      </w:r>
      <w:r>
        <w:rPr>
          <w:rFonts w:hint="eastAsia" w:ascii="Times New Roman" w:hAnsi="Times New Roman" w:cs="Times New Roman"/>
          <w:b/>
          <w:bCs/>
          <w:color w:val="auto"/>
          <w:sz w:val="24"/>
          <w:szCs w:val="24"/>
          <w:highlight w:val="none"/>
          <w:lang w:val="en-US" w:eastAsia="zh-CN"/>
        </w:rPr>
        <w:t>2.3</w:t>
      </w:r>
      <w:r>
        <w:rPr>
          <w:rFonts w:hint="eastAsia" w:ascii="Times New Roman" w:hAnsi="Times New Roman"/>
          <w:b/>
          <w:bCs/>
          <w:color w:val="auto"/>
          <w:sz w:val="24"/>
          <w:szCs w:val="24"/>
          <w:highlight w:val="none"/>
          <w:lang w:val="en-US" w:eastAsia="zh-CN"/>
        </w:rPr>
        <w:t>区域陆生动物调查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default"/>
          <w:sz w:val="24"/>
          <w:szCs w:val="24"/>
          <w:lang w:val="en-US" w:eastAsia="zh-CN"/>
        </w:rPr>
        <w:t>由于项目所在区域位于</w:t>
      </w:r>
      <w:r>
        <w:rPr>
          <w:rFonts w:hint="eastAsia"/>
          <w:sz w:val="24"/>
          <w:szCs w:val="24"/>
          <w:lang w:val="en-US" w:eastAsia="zh-CN"/>
        </w:rPr>
        <w:t>马桥镇化工产业园</w:t>
      </w:r>
      <w:r>
        <w:rPr>
          <w:rFonts w:hint="default"/>
          <w:sz w:val="24"/>
          <w:szCs w:val="24"/>
          <w:lang w:val="en-US" w:eastAsia="zh-CN"/>
        </w:rPr>
        <w:t>内，在长期和频繁的人类活动影响下，自然生态环境已遭到破环，野生动物失去了较适宜的栖息繁衍场所。据调查，评价区内大型野生动物已经消失。目前该地区常见的野生动物主要有虫类、鼠类、蟾蜍、蛙和喜鹊、麻雀等鸟类，评价区内无珍稀动物。</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b/>
          <w:bCs/>
          <w:color w:val="auto"/>
          <w:sz w:val="28"/>
          <w:szCs w:val="28"/>
          <w:lang w:val="en-US" w:eastAsia="zh-CN"/>
        </w:rPr>
        <w:t>6.7</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3</w:t>
      </w:r>
      <w:r>
        <w:rPr>
          <w:rFonts w:ascii="Times New Roman" w:hAnsi="Times New Roman"/>
          <w:b/>
          <w:bCs/>
          <w:color w:val="auto"/>
          <w:sz w:val="28"/>
          <w:szCs w:val="28"/>
        </w:rPr>
        <w:t xml:space="preserve"> </w:t>
      </w:r>
      <w:r>
        <w:rPr>
          <w:rFonts w:hint="eastAsia" w:ascii="Times New Roman" w:hAnsi="Times New Roman"/>
          <w:b/>
          <w:bCs/>
          <w:color w:val="auto"/>
          <w:sz w:val="28"/>
          <w:szCs w:val="28"/>
        </w:rPr>
        <w:t>生态环境影响分析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ascii="Times New Roman" w:hAnsi="Times New Roman" w:cs="Times New Roman"/>
          <w:sz w:val="24"/>
          <w:szCs w:val="24"/>
          <w:lang w:val="en-US" w:eastAsia="zh-CN"/>
        </w:rPr>
        <w:t>1</w:t>
      </w:r>
      <w:r>
        <w:rPr>
          <w:rFonts w:hint="default"/>
          <w:sz w:val="24"/>
          <w:szCs w:val="24"/>
          <w:lang w:val="en-US" w:eastAsia="zh-CN"/>
        </w:rPr>
        <w:t>、项目建设对厂区地表植被的影响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sz w:val="24"/>
          <w:szCs w:val="24"/>
          <w:lang w:val="en-US" w:eastAsia="zh-CN"/>
        </w:rPr>
        <w:t>本</w:t>
      </w:r>
      <w:r>
        <w:rPr>
          <w:rFonts w:hint="default"/>
          <w:sz w:val="24"/>
          <w:szCs w:val="24"/>
          <w:lang w:val="en-US" w:eastAsia="zh-CN"/>
        </w:rPr>
        <w:t>项目运营后，项目的建设使项目区的土地利用格局</w:t>
      </w:r>
      <w:r>
        <w:rPr>
          <w:rFonts w:hint="eastAsia"/>
          <w:sz w:val="24"/>
          <w:szCs w:val="24"/>
          <w:lang w:val="en-US" w:eastAsia="zh-CN"/>
        </w:rPr>
        <w:t>未</w:t>
      </w:r>
      <w:r>
        <w:rPr>
          <w:rFonts w:hint="default"/>
          <w:sz w:val="24"/>
          <w:szCs w:val="24"/>
          <w:lang w:val="en-US" w:eastAsia="zh-CN"/>
        </w:rPr>
        <w:t>发生改变，生物量总体</w:t>
      </w:r>
      <w:r>
        <w:rPr>
          <w:rFonts w:hint="eastAsia"/>
          <w:sz w:val="24"/>
          <w:szCs w:val="24"/>
          <w:lang w:val="en-US" w:eastAsia="zh-CN"/>
        </w:rPr>
        <w:t>不变</w:t>
      </w:r>
      <w:r>
        <w:rPr>
          <w:rFonts w:hint="default"/>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本</w:t>
      </w:r>
      <w:r>
        <w:rPr>
          <w:rFonts w:hint="default"/>
          <w:color w:val="auto"/>
          <w:sz w:val="24"/>
          <w:szCs w:val="24"/>
          <w:lang w:val="en-US" w:eastAsia="zh-CN"/>
        </w:rPr>
        <w:t>项目</w:t>
      </w:r>
      <w:r>
        <w:rPr>
          <w:rFonts w:hint="default"/>
          <w:sz w:val="24"/>
          <w:szCs w:val="24"/>
          <w:lang w:val="en-US" w:eastAsia="zh-CN"/>
        </w:rPr>
        <w:t>排放的大气污染物将随着大气扩散到厂址周围的环境空气中后，从而可能对植物生长产生影响。</w:t>
      </w:r>
      <w:r>
        <w:rPr>
          <w:rFonts w:hint="eastAsia"/>
          <w:sz w:val="24"/>
          <w:szCs w:val="24"/>
          <w:lang w:val="en-US" w:eastAsia="zh-CN"/>
        </w:rPr>
        <w:t>本</w:t>
      </w:r>
      <w:r>
        <w:rPr>
          <w:rFonts w:hint="default"/>
          <w:sz w:val="24"/>
          <w:szCs w:val="24"/>
          <w:lang w:val="en-US" w:eastAsia="zh-CN"/>
        </w:rPr>
        <w:t>项目加强污染治理措施，确保各类污染均达标排放，尽最大能力降低对周围环境的影响，排放的各类废气污染物对植物生长影响不大。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ascii="Times New Roman" w:hAnsi="Times New Roman" w:cs="Times New Roman"/>
          <w:sz w:val="24"/>
          <w:szCs w:val="24"/>
          <w:lang w:val="en-US" w:eastAsia="zh-CN"/>
        </w:rPr>
        <w:t>2</w:t>
      </w:r>
      <w:r>
        <w:rPr>
          <w:rFonts w:hint="default"/>
          <w:sz w:val="24"/>
          <w:szCs w:val="24"/>
          <w:lang w:val="en-US" w:eastAsia="zh-CN"/>
        </w:rPr>
        <w:t>、项目建设对野生动物生存环境的影响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评价范围内的动物类型为北方地区常见物种，没有珍稀濒危动物，没有国家和地方性保护野生动物，项目的建设将破坏厂区内部分野生动物的栖息环境，但由于这些物种适应能力较强，且厂区周围存在大面积类似环境条件，因此对该范围的野生动物不会产生很大的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ascii="Times New Roman" w:hAnsi="Times New Roman" w:cs="Times New Roman"/>
          <w:sz w:val="24"/>
          <w:szCs w:val="24"/>
          <w:lang w:val="en-US" w:eastAsia="zh-CN"/>
        </w:rPr>
        <w:t>3</w:t>
      </w:r>
      <w:r>
        <w:rPr>
          <w:rFonts w:hint="default"/>
          <w:sz w:val="24"/>
          <w:szCs w:val="24"/>
          <w:lang w:val="en-US" w:eastAsia="zh-CN"/>
        </w:rPr>
        <w:t>、项目建设对地下水补给的影响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olor w:val="auto"/>
          <w:sz w:val="24"/>
          <w:szCs w:val="24"/>
          <w:lang w:val="en-US" w:eastAsia="zh-CN"/>
        </w:rPr>
      </w:pPr>
      <w:r>
        <w:rPr>
          <w:rFonts w:hint="eastAsia"/>
          <w:sz w:val="24"/>
          <w:szCs w:val="24"/>
          <w:lang w:val="en-US" w:eastAsia="zh-CN"/>
        </w:rPr>
        <w:t>本</w:t>
      </w:r>
      <w:r>
        <w:rPr>
          <w:rFonts w:hint="default"/>
          <w:color w:val="auto"/>
          <w:sz w:val="24"/>
          <w:szCs w:val="24"/>
          <w:lang w:val="en-US" w:eastAsia="zh-CN"/>
        </w:rPr>
        <w:t>项目所在区域地下水以大气降水为主，</w:t>
      </w:r>
      <w:r>
        <w:rPr>
          <w:rFonts w:hint="eastAsia"/>
          <w:color w:val="auto"/>
          <w:sz w:val="24"/>
          <w:szCs w:val="24"/>
          <w:lang w:val="en-US" w:eastAsia="zh-CN"/>
        </w:rPr>
        <w:t>运营后不会新增硬化地面，不会</w:t>
      </w:r>
      <w:r>
        <w:rPr>
          <w:rFonts w:hint="default"/>
          <w:color w:val="auto"/>
          <w:sz w:val="24"/>
          <w:szCs w:val="24"/>
          <w:lang w:val="en-US" w:eastAsia="zh-CN"/>
        </w:rPr>
        <w:t>导致用水下渗面积减少，</w:t>
      </w:r>
      <w:r>
        <w:rPr>
          <w:rFonts w:hint="eastAsia"/>
          <w:color w:val="auto"/>
          <w:sz w:val="24"/>
          <w:szCs w:val="24"/>
          <w:lang w:val="en-US" w:eastAsia="zh-CN"/>
        </w:rPr>
        <w:t>也不会</w:t>
      </w:r>
      <w:r>
        <w:rPr>
          <w:rFonts w:hint="default"/>
          <w:color w:val="auto"/>
          <w:sz w:val="24"/>
          <w:szCs w:val="24"/>
          <w:lang w:val="en-US" w:eastAsia="zh-CN"/>
        </w:rPr>
        <w:t>减少地下水的补给，</w:t>
      </w:r>
      <w:r>
        <w:rPr>
          <w:rFonts w:hint="eastAsia"/>
          <w:color w:val="auto"/>
          <w:sz w:val="24"/>
          <w:szCs w:val="24"/>
          <w:lang w:val="en-US" w:eastAsia="zh-CN"/>
        </w:rPr>
        <w:t>故本项目不会对</w:t>
      </w:r>
      <w:r>
        <w:rPr>
          <w:rFonts w:hint="default"/>
          <w:color w:val="auto"/>
          <w:sz w:val="24"/>
          <w:szCs w:val="24"/>
          <w:lang w:val="en-US" w:eastAsia="zh-CN"/>
        </w:rPr>
        <w:t>地下水补给量</w:t>
      </w:r>
      <w:r>
        <w:rPr>
          <w:rFonts w:hint="eastAsia"/>
          <w:color w:val="auto"/>
          <w:sz w:val="24"/>
          <w:szCs w:val="24"/>
          <w:lang w:val="en-US" w:eastAsia="zh-CN"/>
        </w:rPr>
        <w:t>产生</w:t>
      </w:r>
      <w:r>
        <w:rPr>
          <w:rFonts w:hint="default"/>
          <w:color w:val="auto"/>
          <w:sz w:val="24"/>
          <w:szCs w:val="24"/>
          <w:lang w:val="en-US" w:eastAsia="zh-CN"/>
        </w:rPr>
        <w:t>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default"/>
          <w:color w:val="auto"/>
          <w:sz w:val="24"/>
          <w:szCs w:val="24"/>
          <w:lang w:val="en-US" w:eastAsia="zh-CN"/>
        </w:rPr>
        <w:t>总体来讲，</w:t>
      </w:r>
      <w:r>
        <w:rPr>
          <w:rFonts w:hint="eastAsia"/>
          <w:color w:val="auto"/>
          <w:sz w:val="24"/>
          <w:szCs w:val="24"/>
          <w:lang w:val="en-US" w:eastAsia="zh-CN"/>
        </w:rPr>
        <w:t>本</w:t>
      </w:r>
      <w:r>
        <w:rPr>
          <w:rFonts w:hint="default"/>
          <w:color w:val="auto"/>
          <w:sz w:val="24"/>
          <w:szCs w:val="24"/>
          <w:lang w:val="en-US" w:eastAsia="zh-CN"/>
        </w:rPr>
        <w:t>项目的建设及</w:t>
      </w:r>
      <w:r>
        <w:rPr>
          <w:rFonts w:hint="default"/>
          <w:sz w:val="24"/>
          <w:szCs w:val="24"/>
          <w:lang w:val="en-US" w:eastAsia="zh-CN"/>
        </w:rPr>
        <w:t>运营生产，</w:t>
      </w:r>
      <w:r>
        <w:rPr>
          <w:rFonts w:hint="eastAsia"/>
          <w:sz w:val="24"/>
          <w:szCs w:val="24"/>
          <w:lang w:val="en-US" w:eastAsia="zh-CN"/>
        </w:rPr>
        <w:t>不</w:t>
      </w:r>
      <w:r>
        <w:rPr>
          <w:rFonts w:hint="default"/>
          <w:sz w:val="24"/>
          <w:szCs w:val="24"/>
          <w:lang w:val="en-US" w:eastAsia="zh-CN"/>
        </w:rPr>
        <w:t>会引起项目工程影响范围内的陆域生态环境变化，不会使整个评价区土地利用、植物、动物群落的种类组成发生变化，也不会造成某一物种的消失。</w:t>
      </w:r>
      <w:r>
        <w:rPr>
          <w:rFonts w:hint="eastAsia"/>
          <w:sz w:val="24"/>
          <w:szCs w:val="24"/>
          <w:lang w:val="en-US" w:eastAsia="zh-CN"/>
        </w:rPr>
        <w:t>本</w:t>
      </w:r>
      <w:r>
        <w:rPr>
          <w:rFonts w:hint="default"/>
          <w:sz w:val="24"/>
          <w:szCs w:val="24"/>
          <w:lang w:val="en-US" w:eastAsia="zh-CN"/>
        </w:rPr>
        <w:t>项目运营期间的生态影响不大。</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b/>
          <w:bCs/>
          <w:color w:val="auto"/>
          <w:sz w:val="28"/>
          <w:szCs w:val="28"/>
          <w:lang w:val="en-US" w:eastAsia="zh-CN"/>
        </w:rPr>
        <w:t>6.7</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4</w:t>
      </w:r>
      <w:r>
        <w:rPr>
          <w:rFonts w:ascii="Times New Roman" w:hAnsi="Times New Roman"/>
          <w:b/>
          <w:bCs/>
          <w:color w:val="auto"/>
          <w:sz w:val="28"/>
          <w:szCs w:val="28"/>
        </w:rPr>
        <w:t xml:space="preserve"> </w:t>
      </w:r>
      <w:r>
        <w:rPr>
          <w:rFonts w:hint="eastAsia" w:ascii="Times New Roman" w:hAnsi="Times New Roman"/>
          <w:b/>
          <w:bCs/>
          <w:color w:val="auto"/>
          <w:sz w:val="28"/>
          <w:szCs w:val="28"/>
        </w:rPr>
        <w:t>生态环境保护和减缓措施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为充分降低生态环境影响，</w:t>
      </w:r>
      <w:r>
        <w:rPr>
          <w:rFonts w:hint="eastAsia"/>
          <w:sz w:val="24"/>
          <w:szCs w:val="24"/>
          <w:lang w:val="en-US" w:eastAsia="zh-CN"/>
        </w:rPr>
        <w:t>本</w:t>
      </w:r>
      <w:r>
        <w:rPr>
          <w:rFonts w:hint="default"/>
          <w:sz w:val="24"/>
          <w:szCs w:val="24"/>
          <w:lang w:val="en-US" w:eastAsia="zh-CN"/>
        </w:rPr>
        <w:t>项目运营期应重点通过加强管理，减少污染物排放来减轻对当地生态环境的影响。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加强企业环境管理，提高职工的环境保护意识，并采取各项污染治理措施，以减少污染物的排放。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各废气污染源要做到达标排放，并尽量减少跑、冒、滴、漏等产生的无组织排放。在植物最易受害的生长期，工厂还应特别注意防止因开停车至漏气、放空、跳闸等非正常运行引起的急性危害。</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b/>
          <w:bCs/>
          <w:color w:val="auto"/>
          <w:sz w:val="28"/>
          <w:szCs w:val="28"/>
          <w:lang w:val="en-US" w:eastAsia="zh-CN"/>
        </w:rPr>
        <w:t>6.7</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5</w:t>
      </w:r>
      <w:r>
        <w:rPr>
          <w:rFonts w:ascii="Times New Roman" w:hAnsi="Times New Roman"/>
          <w:b/>
          <w:bCs/>
          <w:color w:val="auto"/>
          <w:sz w:val="28"/>
          <w:szCs w:val="28"/>
        </w:rPr>
        <w:t xml:space="preserve"> </w:t>
      </w:r>
      <w:r>
        <w:rPr>
          <w:rFonts w:hint="eastAsia" w:ascii="Times New Roman" w:hAnsi="Times New Roman"/>
          <w:b/>
          <w:bCs/>
          <w:color w:val="auto"/>
          <w:sz w:val="28"/>
          <w:szCs w:val="28"/>
        </w:rPr>
        <w:t>生态环境保护和减缓措施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项目厂区绿化内容应该按照《山东省环境保护厅关于加强建设项目特征污染物监管和绿色生态屏障建设的通知》（鲁环评函[2013]138号）要求进行。绿化要注重生态效应，根据生态承载力，合理搭配树种，注重速生与慢生、常绿与落叶树种的搭配，并进行适当密植。要因地制宜地选择污染物高耐受性植物，尽可能多种植乔木，沿厂界要设置乔木绿化带，努力把企业建在“森林”中。</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加强厂区及厂界绿化，不仅能美化环境，清洁工厂，净化空气，而且可以保护周围环境质量及工作人员身心健康。厂区绿化应对厂区内主要干道两侧、四周厂界、办公区周围及厂区空地等进行科学、合理的绿化。一般厂区主干道两侧设以常绿乔木和竹篱、草皮组成的道路绿化系统；办公区周围可根据地形设计自然式布局，裁植观赏花木，铺设草坪；厂区空地可设计花坛，并以常绿植物为主；在四周厂界应种植高大的乔木，如杨树、梧桐等，以形成绿化带。绿化要注重生态效应，根据生态承载力，因地制宜地选择污染物高耐受性植物，合理搭配树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企业绿化工作应该遵守先规划设计后施工坚持养护与管理的原则。首先由专业人员进行规划设计，在园区绿化总体规划布局和工厂总体规划的基础上确定绿化范围、面积，制定绿化总体思路方针，做出绿化规划设计方案，在完成详细设计之后编制设计成果资料。绿化种植施工最好与工厂基建一起进行，个性因环境条件不能完成的种植任务要预留空地。绿化养护与管理在工厂绿化中是一个长期坚持的工作，基础工作主要是松土、打孔、修剪、除草、平整补填、浇水排水、施肥、打药、防治病虫害。企业应每年确保一定数额的资金用于绿化美化资金投入，并加强管理，健全制度，专人负责，把绿化工作纳入企业正常管理的内容。</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sz w:val="24"/>
          <w:szCs w:val="24"/>
          <w:lang w:eastAsia="zh-CN"/>
        </w:rPr>
      </w:pPr>
      <w:r>
        <w:rPr>
          <w:rFonts w:hint="eastAsia" w:ascii="Times New Roman" w:hAnsi="Times New Roman"/>
          <w:b/>
          <w:bCs/>
          <w:color w:val="auto"/>
          <w:sz w:val="28"/>
          <w:szCs w:val="28"/>
          <w:lang w:val="en-US" w:eastAsia="zh-CN"/>
        </w:rPr>
        <w:t>6.7</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6</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小结</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eastAsia"/>
          <w:color w:val="auto"/>
          <w:sz w:val="24"/>
          <w:szCs w:val="24"/>
          <w:lang w:val="en-US" w:eastAsia="zh-CN"/>
        </w:rPr>
        <w:t>本</w:t>
      </w:r>
      <w:r>
        <w:rPr>
          <w:rFonts w:hint="default"/>
          <w:color w:val="auto"/>
          <w:sz w:val="24"/>
          <w:szCs w:val="24"/>
          <w:lang w:val="en-US" w:eastAsia="zh-CN"/>
        </w:rPr>
        <w:t>项目位于</w:t>
      </w:r>
      <w:r>
        <w:rPr>
          <w:rFonts w:hint="eastAsia"/>
          <w:color w:val="auto"/>
          <w:sz w:val="24"/>
          <w:szCs w:val="24"/>
          <w:lang w:val="en-US" w:eastAsia="zh-CN"/>
        </w:rPr>
        <w:t>马桥镇化工产业园</w:t>
      </w:r>
      <w:r>
        <w:rPr>
          <w:rFonts w:hint="default"/>
          <w:color w:val="auto"/>
          <w:sz w:val="24"/>
          <w:szCs w:val="24"/>
          <w:lang w:val="en-US" w:eastAsia="zh-CN"/>
        </w:rPr>
        <w:t>。项目的建设运营不会使整个评价区土地利用、植物、动物群落的种类组成发生明显变化，也不会造成某一物种的消失，不会对生态环境产生大的影响。</w:t>
      </w:r>
      <w:r>
        <w:rPr>
          <w:rFonts w:hint="eastAsia"/>
          <w:color w:val="auto"/>
          <w:sz w:val="24"/>
          <w:szCs w:val="24"/>
          <w:lang w:val="en-US" w:eastAsia="zh-CN"/>
        </w:rPr>
        <w:t>本</w:t>
      </w:r>
      <w:r>
        <w:rPr>
          <w:rFonts w:hint="default"/>
          <w:color w:val="auto"/>
          <w:sz w:val="24"/>
          <w:szCs w:val="24"/>
          <w:lang w:val="en-US" w:eastAsia="zh-CN"/>
        </w:rPr>
        <w:t>项目建</w:t>
      </w:r>
      <w:r>
        <w:rPr>
          <w:rFonts w:hint="default"/>
          <w:sz w:val="24"/>
          <w:szCs w:val="24"/>
          <w:lang w:val="en-US" w:eastAsia="zh-CN"/>
        </w:rPr>
        <w:t>成后将加大环保投资，确保将各类污染物对周围环境的影响降到最小；加大绿化投资，在厂界建设绿色生态屏障，以减小废气对外环境的影响，美化环境，项目建设对生态环境的影响是可以接受的。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ascii="Times New Roman" w:hAnsi="Times New Roman"/>
          <w:b/>
          <w:bCs/>
          <w:color w:val="auto"/>
          <w:sz w:val="30"/>
          <w:szCs w:val="30"/>
        </w:rPr>
      </w:pPr>
      <w:bookmarkStart w:id="42" w:name="_Toc32613"/>
      <w:bookmarkStart w:id="43" w:name="_Toc20298"/>
      <w:r>
        <w:rPr>
          <w:rFonts w:hint="eastAsia" w:ascii="Times New Roman" w:hAnsi="Times New Roman"/>
          <w:b/>
          <w:bCs/>
          <w:color w:val="auto"/>
          <w:sz w:val="30"/>
          <w:szCs w:val="30"/>
          <w:lang w:val="en-US" w:eastAsia="zh-CN"/>
        </w:rPr>
        <w:t>6.8</w:t>
      </w:r>
      <w:r>
        <w:rPr>
          <w:rFonts w:ascii="Times New Roman" w:hAnsi="Times New Roman"/>
          <w:b/>
          <w:bCs/>
          <w:color w:val="auto"/>
          <w:sz w:val="30"/>
          <w:szCs w:val="30"/>
        </w:rPr>
        <w:t xml:space="preserve"> </w:t>
      </w:r>
      <w:r>
        <w:rPr>
          <w:rFonts w:hint="eastAsia" w:ascii="Times New Roman" w:hAnsi="Times New Roman"/>
          <w:b/>
          <w:bCs/>
          <w:color w:val="auto"/>
          <w:sz w:val="30"/>
          <w:szCs w:val="30"/>
        </w:rPr>
        <w:t>土壤环境影响评价</w:t>
      </w:r>
      <w:bookmarkEnd w:id="42"/>
      <w:bookmarkEnd w:id="43"/>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rPr>
      </w:pPr>
      <w:r>
        <w:rPr>
          <w:rFonts w:hint="eastAsia" w:ascii="Times New Roman" w:hAnsi="Times New Roman"/>
          <w:b/>
          <w:bCs/>
          <w:color w:val="auto"/>
          <w:sz w:val="28"/>
          <w:szCs w:val="28"/>
          <w:lang w:val="en-US" w:eastAsia="zh-CN"/>
        </w:rPr>
        <w:t>6.8</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1</w:t>
      </w:r>
      <w:r>
        <w:rPr>
          <w:rFonts w:ascii="Times New Roman" w:hAnsi="Times New Roman"/>
          <w:b/>
          <w:bCs/>
          <w:color w:val="auto"/>
          <w:sz w:val="28"/>
          <w:szCs w:val="28"/>
        </w:rPr>
        <w:t xml:space="preserve"> </w:t>
      </w:r>
      <w:r>
        <w:rPr>
          <w:rFonts w:hint="eastAsia" w:ascii="Times New Roman" w:hAnsi="Times New Roman"/>
          <w:b/>
          <w:bCs/>
          <w:color w:val="auto"/>
          <w:sz w:val="28"/>
          <w:szCs w:val="28"/>
        </w:rPr>
        <w:t>评价等级与评价范围确定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eastAsia" w:ascii="Times New Roman" w:hAnsi="Times New Roman"/>
          <w:sz w:val="24"/>
          <w:szCs w:val="24"/>
          <w:lang w:val="en-US" w:eastAsia="zh-CN"/>
        </w:rPr>
        <w:t>1、建设项目类别</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根据《环境影响评价技术导则 土壤环境》（HJ964-2018）附录A土壤环境影响评价项目类别，本项目为</w:t>
      </w:r>
      <w:r>
        <w:rPr>
          <w:rFonts w:hint="eastAsia" w:ascii="Times New Roman" w:hAnsi="Times New Roman"/>
          <w:sz w:val="24"/>
          <w:szCs w:val="24"/>
          <w:lang w:val="en-US" w:eastAsia="zh-CN"/>
        </w:rPr>
        <w:t>“造纸和纸制品：纸浆、溶解浆、纤维浆等制造；造纸（含制浆工艺）”</w:t>
      </w:r>
      <w:r>
        <w:rPr>
          <w:rFonts w:hint="default" w:ascii="Times New Roman" w:hAnsi="Times New Roman"/>
          <w:sz w:val="24"/>
          <w:szCs w:val="24"/>
          <w:lang w:val="en-US" w:eastAsia="zh-CN"/>
        </w:rPr>
        <w:t>，项目类别为</w:t>
      </w:r>
      <w:r>
        <w:rPr>
          <w:rFonts w:hint="default" w:ascii="Times New Roman" w:hAnsi="Times New Roman" w:eastAsia="宋体" w:cs="Times New Roman"/>
          <w:sz w:val="24"/>
          <w:szCs w:val="24"/>
          <w:lang w:val="en-US" w:eastAsia="zh-CN"/>
        </w:rPr>
        <w:t>Ⅱ</w:t>
      </w:r>
      <w:r>
        <w:rPr>
          <w:rFonts w:hint="default" w:ascii="Times New Roman" w:hAnsi="Times New Roman"/>
          <w:sz w:val="24"/>
          <w:szCs w:val="24"/>
          <w:lang w:val="en-US" w:eastAsia="zh-CN"/>
        </w:rPr>
        <w:t>类。</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2、建设项目占地规模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本项目占地面积：</w:t>
      </w:r>
      <w:r>
        <w:rPr>
          <w:rFonts w:hint="eastAsia" w:ascii="Times New Roman" w:hAnsi="Times New Roman"/>
          <w:sz w:val="24"/>
          <w:szCs w:val="24"/>
          <w:lang w:val="en-US" w:eastAsia="zh-CN"/>
        </w:rPr>
        <w:t>本项目</w:t>
      </w:r>
      <w:r>
        <w:rPr>
          <w:rFonts w:hint="default" w:ascii="Times New Roman" w:hAnsi="Times New Roman"/>
          <w:sz w:val="24"/>
          <w:szCs w:val="24"/>
          <w:lang w:val="en-US" w:eastAsia="zh-CN"/>
        </w:rPr>
        <w:t>占地面积</w:t>
      </w:r>
      <w:r>
        <w:rPr>
          <w:rFonts w:hint="eastAsia" w:ascii="Times New Roman" w:hAnsi="Times New Roman"/>
          <w:sz w:val="24"/>
          <w:szCs w:val="24"/>
          <w:lang w:val="en-US" w:eastAsia="zh-CN"/>
        </w:rPr>
        <w:t>4.51</w:t>
      </w:r>
      <w:r>
        <w:rPr>
          <w:rFonts w:hint="default" w:ascii="Times New Roman" w:hAnsi="Times New Roman"/>
          <w:sz w:val="24"/>
          <w:szCs w:val="24"/>
          <w:lang w:val="en-US" w:eastAsia="zh-CN"/>
        </w:rPr>
        <w:t>hm</w:t>
      </w:r>
      <w:r>
        <w:rPr>
          <w:rFonts w:hint="default" w:ascii="Times New Roman" w:hAnsi="Times New Roman"/>
          <w:sz w:val="24"/>
          <w:szCs w:val="24"/>
          <w:vertAlign w:val="superscript"/>
          <w:lang w:val="en-US" w:eastAsia="zh-CN"/>
        </w:rPr>
        <w:t>2</w:t>
      </w:r>
      <w:r>
        <w:rPr>
          <w:rFonts w:hint="default" w:ascii="Times New Roman" w:hAnsi="Times New Roman"/>
          <w:sz w:val="24"/>
          <w:szCs w:val="24"/>
          <w:lang w:val="en-US" w:eastAsia="zh-CN"/>
        </w:rPr>
        <w:t>，均属于</w:t>
      </w:r>
      <w:r>
        <w:rPr>
          <w:rFonts w:hint="eastAsia" w:ascii="Times New Roman" w:hAnsi="Times New Roman"/>
          <w:sz w:val="24"/>
          <w:szCs w:val="24"/>
          <w:lang w:val="en-US" w:eastAsia="zh-CN"/>
        </w:rPr>
        <w:t>中</w:t>
      </w:r>
      <w:r>
        <w:rPr>
          <w:rFonts w:hint="default" w:ascii="Times New Roman" w:hAnsi="Times New Roman"/>
          <w:sz w:val="24"/>
          <w:szCs w:val="24"/>
          <w:lang w:val="en-US" w:eastAsia="zh-CN"/>
        </w:rPr>
        <w:t>型（</w:t>
      </w:r>
      <w:r>
        <w:rPr>
          <w:rFonts w:hint="eastAsia" w:ascii="Times New Roman" w:hAnsi="Times New Roman"/>
          <w:sz w:val="24"/>
          <w:szCs w:val="24"/>
          <w:lang w:val="en-US" w:eastAsia="zh-CN"/>
        </w:rPr>
        <w:t>5-</w:t>
      </w:r>
      <w:r>
        <w:rPr>
          <w:rFonts w:hint="default" w:ascii="Times New Roman" w:hAnsi="Times New Roman"/>
          <w:sz w:val="24"/>
          <w:szCs w:val="24"/>
          <w:lang w:val="en-US" w:eastAsia="zh-CN"/>
        </w:rPr>
        <w:t>5</w:t>
      </w:r>
      <w:r>
        <w:rPr>
          <w:rFonts w:hint="eastAsia" w:ascii="Times New Roman" w:hAnsi="Times New Roman"/>
          <w:sz w:val="24"/>
          <w:szCs w:val="24"/>
          <w:lang w:val="en-US" w:eastAsia="zh-CN"/>
        </w:rPr>
        <w:t>0</w:t>
      </w:r>
      <w:r>
        <w:rPr>
          <w:rFonts w:hint="default" w:ascii="Times New Roman" w:hAnsi="Times New Roman"/>
          <w:sz w:val="24"/>
          <w:szCs w:val="24"/>
          <w:lang w:val="en-US" w:eastAsia="zh-CN"/>
        </w:rPr>
        <w:t>hm</w:t>
      </w:r>
      <w:r>
        <w:rPr>
          <w:rFonts w:hint="default" w:ascii="Times New Roman" w:hAnsi="Times New Roman"/>
          <w:sz w:val="24"/>
          <w:szCs w:val="24"/>
          <w:vertAlign w:val="superscript"/>
          <w:lang w:val="en-US" w:eastAsia="zh-CN"/>
        </w:rPr>
        <w:t>2</w:t>
      </w:r>
      <w:r>
        <w:rPr>
          <w:rFonts w:hint="default" w:ascii="Times New Roman" w:hAnsi="Times New Roman"/>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lang w:val="en-US" w:eastAsia="zh-CN"/>
        </w:rPr>
      </w:pPr>
      <w:r>
        <w:rPr>
          <w:rFonts w:hint="default" w:ascii="Times New Roman" w:hAnsi="Times New Roman" w:cs="Times New Roman"/>
          <w:sz w:val="24"/>
          <w:szCs w:val="24"/>
          <w:lang w:val="en-US" w:eastAsia="zh-CN"/>
        </w:rPr>
        <w:t>3</w:t>
      </w:r>
      <w:r>
        <w:rPr>
          <w:rFonts w:hint="eastAsia"/>
          <w:sz w:val="24"/>
          <w:szCs w:val="24"/>
          <w:lang w:val="en-US" w:eastAsia="zh-CN"/>
        </w:rPr>
        <w:t>、建设项目场地的土壤环境敏感程度</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sz w:val="24"/>
          <w:szCs w:val="24"/>
          <w:lang w:val="en-US" w:eastAsia="zh-CN"/>
        </w:rPr>
      </w:pPr>
      <w:r>
        <w:rPr>
          <w:rFonts w:hint="default"/>
          <w:sz w:val="24"/>
          <w:szCs w:val="24"/>
          <w:lang w:val="en-US" w:eastAsia="zh-CN"/>
        </w:rPr>
        <w:t>建设项目的土壤环境敏感程度可分为敏感、较敏感、不敏感三级，分级原则见表</w:t>
      </w:r>
      <w:r>
        <w:rPr>
          <w:rFonts w:hint="eastAsia" w:ascii="Times New Roman" w:hAnsi="Times New Roman" w:cs="Times New Roman"/>
          <w:sz w:val="24"/>
          <w:szCs w:val="24"/>
          <w:lang w:val="en-US" w:eastAsia="zh-CN"/>
        </w:rPr>
        <w:t>6.8</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1</w:t>
      </w:r>
      <w:r>
        <w:rPr>
          <w:rFonts w:hint="default"/>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hint="default"/>
          <w:lang w:val="en-US" w:eastAsia="zh-CN"/>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6.8</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b/>
          <w:bCs/>
          <w:sz w:val="24"/>
          <w:szCs w:val="24"/>
          <w:lang w:val="en-US" w:eastAsia="zh-CN"/>
        </w:rPr>
        <w:t xml:space="preserve"> 土壤环境敏感程度分级表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9"/>
        <w:gridCol w:w="6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909" w:type="dxa"/>
            <w:noWrap w:val="0"/>
            <w:vAlign w:val="center"/>
          </w:tcPr>
          <w:p>
            <w:pPr>
              <w:adjustRightInd w:val="0"/>
              <w:snapToGrid w:val="0"/>
              <w:jc w:val="center"/>
              <w:rPr>
                <w:b/>
                <w:bCs/>
                <w:color w:val="auto"/>
                <w:szCs w:val="21"/>
              </w:rPr>
            </w:pPr>
            <w:r>
              <w:rPr>
                <w:b/>
                <w:bCs/>
                <w:color w:val="auto"/>
                <w:szCs w:val="21"/>
              </w:rPr>
              <w:t>敏感程度</w:t>
            </w:r>
          </w:p>
        </w:tc>
        <w:tc>
          <w:tcPr>
            <w:tcW w:w="6605" w:type="dxa"/>
            <w:noWrap w:val="0"/>
            <w:vAlign w:val="center"/>
          </w:tcPr>
          <w:p>
            <w:pPr>
              <w:adjustRightInd w:val="0"/>
              <w:snapToGrid w:val="0"/>
              <w:jc w:val="center"/>
              <w:rPr>
                <w:b/>
                <w:bCs/>
                <w:color w:val="auto"/>
                <w:szCs w:val="21"/>
              </w:rPr>
            </w:pPr>
            <w:r>
              <w:rPr>
                <w:b/>
                <w:bCs/>
                <w:color w:val="auto"/>
                <w:szCs w:val="21"/>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1909" w:type="dxa"/>
            <w:noWrap w:val="0"/>
            <w:vAlign w:val="center"/>
          </w:tcPr>
          <w:p>
            <w:pPr>
              <w:adjustRightInd w:val="0"/>
              <w:snapToGrid w:val="0"/>
              <w:jc w:val="center"/>
              <w:rPr>
                <w:color w:val="auto"/>
                <w:szCs w:val="21"/>
              </w:rPr>
            </w:pPr>
            <w:r>
              <w:rPr>
                <w:color w:val="auto"/>
                <w:szCs w:val="21"/>
              </w:rPr>
              <w:t>敏感</w:t>
            </w:r>
          </w:p>
        </w:tc>
        <w:tc>
          <w:tcPr>
            <w:tcW w:w="6605" w:type="dxa"/>
            <w:noWrap w:val="0"/>
            <w:vAlign w:val="center"/>
          </w:tcPr>
          <w:p>
            <w:pPr>
              <w:adjustRightInd w:val="0"/>
              <w:snapToGrid w:val="0"/>
              <w:jc w:val="center"/>
              <w:rPr>
                <w:color w:val="auto"/>
                <w:szCs w:val="21"/>
              </w:rPr>
            </w:pPr>
            <w:r>
              <w:rPr>
                <w:color w:val="auto"/>
                <w:szCs w:val="21"/>
              </w:rPr>
              <w:t>建设项目周边存在耕地、园地、牧草地、饮用水水源地或居民区、学校、医院、疗养院、养老院等土壤环境敏感目标的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1909" w:type="dxa"/>
            <w:noWrap w:val="0"/>
            <w:vAlign w:val="center"/>
          </w:tcPr>
          <w:p>
            <w:pPr>
              <w:adjustRightInd w:val="0"/>
              <w:snapToGrid w:val="0"/>
              <w:jc w:val="center"/>
              <w:rPr>
                <w:color w:val="auto"/>
                <w:szCs w:val="21"/>
              </w:rPr>
            </w:pPr>
            <w:r>
              <w:rPr>
                <w:color w:val="auto"/>
                <w:szCs w:val="21"/>
              </w:rPr>
              <w:t>较敏感</w:t>
            </w:r>
          </w:p>
        </w:tc>
        <w:tc>
          <w:tcPr>
            <w:tcW w:w="6605" w:type="dxa"/>
            <w:noWrap w:val="0"/>
            <w:vAlign w:val="center"/>
          </w:tcPr>
          <w:p>
            <w:pPr>
              <w:adjustRightInd w:val="0"/>
              <w:snapToGrid w:val="0"/>
              <w:jc w:val="center"/>
              <w:rPr>
                <w:color w:val="auto"/>
                <w:szCs w:val="21"/>
              </w:rPr>
            </w:pPr>
            <w:r>
              <w:rPr>
                <w:color w:val="auto"/>
                <w:szCs w:val="21"/>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1909" w:type="dxa"/>
            <w:noWrap w:val="0"/>
            <w:vAlign w:val="center"/>
          </w:tcPr>
          <w:p>
            <w:pPr>
              <w:adjustRightInd w:val="0"/>
              <w:snapToGrid w:val="0"/>
              <w:jc w:val="center"/>
              <w:rPr>
                <w:color w:val="auto"/>
                <w:szCs w:val="21"/>
              </w:rPr>
            </w:pPr>
            <w:r>
              <w:rPr>
                <w:color w:val="auto"/>
                <w:szCs w:val="21"/>
              </w:rPr>
              <w:t>不敏感</w:t>
            </w:r>
          </w:p>
        </w:tc>
        <w:tc>
          <w:tcPr>
            <w:tcW w:w="6605" w:type="dxa"/>
            <w:noWrap w:val="0"/>
            <w:vAlign w:val="center"/>
          </w:tcPr>
          <w:p>
            <w:pPr>
              <w:adjustRightInd w:val="0"/>
              <w:snapToGrid w:val="0"/>
              <w:jc w:val="center"/>
              <w:rPr>
                <w:color w:val="auto"/>
                <w:szCs w:val="21"/>
              </w:rPr>
            </w:pPr>
            <w:r>
              <w:rPr>
                <w:color w:val="auto"/>
                <w:szCs w:val="21"/>
              </w:rPr>
              <w:t>其他情况</w:t>
            </w:r>
          </w:p>
        </w:tc>
      </w:tr>
    </w:tbl>
    <w:p>
      <w:pPr>
        <w:pStyle w:val="17"/>
        <w:keepNext w:val="0"/>
        <w:keepLines w:val="0"/>
        <w:pageBreakBefore w:val="0"/>
        <w:widowControl w:val="0"/>
        <w:kinsoku/>
        <w:wordWrap/>
        <w:overflowPunct/>
        <w:topLinePunct w:val="0"/>
        <w:autoSpaceDE/>
        <w:autoSpaceDN/>
        <w:bidi w:val="0"/>
        <w:adjustRightInd/>
        <w:snapToGrid w:val="0"/>
        <w:spacing w:beforeLines="50" w:after="0" w:line="360" w:lineRule="auto"/>
        <w:ind w:left="0" w:leftChars="0" w:firstLine="480" w:firstLineChars="200"/>
        <w:textAlignment w:val="auto"/>
        <w:rPr>
          <w:rFonts w:hint="default"/>
          <w:sz w:val="24"/>
          <w:szCs w:val="24"/>
          <w:lang w:val="en-US" w:eastAsia="zh-CN"/>
        </w:rPr>
      </w:pPr>
      <w:r>
        <w:rPr>
          <w:rFonts w:hint="eastAsia" w:ascii="宋体" w:hAnsi="宋体" w:cs="宋体"/>
          <w:sz w:val="24"/>
          <w:szCs w:val="24"/>
          <w:lang w:val="en-US" w:eastAsia="zh-CN"/>
        </w:rPr>
        <w:t>本</w:t>
      </w:r>
      <w:r>
        <w:rPr>
          <w:rFonts w:hint="eastAsia" w:ascii="宋体" w:hAnsi="宋体" w:eastAsia="宋体" w:cs="宋体"/>
          <w:sz w:val="24"/>
          <w:szCs w:val="24"/>
          <w:lang w:val="en-US" w:eastAsia="zh-CN"/>
        </w:rPr>
        <w:t>项目位于马桥镇化工产业园内，项目</w:t>
      </w:r>
      <w:r>
        <w:rPr>
          <w:rFonts w:hint="eastAsia" w:ascii="宋体" w:hAnsi="宋体" w:cs="宋体"/>
          <w:sz w:val="24"/>
          <w:szCs w:val="24"/>
          <w:lang w:val="en-US" w:eastAsia="zh-CN"/>
        </w:rPr>
        <w:t>评价范围内存在</w:t>
      </w:r>
      <w:r>
        <w:rPr>
          <w:rFonts w:hint="eastAsia" w:ascii="宋体" w:hAnsi="宋体" w:eastAsia="宋体" w:cs="宋体"/>
          <w:sz w:val="24"/>
          <w:szCs w:val="24"/>
          <w:lang w:val="en-US" w:eastAsia="zh-CN"/>
        </w:rPr>
        <w:t>耕地，因此敏感程度为“敏感”</w:t>
      </w:r>
      <w:r>
        <w:rPr>
          <w:rFonts w:hint="default"/>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4、</w:t>
      </w:r>
      <w:r>
        <w:rPr>
          <w:rFonts w:hint="eastAsia" w:ascii="Times New Roman" w:hAnsi="Times New Roman" w:cs="Times New Roman"/>
          <w:sz w:val="24"/>
          <w:szCs w:val="24"/>
          <w:lang w:val="en-US" w:eastAsia="zh-CN"/>
        </w:rPr>
        <w:t>评价等级判定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建设项目土壤环境影响评价工作等级划分见表</w:t>
      </w:r>
      <w:r>
        <w:rPr>
          <w:rFonts w:hint="default" w:ascii="Times New Roman" w:hAnsi="Times New Roman" w:cs="Times New Roman"/>
          <w:sz w:val="24"/>
          <w:szCs w:val="24"/>
          <w:lang w:val="en-US" w:eastAsia="zh-CN"/>
        </w:rPr>
        <w:t>6.8-2</w:t>
      </w:r>
      <w:r>
        <w:rPr>
          <w:rFonts w:hint="default"/>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color w:val="auto"/>
        </w:rPr>
      </w:pPr>
      <w:r>
        <w:rPr>
          <w:color w:val="auto"/>
        </w:rPr>
        <w:drawing>
          <wp:anchor distT="0" distB="0" distL="114300" distR="114300" simplePos="0" relativeHeight="251782144" behindDoc="1" locked="0" layoutInCell="1" allowOverlap="1">
            <wp:simplePos x="0" y="0"/>
            <wp:positionH relativeFrom="column">
              <wp:posOffset>21590</wp:posOffset>
            </wp:positionH>
            <wp:positionV relativeFrom="paragraph">
              <wp:posOffset>272415</wp:posOffset>
            </wp:positionV>
            <wp:extent cx="5314315" cy="1486535"/>
            <wp:effectExtent l="0" t="0" r="635" b="18415"/>
            <wp:wrapThrough wrapText="bothSides">
              <wp:wrapPolygon>
                <wp:start x="0" y="0"/>
                <wp:lineTo x="0" y="21314"/>
                <wp:lineTo x="21525" y="21314"/>
                <wp:lineTo x="21525" y="0"/>
                <wp:lineTo x="0" y="0"/>
              </wp:wrapPolygon>
            </wp:wrapThrough>
            <wp:docPr id="13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2"/>
                    <pic:cNvPicPr>
                      <a:picLocks noChangeAspect="1"/>
                    </pic:cNvPicPr>
                  </pic:nvPicPr>
                  <pic:blipFill>
                    <a:blip r:embed="rId174"/>
                    <a:stretch>
                      <a:fillRect/>
                    </a:stretch>
                  </pic:blipFill>
                  <pic:spPr>
                    <a:xfrm>
                      <a:off x="0" y="0"/>
                      <a:ext cx="5314315" cy="1486535"/>
                    </a:xfrm>
                    <a:prstGeom prst="rect">
                      <a:avLst/>
                    </a:prstGeom>
                    <a:noFill/>
                    <a:ln>
                      <a:noFill/>
                    </a:ln>
                  </pic:spPr>
                </pic:pic>
              </a:graphicData>
            </a:graphic>
          </wp:anchor>
        </w:drawing>
      </w:r>
      <w:r>
        <w:rPr>
          <w:rFonts w:hint="eastAsia"/>
          <w:b/>
          <w:bCs/>
          <w:sz w:val="24"/>
          <w:szCs w:val="24"/>
          <w:lang w:val="en-US" w:eastAsia="zh-CN"/>
        </w:rPr>
        <w:t>表</w:t>
      </w:r>
      <w:r>
        <w:rPr>
          <w:rFonts w:hint="eastAsia" w:ascii="Times New Roman" w:hAnsi="Times New Roman" w:cs="Times New Roman"/>
          <w:b/>
          <w:bCs/>
          <w:sz w:val="24"/>
          <w:szCs w:val="24"/>
          <w:lang w:val="en-US" w:eastAsia="zh-CN"/>
        </w:rPr>
        <w:t>6.8</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b/>
          <w:bCs/>
          <w:sz w:val="24"/>
          <w:szCs w:val="24"/>
          <w:lang w:val="en-US" w:eastAsia="zh-CN"/>
        </w:rPr>
        <w:t xml:space="preserve"> 污染影响型评价工作等级划分表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综上，本项目属于</w:t>
      </w:r>
      <w:r>
        <w:rPr>
          <w:rFonts w:hint="default" w:ascii="Times New Roman" w:hAnsi="Times New Roman" w:eastAsia="宋体" w:cs="Times New Roman"/>
          <w:sz w:val="24"/>
          <w:szCs w:val="24"/>
          <w:lang w:val="en-US" w:eastAsia="zh-CN"/>
        </w:rPr>
        <w:t>Ⅱ</w:t>
      </w:r>
      <w:r>
        <w:rPr>
          <w:rFonts w:hint="default"/>
          <w:sz w:val="24"/>
          <w:szCs w:val="24"/>
          <w:lang w:val="en-US" w:eastAsia="zh-CN"/>
        </w:rPr>
        <w:t>类项目，土壤环境敏感程度为敏感，占地规模属于</w:t>
      </w:r>
      <w:r>
        <w:rPr>
          <w:rFonts w:hint="eastAsia"/>
          <w:sz w:val="24"/>
          <w:szCs w:val="24"/>
          <w:lang w:val="en-US" w:eastAsia="zh-CN"/>
        </w:rPr>
        <w:t>中</w:t>
      </w:r>
      <w:r>
        <w:rPr>
          <w:rFonts w:hint="default"/>
          <w:sz w:val="24"/>
          <w:szCs w:val="24"/>
          <w:lang w:val="en-US" w:eastAsia="zh-CN"/>
        </w:rPr>
        <w:t>型，本项目土壤环境影响评价工作等级</w:t>
      </w:r>
      <w:r>
        <w:rPr>
          <w:rFonts w:hint="eastAsia"/>
          <w:sz w:val="24"/>
          <w:szCs w:val="24"/>
          <w:lang w:val="en-US" w:eastAsia="zh-CN"/>
        </w:rPr>
        <w:t>二</w:t>
      </w:r>
      <w:r>
        <w:rPr>
          <w:rFonts w:hint="default"/>
          <w:sz w:val="24"/>
          <w:szCs w:val="24"/>
          <w:lang w:val="en-US" w:eastAsia="zh-CN"/>
        </w:rPr>
        <w:t>级。</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480" w:firstLineChars="200"/>
        <w:textAlignment w:val="auto"/>
        <w:outlineLvl w:val="2"/>
        <w:rPr>
          <w:rFonts w:ascii="Times New Roman" w:hAnsi="Times New Roman" w:eastAsia="宋体"/>
          <w:b/>
          <w:bCs/>
          <w:color w:val="auto"/>
          <w:sz w:val="24"/>
          <w:szCs w:val="24"/>
        </w:rPr>
      </w:pP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调查评价范围确定</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eastAsia="宋体"/>
          <w:sz w:val="24"/>
          <w:szCs w:val="24"/>
        </w:rPr>
        <w:t>根据《环境影响评价技术导则 土壤环境（试行）》(HJ964-2018)，评价范围可根据建设项目影响类型、污染途径、气象条件、地形地貌、水文地质条件等确定并说明，或参考表</w:t>
      </w:r>
      <w:r>
        <w:rPr>
          <w:rFonts w:hint="eastAsia" w:ascii="Times New Roman" w:hAnsi="Times New Roman" w:eastAsia="宋体"/>
          <w:sz w:val="24"/>
          <w:szCs w:val="24"/>
          <w:lang w:val="en-US" w:eastAsia="zh-CN"/>
        </w:rPr>
        <w:t>6.8</w:t>
      </w:r>
      <w:r>
        <w:rPr>
          <w:rFonts w:hint="eastAsia" w:ascii="Times New Roman" w:hAnsi="Times New Roman" w:eastAsia="宋体"/>
          <w:sz w:val="24"/>
          <w:szCs w:val="24"/>
        </w:rPr>
        <w:t>-</w:t>
      </w:r>
      <w:r>
        <w:rPr>
          <w:rFonts w:hint="eastAsia" w:ascii="Times New Roman" w:hAnsi="Times New Roman" w:eastAsia="宋体"/>
          <w:sz w:val="24"/>
          <w:szCs w:val="24"/>
          <w:lang w:val="en-US" w:eastAsia="zh-CN"/>
        </w:rPr>
        <w:t>3</w:t>
      </w:r>
      <w:r>
        <w:rPr>
          <w:rFonts w:hint="eastAsia" w:ascii="Times New Roman" w:hAnsi="Times New Roman" w:eastAsia="宋体"/>
          <w:sz w:val="24"/>
          <w:szCs w:val="24"/>
        </w:rPr>
        <w:t>确定，本次评价参考表</w:t>
      </w:r>
      <w:r>
        <w:rPr>
          <w:rFonts w:hint="eastAsia" w:ascii="Times New Roman" w:hAnsi="Times New Roman" w:eastAsia="宋体"/>
          <w:sz w:val="24"/>
          <w:szCs w:val="24"/>
          <w:lang w:val="en-US" w:eastAsia="zh-CN"/>
        </w:rPr>
        <w:t>6.8</w:t>
      </w:r>
      <w:r>
        <w:rPr>
          <w:rFonts w:hint="eastAsia" w:ascii="Times New Roman" w:hAnsi="Times New Roman" w:eastAsia="宋体"/>
          <w:sz w:val="24"/>
          <w:szCs w:val="24"/>
        </w:rPr>
        <w:t>-</w:t>
      </w:r>
      <w:r>
        <w:rPr>
          <w:rFonts w:hint="eastAsia" w:ascii="Times New Roman" w:hAnsi="Times New Roman" w:eastAsia="宋体"/>
          <w:sz w:val="24"/>
          <w:szCs w:val="24"/>
          <w:lang w:val="en-US" w:eastAsia="zh-CN"/>
        </w:rPr>
        <w:t>3</w:t>
      </w:r>
      <w:r>
        <w:rPr>
          <w:rFonts w:hint="eastAsia" w:ascii="Times New Roman" w:hAnsi="Times New Roman" w:eastAsia="宋体"/>
          <w:sz w:val="24"/>
          <w:szCs w:val="24"/>
        </w:rPr>
        <w:t>确定评价范围。</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ascii="Times New Roman" w:hAnsi="Times New Roman" w:eastAsia="宋体"/>
          <w:color w:val="auto"/>
        </w:rPr>
      </w:pPr>
      <w:r>
        <w:rPr>
          <w:rFonts w:hint="eastAsia" w:ascii="Times New Roman" w:hAnsi="Times New Roman" w:eastAsia="宋体"/>
          <w:b/>
          <w:bCs/>
          <w:sz w:val="24"/>
          <w:szCs w:val="24"/>
          <w:lang w:val="en-US" w:eastAsia="zh-CN"/>
        </w:rPr>
        <w:t>表</w:t>
      </w:r>
      <w:r>
        <w:rPr>
          <w:rFonts w:hint="eastAsia" w:ascii="Times New Roman" w:hAnsi="Times New Roman" w:eastAsia="宋体" w:cs="Times New Roman"/>
          <w:b/>
          <w:bCs/>
          <w:sz w:val="24"/>
          <w:szCs w:val="24"/>
          <w:lang w:val="en-US" w:eastAsia="zh-CN"/>
        </w:rPr>
        <w:t>6.8</w:t>
      </w:r>
      <w:r>
        <w:rPr>
          <w:rFonts w:hint="default" w:ascii="Times New Roman" w:hAnsi="Times New Roman" w:eastAsia="宋体" w:cs="Times New Roman"/>
          <w:b/>
          <w:bCs/>
          <w:sz w:val="24"/>
          <w:szCs w:val="24"/>
          <w:lang w:val="en-US" w:eastAsia="zh-CN"/>
        </w:rPr>
        <w:t>-</w:t>
      </w:r>
      <w:r>
        <w:rPr>
          <w:rFonts w:hint="eastAsia" w:ascii="Times New Roman" w:hAnsi="Times New Roman" w:eastAsia="宋体" w:cs="Times New Roman"/>
          <w:b/>
          <w:bCs/>
          <w:sz w:val="24"/>
          <w:szCs w:val="24"/>
          <w:lang w:val="en-US" w:eastAsia="zh-CN"/>
        </w:rPr>
        <w:t>3</w:t>
      </w:r>
      <w:r>
        <w:rPr>
          <w:rFonts w:hint="eastAsia" w:ascii="Times New Roman" w:hAnsi="Times New Roman" w:eastAsia="宋体"/>
          <w:b/>
          <w:bCs/>
          <w:sz w:val="24"/>
          <w:szCs w:val="24"/>
          <w:lang w:val="en-US" w:eastAsia="zh-CN"/>
        </w:rPr>
        <w:t xml:space="preserve">  评价工作等级分级表</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rFonts w:hint="eastAsia" w:ascii="Times New Roman" w:hAnsi="Times New Roman" w:eastAsia="宋体"/>
          <w:b/>
          <w:bCs/>
          <w:color w:val="auto"/>
          <w:sz w:val="30"/>
          <w:szCs w:val="30"/>
          <w:lang w:eastAsia="zh-CN"/>
        </w:rPr>
      </w:pPr>
      <w:r>
        <w:rPr>
          <w:rFonts w:hint="eastAsia" w:ascii="Times New Roman" w:hAnsi="Times New Roman" w:eastAsia="宋体"/>
          <w:b/>
          <w:bCs/>
          <w:color w:val="auto"/>
          <w:sz w:val="30"/>
          <w:szCs w:val="30"/>
          <w:lang w:eastAsia="zh-CN"/>
        </w:rPr>
        <w:drawing>
          <wp:inline distT="0" distB="0" distL="114300" distR="114300">
            <wp:extent cx="5269230" cy="1979930"/>
            <wp:effectExtent l="0" t="0" r="7620" b="1270"/>
            <wp:docPr id="146" name="图片 33" descr="截图2020112008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3" descr="截图20201120084711"/>
                    <pic:cNvPicPr>
                      <a:picLocks noChangeAspect="1"/>
                    </pic:cNvPicPr>
                  </pic:nvPicPr>
                  <pic:blipFill>
                    <a:blip r:embed="rId175"/>
                    <a:stretch>
                      <a:fillRect/>
                    </a:stretch>
                  </pic:blipFill>
                  <pic:spPr>
                    <a:xfrm>
                      <a:off x="0" y="0"/>
                      <a:ext cx="5269230" cy="19799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eastAsia="宋体"/>
          <w:sz w:val="24"/>
          <w:szCs w:val="24"/>
        </w:rPr>
      </w:pPr>
      <w:r>
        <w:rPr>
          <w:rFonts w:hint="eastAsia" w:ascii="Times New Roman" w:hAnsi="Times New Roman"/>
          <w:sz w:val="24"/>
          <w:szCs w:val="24"/>
          <w:lang w:val="en-US" w:eastAsia="zh-CN"/>
        </w:rPr>
        <w:t>本</w:t>
      </w:r>
      <w:r>
        <w:rPr>
          <w:rFonts w:hint="eastAsia" w:ascii="Times New Roman" w:hAnsi="Times New Roman" w:eastAsia="宋体"/>
          <w:sz w:val="24"/>
          <w:szCs w:val="24"/>
        </w:rPr>
        <w:t>项目土壤评价为</w:t>
      </w:r>
      <w:r>
        <w:rPr>
          <w:rFonts w:hint="eastAsia" w:ascii="Times New Roman" w:hAnsi="Times New Roman" w:eastAsia="宋体"/>
          <w:sz w:val="24"/>
          <w:szCs w:val="24"/>
          <w:lang w:val="en-US" w:eastAsia="zh-CN"/>
        </w:rPr>
        <w:t>二</w:t>
      </w:r>
      <w:r>
        <w:rPr>
          <w:rFonts w:hint="eastAsia" w:ascii="Times New Roman" w:hAnsi="Times New Roman" w:eastAsia="宋体"/>
          <w:sz w:val="24"/>
          <w:szCs w:val="24"/>
        </w:rPr>
        <w:t>级评价，影响类型为污染影响型，评价调查范围为</w:t>
      </w:r>
      <w:r>
        <w:rPr>
          <w:rFonts w:hint="eastAsia" w:ascii="Times New Roman" w:hAnsi="Times New Roman"/>
          <w:sz w:val="24"/>
          <w:szCs w:val="24"/>
          <w:lang w:val="en-US" w:eastAsia="zh-CN"/>
        </w:rPr>
        <w:t>本</w:t>
      </w:r>
      <w:r>
        <w:rPr>
          <w:rFonts w:hint="eastAsia" w:ascii="Times New Roman" w:hAnsi="Times New Roman" w:eastAsia="宋体"/>
          <w:sz w:val="24"/>
          <w:szCs w:val="24"/>
        </w:rPr>
        <w:t>项目厂区全部占地（包含现有工程）及厂界外</w:t>
      </w:r>
      <w:r>
        <w:rPr>
          <w:rFonts w:hint="eastAsia" w:ascii="Times New Roman" w:hAnsi="Times New Roman" w:eastAsia="宋体"/>
          <w:sz w:val="24"/>
          <w:szCs w:val="24"/>
          <w:lang w:val="en-US" w:eastAsia="zh-CN"/>
        </w:rPr>
        <w:t>0.2</w:t>
      </w:r>
      <w:r>
        <w:rPr>
          <w:rFonts w:hint="eastAsia" w:ascii="Times New Roman" w:hAnsi="Times New Roman" w:eastAsia="宋体"/>
          <w:sz w:val="24"/>
          <w:szCs w:val="24"/>
        </w:rPr>
        <w:t>km范围。</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rPr>
      </w:pPr>
      <w:r>
        <w:rPr>
          <w:rFonts w:hint="eastAsia" w:ascii="Times New Roman" w:hAnsi="Times New Roman"/>
          <w:b/>
          <w:bCs/>
          <w:color w:val="auto"/>
          <w:sz w:val="28"/>
          <w:szCs w:val="28"/>
          <w:lang w:val="en-US" w:eastAsia="zh-CN"/>
        </w:rPr>
        <w:t>6.8</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2</w:t>
      </w:r>
      <w:r>
        <w:rPr>
          <w:rFonts w:ascii="Times New Roman" w:hAnsi="Times New Roman"/>
          <w:b/>
          <w:bCs/>
          <w:color w:val="auto"/>
          <w:sz w:val="28"/>
          <w:szCs w:val="28"/>
        </w:rPr>
        <w:t xml:space="preserve"> </w:t>
      </w:r>
      <w:r>
        <w:rPr>
          <w:rFonts w:hint="eastAsia" w:ascii="Times New Roman" w:hAnsi="Times New Roman"/>
          <w:b/>
          <w:bCs/>
          <w:color w:val="auto"/>
          <w:sz w:val="28"/>
          <w:szCs w:val="28"/>
        </w:rPr>
        <w:t>土壤环境影响评价</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sz w:val="24"/>
          <w:szCs w:val="24"/>
          <w:lang w:val="en-US" w:eastAsia="zh-CN"/>
        </w:rPr>
      </w:pPr>
      <w:r>
        <w:rPr>
          <w:rFonts w:hint="eastAsia" w:ascii="Times New Roman" w:hAnsi="Times New Roman" w:cs="Times New Roman"/>
          <w:b/>
          <w:bCs/>
          <w:sz w:val="24"/>
          <w:szCs w:val="24"/>
          <w:highlight w:val="none"/>
          <w:lang w:val="en-US" w:eastAsia="zh-CN"/>
        </w:rPr>
        <w:t>6.8</w:t>
      </w:r>
      <w:r>
        <w:rPr>
          <w:rFonts w:hint="default" w:ascii="Times New Roman" w:hAnsi="Times New Roman" w:cs="Times New Roman"/>
          <w:b/>
          <w:bCs/>
          <w:sz w:val="24"/>
          <w:szCs w:val="24"/>
          <w:highlight w:val="none"/>
          <w:lang w:val="en-US" w:eastAsia="zh-CN"/>
        </w:rPr>
        <w:t>.2.1</w:t>
      </w:r>
      <w:r>
        <w:rPr>
          <w:rFonts w:hint="eastAsia" w:ascii="Times New Roman" w:hAnsi="Times New Roman"/>
          <w:b/>
          <w:bCs/>
          <w:sz w:val="24"/>
          <w:szCs w:val="24"/>
          <w:highlight w:val="none"/>
          <w:lang w:val="en-US" w:eastAsia="zh-CN"/>
        </w:rPr>
        <w:t>评价因子选取</w:t>
      </w:r>
    </w:p>
    <w:p>
      <w:pPr>
        <w:pStyle w:val="17"/>
        <w:ind w:left="0" w:leftChars="0" w:firstLine="480" w:firstLineChars="200"/>
        <w:rPr>
          <w:rFonts w:hint="default"/>
          <w:sz w:val="24"/>
          <w:szCs w:val="24"/>
          <w:lang w:val="en-US" w:eastAsia="zh-CN"/>
        </w:rPr>
      </w:pPr>
      <w:r>
        <w:rPr>
          <w:rFonts w:hint="eastAsia"/>
          <w:sz w:val="24"/>
          <w:szCs w:val="24"/>
          <w:lang w:val="en-US" w:eastAsia="zh-CN"/>
        </w:rPr>
        <w:t>本</w:t>
      </w:r>
      <w:r>
        <w:rPr>
          <w:rFonts w:hint="default"/>
          <w:sz w:val="24"/>
          <w:szCs w:val="24"/>
          <w:lang w:val="en-US" w:eastAsia="zh-CN"/>
        </w:rPr>
        <w:t>工程土壤环境污染源及影响因子识别见表</w:t>
      </w:r>
      <w:r>
        <w:rPr>
          <w:rFonts w:hint="default" w:ascii="Times New Roman" w:hAnsi="Times New Roman" w:cs="Times New Roman"/>
          <w:sz w:val="24"/>
          <w:szCs w:val="24"/>
          <w:lang w:val="en-US" w:eastAsia="zh-CN"/>
        </w:rPr>
        <w:t>6.8-4</w:t>
      </w:r>
      <w:r>
        <w:rPr>
          <w:rFonts w:hint="default"/>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color w:val="auto"/>
        </w:rPr>
      </w:pPr>
      <w:r>
        <w:rPr>
          <w:rFonts w:hint="eastAsia"/>
          <w:b/>
          <w:bCs/>
          <w:sz w:val="24"/>
          <w:szCs w:val="24"/>
          <w:lang w:val="en-US" w:eastAsia="zh-CN"/>
        </w:rPr>
        <w:t>表</w:t>
      </w:r>
      <w:r>
        <w:rPr>
          <w:rFonts w:hint="eastAsia" w:ascii="Times New Roman" w:hAnsi="Times New Roman" w:cs="Times New Roman"/>
          <w:b/>
          <w:bCs/>
          <w:sz w:val="24"/>
          <w:szCs w:val="24"/>
          <w:lang w:val="en-US" w:eastAsia="zh-CN"/>
        </w:rPr>
        <w:t>6.8</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eastAsia"/>
          <w:b/>
          <w:bCs/>
          <w:sz w:val="24"/>
          <w:szCs w:val="24"/>
          <w:lang w:val="en-US" w:eastAsia="zh-CN"/>
        </w:rPr>
        <w:t xml:space="preserve">  本项目土壤环境影响源及影响因子识别表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2"/>
        <w:gridCol w:w="1696"/>
        <w:gridCol w:w="1329"/>
        <w:gridCol w:w="1887"/>
        <w:gridCol w:w="1388"/>
        <w:gridCol w:w="1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14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污染源</w:t>
            </w:r>
          </w:p>
        </w:tc>
        <w:tc>
          <w:tcPr>
            <w:tcW w:w="1696"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工艺流程/节点</w:t>
            </w:r>
          </w:p>
        </w:tc>
        <w:tc>
          <w:tcPr>
            <w:tcW w:w="13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污染途径</w:t>
            </w:r>
          </w:p>
        </w:tc>
        <w:tc>
          <w:tcPr>
            <w:tcW w:w="188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全部污染物指标a</w:t>
            </w:r>
          </w:p>
        </w:tc>
        <w:tc>
          <w:tcPr>
            <w:tcW w:w="138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特征因子</w:t>
            </w:r>
          </w:p>
        </w:tc>
        <w:tc>
          <w:tcPr>
            <w:tcW w:w="1074"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备注b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2" w:hRule="atLeast"/>
          <w:jc w:val="center"/>
        </w:trPr>
        <w:tc>
          <w:tcPr>
            <w:tcW w:w="1142"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RTO系统</w:t>
            </w:r>
          </w:p>
        </w:tc>
        <w:tc>
          <w:tcPr>
            <w:tcW w:w="1696"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生产流程</w:t>
            </w:r>
          </w:p>
        </w:tc>
        <w:tc>
          <w:tcPr>
            <w:tcW w:w="13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大气沉降</w:t>
            </w:r>
          </w:p>
        </w:tc>
        <w:tc>
          <w:tcPr>
            <w:tcW w:w="188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SO</w:t>
            </w:r>
            <w:r>
              <w:rPr>
                <w:rFonts w:hint="eastAsia" w:ascii="Times New Roman" w:hAnsi="Times New Roman" w:eastAsia="宋体"/>
                <w:vertAlign w:val="subscript"/>
                <w:lang w:val="en-US" w:eastAsia="zh-CN"/>
              </w:rPr>
              <w:t>2</w:t>
            </w:r>
            <w:r>
              <w:rPr>
                <w:rFonts w:hint="eastAsia" w:ascii="Times New Roman" w:hAnsi="Times New Roman" w:eastAsia="宋体"/>
                <w:vertAlign w:val="baseline"/>
                <w:lang w:val="en-US" w:eastAsia="zh-CN"/>
              </w:rPr>
              <w:t>、氮氧化物、颗粒物、VOCs</w:t>
            </w:r>
          </w:p>
        </w:tc>
        <w:tc>
          <w:tcPr>
            <w:tcW w:w="138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VOCs</w:t>
            </w:r>
          </w:p>
        </w:tc>
        <w:tc>
          <w:tcPr>
            <w:tcW w:w="1074"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14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1696"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地面漫流</w:t>
            </w:r>
          </w:p>
        </w:tc>
        <w:tc>
          <w:tcPr>
            <w:tcW w:w="1887"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388"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074"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4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1696"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垂直入渗</w:t>
            </w:r>
          </w:p>
        </w:tc>
        <w:tc>
          <w:tcPr>
            <w:tcW w:w="1887"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388"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074"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14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1696"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其他</w:t>
            </w:r>
          </w:p>
        </w:tc>
        <w:tc>
          <w:tcPr>
            <w:tcW w:w="1887"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388"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074"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142"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碱回收系统</w:t>
            </w:r>
          </w:p>
        </w:tc>
        <w:tc>
          <w:tcPr>
            <w:tcW w:w="1696" w:type="dxa"/>
            <w:vMerge w:val="restart"/>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原料储存</w:t>
            </w:r>
          </w:p>
        </w:tc>
        <w:tc>
          <w:tcPr>
            <w:tcW w:w="13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大气沉降</w:t>
            </w:r>
          </w:p>
        </w:tc>
        <w:tc>
          <w:tcPr>
            <w:tcW w:w="188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颗粒物</w:t>
            </w:r>
          </w:p>
        </w:tc>
        <w:tc>
          <w:tcPr>
            <w:tcW w:w="1388"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074"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14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1696"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地面漫流</w:t>
            </w:r>
          </w:p>
        </w:tc>
        <w:tc>
          <w:tcPr>
            <w:tcW w:w="1887"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388"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074"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14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1696"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垂直入渗</w:t>
            </w:r>
          </w:p>
        </w:tc>
        <w:tc>
          <w:tcPr>
            <w:tcW w:w="1887"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388"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074"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142"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1696" w:type="dxa"/>
            <w:vMerge w:val="continue"/>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p>
        </w:tc>
        <w:tc>
          <w:tcPr>
            <w:tcW w:w="1329"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其他</w:t>
            </w:r>
          </w:p>
        </w:tc>
        <w:tc>
          <w:tcPr>
            <w:tcW w:w="1887"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388"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c>
          <w:tcPr>
            <w:tcW w:w="1074" w:type="dxa"/>
            <w:noWrap w:val="0"/>
            <w:vAlign w:val="center"/>
          </w:tcPr>
          <w:p>
            <w:pPr>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eastAsia" w:ascii="Times New Roman" w:hAnsi="Times New Roman" w:eastAsia="宋体"/>
                <w:vertAlign w:val="baseline"/>
                <w:lang w:val="en-US" w:eastAsia="zh-CN"/>
              </w:rPr>
            </w:pPr>
            <w:r>
              <w:rPr>
                <w:rFonts w:hint="eastAsia" w:ascii="Times New Roman" w:hAnsi="Times New Roman" w:eastAsia="宋体"/>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2" w:hRule="atLeast"/>
          <w:jc w:val="center"/>
        </w:trPr>
        <w:tc>
          <w:tcPr>
            <w:tcW w:w="8516" w:type="dxa"/>
            <w:gridSpan w:val="6"/>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both"/>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 xml:space="preserve">a 根据工程分析结果填写。 </w:t>
            </w:r>
          </w:p>
          <w:p>
            <w:pPr>
              <w:pStyle w:val="17"/>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both"/>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b 应描述污染源特征，如连续、间断、正常、事故等；涉及大气沉降途径的，应识别建设项目周边的土壤环境敏感目标。</w:t>
            </w:r>
          </w:p>
        </w:tc>
      </w:tr>
    </w:tbl>
    <w:p>
      <w:pPr>
        <w:pStyle w:val="17"/>
        <w:keepNext w:val="0"/>
        <w:keepLines w:val="0"/>
        <w:pageBreakBefore w:val="0"/>
        <w:widowControl w:val="0"/>
        <w:kinsoku/>
        <w:wordWrap/>
        <w:overflowPunct/>
        <w:topLinePunct w:val="0"/>
        <w:autoSpaceDE/>
        <w:autoSpaceDN/>
        <w:bidi w:val="0"/>
        <w:adjustRightInd/>
        <w:snapToGrid w:val="0"/>
        <w:spacing w:beforeLines="50" w:after="0" w:line="360" w:lineRule="auto"/>
        <w:ind w:left="0" w:leftChars="0" w:firstLine="480" w:firstLineChars="200"/>
        <w:textAlignment w:val="auto"/>
        <w:rPr>
          <w:rFonts w:hint="default"/>
          <w:sz w:val="24"/>
          <w:szCs w:val="24"/>
          <w:lang w:val="en-US" w:eastAsia="zh-CN"/>
        </w:rPr>
      </w:pPr>
      <w:r>
        <w:rPr>
          <w:rFonts w:hint="default"/>
          <w:sz w:val="24"/>
          <w:szCs w:val="24"/>
          <w:lang w:val="en-US" w:eastAsia="zh-CN"/>
        </w:rPr>
        <w:t>由表</w:t>
      </w:r>
      <w:r>
        <w:rPr>
          <w:rFonts w:hint="default" w:ascii="Times New Roman" w:hAnsi="Times New Roman" w:cs="Times New Roman"/>
          <w:sz w:val="24"/>
          <w:szCs w:val="24"/>
          <w:lang w:val="en-US" w:eastAsia="zh-CN"/>
        </w:rPr>
        <w:t>6.8-4</w:t>
      </w:r>
      <w:r>
        <w:rPr>
          <w:rFonts w:hint="default"/>
          <w:sz w:val="24"/>
          <w:szCs w:val="24"/>
          <w:lang w:val="en-US" w:eastAsia="zh-CN"/>
        </w:rPr>
        <w:t>可知，正常工况下，</w:t>
      </w:r>
      <w:r>
        <w:rPr>
          <w:rFonts w:hint="eastAsia"/>
          <w:sz w:val="24"/>
          <w:szCs w:val="24"/>
          <w:lang w:val="en-US" w:eastAsia="zh-CN"/>
        </w:rPr>
        <w:t>本</w:t>
      </w:r>
      <w:r>
        <w:rPr>
          <w:rFonts w:hint="default"/>
          <w:sz w:val="24"/>
          <w:szCs w:val="24"/>
          <w:lang w:val="en-US" w:eastAsia="zh-CN"/>
        </w:rPr>
        <w:t>项目污染物主要为涉及大气沉降污染物，因此本次评价主要考虑</w:t>
      </w:r>
      <w:r>
        <w:rPr>
          <w:rFonts w:hint="default" w:ascii="Times New Roman" w:hAnsi="Times New Roman" w:cs="Times New Roman"/>
          <w:sz w:val="24"/>
          <w:szCs w:val="24"/>
          <w:lang w:val="en-US" w:eastAsia="zh-CN"/>
        </w:rPr>
        <w:t>VOCs</w:t>
      </w:r>
      <w:r>
        <w:rPr>
          <w:rFonts w:hint="default"/>
          <w:sz w:val="24"/>
          <w:szCs w:val="24"/>
          <w:lang w:val="en-US" w:eastAsia="zh-CN"/>
        </w:rPr>
        <w:t>大气沉降对土壤的影响，选取</w:t>
      </w:r>
      <w:r>
        <w:rPr>
          <w:rFonts w:hint="default" w:ascii="Times New Roman" w:hAnsi="Times New Roman" w:cs="Times New Roman"/>
          <w:sz w:val="24"/>
          <w:szCs w:val="24"/>
          <w:lang w:val="en-US" w:eastAsia="zh-CN"/>
        </w:rPr>
        <w:t>VOCs</w:t>
      </w:r>
      <w:r>
        <w:rPr>
          <w:rFonts w:hint="default"/>
          <w:sz w:val="24"/>
          <w:szCs w:val="24"/>
          <w:lang w:val="en-US" w:eastAsia="zh-CN"/>
        </w:rPr>
        <w:t>作为预测评价因子。</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sz w:val="24"/>
          <w:szCs w:val="24"/>
          <w:lang w:val="en-US" w:eastAsia="zh-CN"/>
        </w:rPr>
      </w:pPr>
      <w:r>
        <w:rPr>
          <w:rFonts w:hint="eastAsia" w:ascii="Times New Roman" w:hAnsi="Times New Roman" w:cs="Times New Roman"/>
          <w:b/>
          <w:bCs/>
          <w:sz w:val="24"/>
          <w:szCs w:val="24"/>
          <w:highlight w:val="none"/>
          <w:lang w:val="en-US" w:eastAsia="zh-CN"/>
        </w:rPr>
        <w:t>6.8</w:t>
      </w:r>
      <w:r>
        <w:rPr>
          <w:rFonts w:hint="default" w:ascii="Times New Roman" w:hAnsi="Times New Roman" w:cs="Times New Roman"/>
          <w:b/>
          <w:bCs/>
          <w:sz w:val="24"/>
          <w:szCs w:val="24"/>
          <w:highlight w:val="none"/>
          <w:lang w:val="en-US" w:eastAsia="zh-CN"/>
        </w:rPr>
        <w:t>.2.</w:t>
      </w:r>
      <w:r>
        <w:rPr>
          <w:rFonts w:hint="eastAsia" w:ascii="Times New Roman" w:hAnsi="Times New Roman" w:cs="Times New Roman"/>
          <w:b/>
          <w:bCs/>
          <w:sz w:val="24"/>
          <w:szCs w:val="24"/>
          <w:highlight w:val="none"/>
          <w:lang w:val="en-US" w:eastAsia="zh-CN"/>
        </w:rPr>
        <w:t>2</w:t>
      </w:r>
      <w:r>
        <w:rPr>
          <w:rFonts w:hint="eastAsia" w:ascii="Times New Roman" w:hAnsi="Times New Roman"/>
          <w:b/>
          <w:bCs/>
          <w:sz w:val="24"/>
          <w:szCs w:val="24"/>
          <w:highlight w:val="none"/>
          <w:lang w:val="en-US" w:eastAsia="zh-CN"/>
        </w:rPr>
        <w:t>预测方法及参数选取</w:t>
      </w:r>
    </w:p>
    <w:p>
      <w:pPr>
        <w:pStyle w:val="17"/>
        <w:keepNext w:val="0"/>
        <w:keepLines w:val="0"/>
        <w:pageBreakBefore w:val="0"/>
        <w:widowControl w:val="0"/>
        <w:numPr>
          <w:ilvl w:val="0"/>
          <w:numId w:val="6"/>
        </w:numPr>
        <w:kinsoku/>
        <w:wordWrap/>
        <w:overflowPunct/>
        <w:topLinePunct w:val="0"/>
        <w:autoSpaceDE/>
        <w:autoSpaceDN/>
        <w:bidi w:val="0"/>
        <w:adjustRightInd/>
        <w:snapToGrid w:val="0"/>
        <w:spacing w:after="0" w:line="360" w:lineRule="auto"/>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预测方法</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default" w:ascii="Times New Roman" w:hAnsi="Times New Roman"/>
          <w:sz w:val="24"/>
          <w:szCs w:val="24"/>
          <w:lang w:val="en-US" w:eastAsia="zh-CN"/>
        </w:rPr>
        <w:t>本次评价预测方法选取《环境影响评价技术导则 土壤环境（试行）》(HJ964-2018)附录 E方法一进行预测，采用导则附录E中a和b进行计算。</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 xml:space="preserve">a、单位质量土壤中物质增量计算公式： </w:t>
      </w:r>
    </w:p>
    <w:p>
      <w:pPr>
        <w:pStyle w:val="2"/>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hint="default" w:ascii="Times New Roman" w:hAnsi="Times New Roman"/>
          <w:position w:val="-30"/>
          <w:sz w:val="24"/>
          <w:szCs w:val="24"/>
          <w:lang w:val="en-US" w:eastAsia="zh-CN"/>
        </w:rPr>
        <w:object>
          <v:shape id="_x0000_i1048" o:spt="75" type="#_x0000_t75" style="height:34pt;width:99pt;" o:ole="t" filled="f" o:preferrelative="t" stroked="f" coordsize="21600,21600">
            <v:path/>
            <v:fill on="f" focussize="0,0"/>
            <v:stroke on="f"/>
            <v:imagedata r:id="rId177" o:title=""/>
            <o:lock v:ext="edit" aspectratio="t"/>
            <w10:wrap type="none"/>
            <w10:anchorlock/>
          </v:shape>
          <o:OLEObject Type="Embed" ProgID="Equation.KSEE3" ShapeID="_x0000_i1048" DrawAspect="Content" ObjectID="_1468075748" r:id="rId176">
            <o:LockedField>false</o:LockedField>
          </o:OLEObject>
        </w:object>
      </w:r>
    </w:p>
    <w:p>
      <w:pPr>
        <w:pStyle w:val="2"/>
        <w:keepNext w:val="0"/>
        <w:keepLines w:val="0"/>
        <w:pageBreakBefore w:val="0"/>
        <w:widowControl w:val="0"/>
        <w:kinsoku/>
        <w:wordWrap/>
        <w:overflowPunct/>
        <w:topLinePunct w:val="0"/>
        <w:autoSpaceDE/>
        <w:autoSpaceDN/>
        <w:bidi w:val="0"/>
        <w:adjustRightInd/>
        <w:snapToGrid w:val="0"/>
        <w:spacing w:line="360" w:lineRule="auto"/>
        <w:ind w:left="1679" w:leftChars="228" w:hanging="1200" w:hangingChars="5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 xml:space="preserve">式中：ΔS—单位质量表层土壤中某种物质的增量，g/kg；表层土壤中游离酸或游离碱浓度增量，mmol/kg； </w:t>
      </w:r>
    </w:p>
    <w:p>
      <w:pPr>
        <w:pStyle w:val="2"/>
        <w:keepNext w:val="0"/>
        <w:keepLines w:val="0"/>
        <w:pageBreakBefore w:val="0"/>
        <w:widowControl w:val="0"/>
        <w:kinsoku/>
        <w:wordWrap/>
        <w:overflowPunct/>
        <w:topLinePunct w:val="0"/>
        <w:autoSpaceDE/>
        <w:autoSpaceDN/>
        <w:bidi w:val="0"/>
        <w:adjustRightInd/>
        <w:snapToGrid w:val="0"/>
        <w:spacing w:line="360" w:lineRule="auto"/>
        <w:ind w:left="1677" w:leftChars="570" w:hanging="480" w:hanging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I</w:t>
      </w:r>
      <w:r>
        <w:rPr>
          <w:rFonts w:hint="default" w:ascii="Times New Roman" w:hAnsi="Times New Roman"/>
          <w:sz w:val="24"/>
          <w:szCs w:val="24"/>
          <w:vertAlign w:val="subscript"/>
          <w:lang w:val="en-US" w:eastAsia="zh-CN"/>
        </w:rPr>
        <w:t>S</w:t>
      </w:r>
      <w:r>
        <w:rPr>
          <w:rFonts w:hint="default" w:ascii="Times New Roman" w:hAnsi="Times New Roman"/>
          <w:sz w:val="24"/>
          <w:szCs w:val="24"/>
          <w:lang w:val="en-US" w:eastAsia="zh-CN"/>
        </w:rPr>
        <w:t>—预测评价范围内单位年份表层土壤中某种物质的输入量，g； 预测评价范围内单位年份表层土壤中游离酸、游离碱输入量，mmol；</w:t>
      </w:r>
    </w:p>
    <w:p>
      <w:pPr>
        <w:pStyle w:val="2"/>
        <w:keepNext w:val="0"/>
        <w:keepLines w:val="0"/>
        <w:pageBreakBefore w:val="0"/>
        <w:widowControl w:val="0"/>
        <w:kinsoku/>
        <w:wordWrap/>
        <w:overflowPunct/>
        <w:topLinePunct w:val="0"/>
        <w:autoSpaceDE/>
        <w:autoSpaceDN/>
        <w:bidi w:val="0"/>
        <w:adjustRightInd/>
        <w:snapToGrid w:val="0"/>
        <w:spacing w:line="360" w:lineRule="auto"/>
        <w:ind w:left="1677" w:leftChars="570" w:hanging="480" w:hanging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L</w:t>
      </w:r>
      <w:r>
        <w:rPr>
          <w:rFonts w:hint="default" w:ascii="Times New Roman" w:hAnsi="Times New Roman"/>
          <w:sz w:val="24"/>
          <w:szCs w:val="24"/>
          <w:vertAlign w:val="subscript"/>
          <w:lang w:val="en-US" w:eastAsia="zh-CN"/>
        </w:rPr>
        <w:t>S</w:t>
      </w:r>
      <w:r>
        <w:rPr>
          <w:rFonts w:hint="default" w:ascii="Times New Roman" w:hAnsi="Times New Roman"/>
          <w:sz w:val="24"/>
          <w:szCs w:val="24"/>
          <w:lang w:val="en-US" w:eastAsia="zh-CN"/>
        </w:rPr>
        <w:t xml:space="preserve">—预测评价范围内单位年份表层土壤中某种物质经淋溶排出的量，g；预测评价范围内单位年份表层土壤中经淋溶排出的游离酸、游离碱的量，mmol； </w:t>
      </w:r>
    </w:p>
    <w:p>
      <w:pPr>
        <w:pStyle w:val="2"/>
        <w:keepNext w:val="0"/>
        <w:keepLines w:val="0"/>
        <w:pageBreakBefore w:val="0"/>
        <w:widowControl w:val="0"/>
        <w:kinsoku/>
        <w:wordWrap/>
        <w:overflowPunct/>
        <w:topLinePunct w:val="0"/>
        <w:autoSpaceDE/>
        <w:autoSpaceDN/>
        <w:bidi w:val="0"/>
        <w:adjustRightInd/>
        <w:snapToGrid w:val="0"/>
        <w:spacing w:line="360" w:lineRule="auto"/>
        <w:ind w:left="1677" w:leftChars="570" w:hanging="480" w:hanging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R</w:t>
      </w:r>
      <w:r>
        <w:rPr>
          <w:rFonts w:hint="default" w:ascii="Times New Roman" w:hAnsi="Times New Roman"/>
          <w:sz w:val="24"/>
          <w:szCs w:val="24"/>
          <w:vertAlign w:val="subscript"/>
          <w:lang w:val="en-US" w:eastAsia="zh-CN"/>
        </w:rPr>
        <w:t>S</w:t>
      </w:r>
      <w:r>
        <w:rPr>
          <w:rFonts w:hint="default" w:ascii="Times New Roman" w:hAnsi="Times New Roman"/>
          <w:sz w:val="24"/>
          <w:szCs w:val="24"/>
          <w:lang w:val="en-US" w:eastAsia="zh-CN"/>
        </w:rPr>
        <w:t xml:space="preserve">—预测评价范围内单位年份表层土壤中某种物质经径流排出的量，g；预测评价范围内单位年份表层土壤中经径流排出的游离酸、游离碱的量，mmol； </w:t>
      </w:r>
    </w:p>
    <w:p>
      <w:pPr>
        <w:pStyle w:val="2"/>
        <w:keepNext w:val="0"/>
        <w:keepLines w:val="0"/>
        <w:pageBreakBefore w:val="0"/>
        <w:widowControl w:val="0"/>
        <w:kinsoku/>
        <w:wordWrap/>
        <w:overflowPunct/>
        <w:topLinePunct w:val="0"/>
        <w:autoSpaceDE/>
        <w:autoSpaceDN/>
        <w:bidi w:val="0"/>
        <w:adjustRightInd/>
        <w:snapToGrid w:val="0"/>
        <w:spacing w:line="360" w:lineRule="auto"/>
        <w:ind w:firstLine="1200" w:firstLineChars="5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ρ</w:t>
      </w:r>
      <w:r>
        <w:rPr>
          <w:rFonts w:hint="default" w:ascii="Times New Roman" w:hAnsi="Times New Roman"/>
          <w:sz w:val="24"/>
          <w:szCs w:val="24"/>
          <w:vertAlign w:val="subscript"/>
          <w:lang w:val="en-US" w:eastAsia="zh-CN"/>
        </w:rPr>
        <w:t>b</w:t>
      </w:r>
      <w:r>
        <w:rPr>
          <w:rFonts w:hint="default" w:ascii="Times New Roman" w:hAnsi="Times New Roman"/>
          <w:sz w:val="24"/>
          <w:szCs w:val="24"/>
          <w:lang w:val="en-US" w:eastAsia="zh-CN"/>
        </w:rPr>
        <w:t>—表层土壤容重，kg/m</w:t>
      </w:r>
      <w:r>
        <w:rPr>
          <w:rFonts w:hint="default" w:ascii="Times New Roman" w:hAnsi="Times New Roman"/>
          <w:sz w:val="24"/>
          <w:szCs w:val="24"/>
          <w:vertAlign w:val="superscript"/>
          <w:lang w:val="en-US" w:eastAsia="zh-CN"/>
        </w:rPr>
        <w:t>3</w:t>
      </w:r>
      <w:r>
        <w:rPr>
          <w:rFonts w:hint="default" w:ascii="Times New Roman" w:hAnsi="Times New Roman"/>
          <w:sz w:val="24"/>
          <w:szCs w:val="24"/>
          <w:lang w:val="en-US" w:eastAsia="zh-CN"/>
        </w:rPr>
        <w:t xml:space="preserve">； </w:t>
      </w:r>
    </w:p>
    <w:p>
      <w:pPr>
        <w:pStyle w:val="2"/>
        <w:keepNext w:val="0"/>
        <w:keepLines w:val="0"/>
        <w:pageBreakBefore w:val="0"/>
        <w:widowControl w:val="0"/>
        <w:kinsoku/>
        <w:wordWrap/>
        <w:overflowPunct/>
        <w:topLinePunct w:val="0"/>
        <w:autoSpaceDE/>
        <w:autoSpaceDN/>
        <w:bidi w:val="0"/>
        <w:adjustRightInd/>
        <w:snapToGrid w:val="0"/>
        <w:spacing w:line="360" w:lineRule="auto"/>
        <w:ind w:firstLine="1200" w:firstLineChars="5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A—预测评价范围，m</w:t>
      </w:r>
      <w:r>
        <w:rPr>
          <w:rFonts w:hint="default" w:ascii="Times New Roman" w:hAnsi="Times New Roman"/>
          <w:sz w:val="24"/>
          <w:szCs w:val="24"/>
          <w:vertAlign w:val="superscript"/>
          <w:lang w:val="en-US" w:eastAsia="zh-CN"/>
        </w:rPr>
        <w:t>2</w:t>
      </w:r>
      <w:r>
        <w:rPr>
          <w:rFonts w:hint="default" w:ascii="Times New Roman" w:hAnsi="Times New Roman"/>
          <w:sz w:val="24"/>
          <w:szCs w:val="24"/>
          <w:lang w:val="en-US" w:eastAsia="zh-CN"/>
        </w:rPr>
        <w:t xml:space="preserve">； </w:t>
      </w:r>
    </w:p>
    <w:p>
      <w:pPr>
        <w:pStyle w:val="2"/>
        <w:keepNext w:val="0"/>
        <w:keepLines w:val="0"/>
        <w:pageBreakBefore w:val="0"/>
        <w:widowControl w:val="0"/>
        <w:kinsoku/>
        <w:wordWrap/>
        <w:overflowPunct/>
        <w:topLinePunct w:val="0"/>
        <w:autoSpaceDE/>
        <w:autoSpaceDN/>
        <w:bidi w:val="0"/>
        <w:adjustRightInd/>
        <w:snapToGrid w:val="0"/>
        <w:spacing w:line="360" w:lineRule="auto"/>
        <w:ind w:firstLine="1200" w:firstLineChars="5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 xml:space="preserve">D—表层土壤深度，一般取0.2m，可根据实际情况适当调整； </w:t>
      </w:r>
    </w:p>
    <w:p>
      <w:pPr>
        <w:pStyle w:val="2"/>
        <w:keepNext w:val="0"/>
        <w:keepLines w:val="0"/>
        <w:pageBreakBefore w:val="0"/>
        <w:widowControl w:val="0"/>
        <w:kinsoku/>
        <w:wordWrap/>
        <w:overflowPunct/>
        <w:topLinePunct w:val="0"/>
        <w:autoSpaceDE/>
        <w:autoSpaceDN/>
        <w:bidi w:val="0"/>
        <w:adjustRightInd/>
        <w:snapToGrid w:val="0"/>
        <w:spacing w:line="360" w:lineRule="auto"/>
        <w:ind w:firstLine="1200" w:firstLineChars="5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 xml:space="preserve">n—持续年份，a。 </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 xml:space="preserve">b、单位质量土壤中物质的预测值可根据其增量叠加现状值计算公式： </w:t>
      </w:r>
    </w:p>
    <w:p>
      <w:pPr>
        <w:pStyle w:val="2"/>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hint="default" w:ascii="Times New Roman" w:hAnsi="Times New Roman"/>
          <w:position w:val="-12"/>
          <w:sz w:val="24"/>
          <w:szCs w:val="24"/>
          <w:lang w:val="en-US" w:eastAsia="zh-CN"/>
        </w:rPr>
        <w:object>
          <v:shape id="_x0000_i1049" o:spt="75" type="#_x0000_t75" style="height:18pt;width:60pt;" o:ole="t" filled="f" o:preferrelative="t" stroked="f" coordsize="21600,21600">
            <v:path/>
            <v:fill on="f" focussize="0,0"/>
            <v:stroke on="f"/>
            <v:imagedata r:id="rId179" o:title=""/>
            <o:lock v:ext="edit" aspectratio="t"/>
            <w10:wrap type="none"/>
            <w10:anchorlock/>
          </v:shape>
          <o:OLEObject Type="Embed" ProgID="Equation.KSEE3" ShapeID="_x0000_i1049" DrawAspect="Content" ObjectID="_1468075749" r:id="rId178">
            <o:LockedField>false</o:LockedField>
          </o:OLEObject>
        </w:objec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 xml:space="preserve">式中：Sb—单位质量土壤中某种物质的现状值，g/kg； </w:t>
      </w:r>
    </w:p>
    <w:p>
      <w:pPr>
        <w:pStyle w:val="2"/>
        <w:keepNext w:val="0"/>
        <w:keepLines w:val="0"/>
        <w:pageBreakBefore w:val="0"/>
        <w:widowControl w:val="0"/>
        <w:kinsoku/>
        <w:wordWrap/>
        <w:overflowPunct/>
        <w:topLinePunct w:val="0"/>
        <w:autoSpaceDE/>
        <w:autoSpaceDN/>
        <w:bidi w:val="0"/>
        <w:adjustRightInd/>
        <w:snapToGrid w:val="0"/>
        <w:spacing w:line="360" w:lineRule="auto"/>
        <w:ind w:firstLine="1200" w:firstLineChars="5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S—单位质量土壤中某种物质的预测值，g/kg。</w:t>
      </w:r>
    </w:p>
    <w:p>
      <w:pPr>
        <w:pStyle w:val="17"/>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auto"/>
        <w:rPr>
          <w:rFonts w:hint="eastAsia" w:ascii="Times New Roman" w:hAnsi="Times New Roman"/>
          <w:sz w:val="24"/>
          <w:szCs w:val="24"/>
          <w:highlight w:val="none"/>
          <w:lang w:val="en-US" w:eastAsia="zh-CN"/>
        </w:rPr>
      </w:pPr>
      <w:r>
        <w:rPr>
          <w:rFonts w:hint="eastAsia"/>
          <w:sz w:val="24"/>
          <w:szCs w:val="24"/>
          <w:highlight w:val="none"/>
          <w:lang w:val="en-US" w:eastAsia="zh-CN"/>
        </w:rPr>
        <w:t>（</w:t>
      </w:r>
      <w:r>
        <w:rPr>
          <w:rFonts w:hint="default" w:ascii="Times New Roman" w:hAnsi="Times New Roman" w:cs="Times New Roman"/>
          <w:sz w:val="24"/>
          <w:szCs w:val="24"/>
          <w:highlight w:val="none"/>
          <w:lang w:val="en-US" w:eastAsia="zh-CN"/>
        </w:rPr>
        <w:t>2</w:t>
      </w:r>
      <w:r>
        <w:rPr>
          <w:rFonts w:hint="eastAsia"/>
          <w:sz w:val="24"/>
          <w:szCs w:val="24"/>
          <w:highlight w:val="none"/>
          <w:lang w:val="en-US" w:eastAsia="zh-CN"/>
        </w:rPr>
        <w:t>）参数确定</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I</w:t>
      </w:r>
      <w:r>
        <w:rPr>
          <w:rFonts w:hint="default" w:ascii="Times New Roman" w:hAnsi="Times New Roman"/>
          <w:sz w:val="24"/>
          <w:szCs w:val="24"/>
          <w:vertAlign w:val="subscript"/>
          <w:lang w:val="en-US" w:eastAsia="zh-CN"/>
        </w:rPr>
        <w:t>S</w:t>
      </w:r>
      <w:r>
        <w:rPr>
          <w:rFonts w:hint="default" w:ascii="Times New Roman" w:hAnsi="Times New Roman"/>
          <w:sz w:val="24"/>
          <w:szCs w:val="24"/>
          <w:lang w:val="en-US" w:eastAsia="zh-CN"/>
        </w:rPr>
        <w:t>：根据工程分析分册，</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工程年排放</w:t>
      </w:r>
      <w:r>
        <w:rPr>
          <w:rFonts w:hint="eastAsia" w:ascii="Times New Roman" w:hAnsi="Times New Roman"/>
          <w:sz w:val="24"/>
          <w:szCs w:val="24"/>
          <w:lang w:val="en-US" w:eastAsia="zh-CN"/>
        </w:rPr>
        <w:t>VOCs为</w:t>
      </w:r>
      <w:r>
        <w:rPr>
          <w:rFonts w:hint="eastAsia" w:ascii="Times New Roman" w:hAnsi="Times New Roman"/>
          <w:sz w:val="24"/>
          <w:szCs w:val="24"/>
          <w:highlight w:val="none"/>
          <w:lang w:val="en-US" w:eastAsia="zh-CN"/>
        </w:rPr>
        <w:t>34.14kg</w:t>
      </w:r>
      <w:r>
        <w:rPr>
          <w:rFonts w:hint="default" w:ascii="Times New Roman" w:hAnsi="Times New Roman"/>
          <w:sz w:val="24"/>
          <w:szCs w:val="24"/>
          <w:highlight w:val="none"/>
          <w:lang w:val="en-US" w:eastAsia="zh-CN"/>
        </w:rPr>
        <w:t>/a</w:t>
      </w:r>
      <w:r>
        <w:rPr>
          <w:rFonts w:hint="default" w:ascii="Times New Roman" w:hAnsi="Times New Roman"/>
          <w:sz w:val="24"/>
          <w:szCs w:val="24"/>
          <w:lang w:val="en-US" w:eastAsia="zh-CN"/>
        </w:rPr>
        <w:t>，按照</w:t>
      </w:r>
      <w:r>
        <w:rPr>
          <w:rFonts w:hint="eastAsia" w:ascii="Times New Roman" w:hAnsi="Times New Roman"/>
          <w:sz w:val="24"/>
          <w:szCs w:val="24"/>
          <w:lang w:val="en-US" w:eastAsia="zh-CN"/>
        </w:rPr>
        <w:t>VOCs</w:t>
      </w:r>
      <w:r>
        <w:rPr>
          <w:rFonts w:hint="default" w:ascii="Times New Roman" w:hAnsi="Times New Roman"/>
          <w:sz w:val="24"/>
          <w:szCs w:val="24"/>
          <w:highlight w:val="none"/>
          <w:lang w:val="en-US" w:eastAsia="zh-CN"/>
        </w:rPr>
        <w:t>10%大气沉降考虑，因此I</w:t>
      </w:r>
      <w:r>
        <w:rPr>
          <w:rFonts w:hint="default" w:ascii="Times New Roman" w:hAnsi="Times New Roman"/>
          <w:sz w:val="24"/>
          <w:szCs w:val="24"/>
          <w:highlight w:val="none"/>
          <w:vertAlign w:val="subscript"/>
          <w:lang w:val="en-US" w:eastAsia="zh-CN"/>
        </w:rPr>
        <w:t>S</w:t>
      </w:r>
      <w:r>
        <w:rPr>
          <w:rFonts w:hint="default" w:ascii="Times New Roman" w:hAnsi="Times New Roman"/>
          <w:sz w:val="24"/>
          <w:szCs w:val="24"/>
          <w:highlight w:val="none"/>
          <w:lang w:val="en-US" w:eastAsia="zh-CN"/>
        </w:rPr>
        <w:t>取值为</w:t>
      </w:r>
      <w:r>
        <w:rPr>
          <w:rFonts w:hint="eastAsia" w:ascii="Times New Roman" w:hAnsi="Times New Roman"/>
          <w:sz w:val="24"/>
          <w:szCs w:val="24"/>
          <w:highlight w:val="none"/>
          <w:lang w:val="en-US" w:eastAsia="zh-CN"/>
        </w:rPr>
        <w:t>3414</w:t>
      </w:r>
      <w:r>
        <w:rPr>
          <w:rFonts w:hint="default" w:ascii="Times New Roman" w:hAnsi="Times New Roman"/>
          <w:sz w:val="24"/>
          <w:szCs w:val="24"/>
          <w:highlight w:val="none"/>
          <w:lang w:val="en-US" w:eastAsia="zh-CN"/>
        </w:rPr>
        <w:t>g。</w:t>
      </w:r>
      <w:r>
        <w:rPr>
          <w:rFonts w:hint="default" w:ascii="Times New Roman" w:hAnsi="Times New Roman"/>
          <w:sz w:val="24"/>
          <w:szCs w:val="24"/>
          <w:lang w:val="en-US" w:eastAsia="zh-CN"/>
        </w:rPr>
        <w:t xml:space="preserve"> </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L</w:t>
      </w:r>
      <w:r>
        <w:rPr>
          <w:rFonts w:hint="default" w:ascii="Times New Roman" w:hAnsi="Times New Roman"/>
          <w:sz w:val="24"/>
          <w:szCs w:val="24"/>
          <w:vertAlign w:val="subscript"/>
          <w:lang w:val="en-US" w:eastAsia="zh-CN"/>
        </w:rPr>
        <w:t>S</w:t>
      </w:r>
      <w:r>
        <w:rPr>
          <w:rFonts w:hint="default" w:ascii="Times New Roman" w:hAnsi="Times New Roman"/>
          <w:sz w:val="24"/>
          <w:szCs w:val="24"/>
          <w:lang w:val="en-US" w:eastAsia="zh-CN"/>
        </w:rPr>
        <w:t>：根据导则，按保守估计不考虑淋溶输出量，因此L</w:t>
      </w:r>
      <w:r>
        <w:rPr>
          <w:rFonts w:hint="default" w:ascii="Times New Roman" w:hAnsi="Times New Roman"/>
          <w:sz w:val="24"/>
          <w:szCs w:val="24"/>
          <w:vertAlign w:val="subscript"/>
          <w:lang w:val="en-US" w:eastAsia="zh-CN"/>
        </w:rPr>
        <w:t>S</w:t>
      </w:r>
      <w:r>
        <w:rPr>
          <w:rFonts w:hint="default" w:ascii="Times New Roman" w:hAnsi="Times New Roman"/>
          <w:sz w:val="24"/>
          <w:szCs w:val="24"/>
          <w:lang w:val="en-US" w:eastAsia="zh-CN"/>
        </w:rPr>
        <w:t xml:space="preserve">=0； </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R</w:t>
      </w:r>
      <w:r>
        <w:rPr>
          <w:rFonts w:hint="default" w:ascii="Times New Roman" w:hAnsi="Times New Roman"/>
          <w:sz w:val="24"/>
          <w:szCs w:val="24"/>
          <w:vertAlign w:val="subscript"/>
          <w:lang w:val="en-US" w:eastAsia="zh-CN"/>
        </w:rPr>
        <w:t>S</w:t>
      </w:r>
      <w:r>
        <w:rPr>
          <w:rFonts w:hint="default" w:ascii="Times New Roman" w:hAnsi="Times New Roman"/>
          <w:sz w:val="24"/>
          <w:szCs w:val="24"/>
          <w:lang w:val="en-US" w:eastAsia="zh-CN"/>
        </w:rPr>
        <w:t xml:space="preserve">：根据导则，按保守估计不考虑径流输出量，因此RS=0； </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ρ</w:t>
      </w:r>
      <w:r>
        <w:rPr>
          <w:rFonts w:hint="default" w:ascii="Times New Roman" w:hAnsi="Times New Roman"/>
          <w:sz w:val="24"/>
          <w:szCs w:val="24"/>
          <w:vertAlign w:val="subscript"/>
          <w:lang w:val="en-US" w:eastAsia="zh-CN"/>
        </w:rPr>
        <w:t>b</w:t>
      </w:r>
      <w:r>
        <w:rPr>
          <w:rFonts w:hint="default" w:ascii="Times New Roman" w:hAnsi="Times New Roman"/>
          <w:sz w:val="24"/>
          <w:szCs w:val="24"/>
          <w:lang w:val="en-US" w:eastAsia="zh-CN"/>
        </w:rPr>
        <w:t>：表层土壤容重为</w:t>
      </w:r>
      <w:r>
        <w:rPr>
          <w:rFonts w:hint="eastAsia" w:ascii="Times New Roman" w:hAnsi="Times New Roman"/>
          <w:sz w:val="24"/>
          <w:szCs w:val="24"/>
          <w:highlight w:val="none"/>
          <w:lang w:val="en-US" w:eastAsia="zh-CN"/>
        </w:rPr>
        <w:t>1</w:t>
      </w:r>
      <w:r>
        <w:rPr>
          <w:rFonts w:hint="default" w:ascii="Times New Roman" w:hAnsi="Times New Roman"/>
          <w:sz w:val="24"/>
          <w:szCs w:val="24"/>
          <w:highlight w:val="none"/>
          <w:lang w:val="en-US" w:eastAsia="zh-CN"/>
        </w:rPr>
        <w:t>.</w:t>
      </w:r>
      <w:r>
        <w:rPr>
          <w:rFonts w:hint="eastAsia" w:ascii="Times New Roman" w:hAnsi="Times New Roman"/>
          <w:sz w:val="24"/>
          <w:szCs w:val="24"/>
          <w:highlight w:val="none"/>
          <w:lang w:val="en-US" w:eastAsia="zh-CN"/>
        </w:rPr>
        <w:t>25</w:t>
      </w:r>
      <w:r>
        <w:rPr>
          <w:rFonts w:hint="default" w:ascii="Times New Roman" w:hAnsi="Times New Roman"/>
          <w:sz w:val="24"/>
          <w:szCs w:val="24"/>
          <w:highlight w:val="none"/>
          <w:lang w:val="en-US" w:eastAsia="zh-CN"/>
        </w:rPr>
        <w:t>t/m</w:t>
      </w:r>
      <w:r>
        <w:rPr>
          <w:rFonts w:hint="default" w:ascii="Times New Roman" w:hAnsi="Times New Roman"/>
          <w:sz w:val="24"/>
          <w:szCs w:val="24"/>
          <w:highlight w:val="none"/>
          <w:vertAlign w:val="superscript"/>
          <w:lang w:val="en-US" w:eastAsia="zh-CN"/>
        </w:rPr>
        <w:t>3</w:t>
      </w:r>
      <w:r>
        <w:rPr>
          <w:rFonts w:hint="default" w:ascii="Times New Roman" w:hAnsi="Times New Roman"/>
          <w:sz w:val="24"/>
          <w:szCs w:val="24"/>
          <w:lang w:val="en-US" w:eastAsia="zh-CN"/>
        </w:rPr>
        <w:t xml:space="preserve">。 </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A：本次预测评价范围为</w:t>
      </w:r>
      <w:r>
        <w:rPr>
          <w:rFonts w:hint="default" w:ascii="Times New Roman" w:hAnsi="Times New Roman"/>
          <w:sz w:val="24"/>
          <w:szCs w:val="24"/>
          <w:highlight w:val="none"/>
          <w:lang w:val="en-US" w:eastAsia="zh-CN"/>
        </w:rPr>
        <w:t>1200000m</w:t>
      </w:r>
      <w:r>
        <w:rPr>
          <w:rFonts w:hint="default" w:ascii="Times New Roman" w:hAnsi="Times New Roman"/>
          <w:sz w:val="24"/>
          <w:szCs w:val="24"/>
          <w:highlight w:val="none"/>
          <w:vertAlign w:val="superscript"/>
          <w:lang w:val="en-US" w:eastAsia="zh-CN"/>
        </w:rPr>
        <w:t>2</w:t>
      </w:r>
      <w:r>
        <w:rPr>
          <w:rFonts w:hint="default" w:ascii="Times New Roman" w:hAnsi="Times New Roman"/>
          <w:sz w:val="24"/>
          <w:szCs w:val="24"/>
          <w:lang w:val="en-US" w:eastAsia="zh-CN"/>
        </w:rPr>
        <w:t xml:space="preserve">。 </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 xml:space="preserve">D：取0.2m； </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n：该项目持续时间约为30年，即n取值为30a。</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sz w:val="24"/>
          <w:szCs w:val="24"/>
          <w:lang w:val="en-US" w:eastAsia="zh-CN"/>
        </w:rPr>
      </w:pPr>
      <w:r>
        <w:rPr>
          <w:rFonts w:hint="eastAsia" w:ascii="Times New Roman" w:hAnsi="Times New Roman" w:cs="Times New Roman"/>
          <w:b/>
          <w:bCs/>
          <w:sz w:val="24"/>
          <w:szCs w:val="24"/>
          <w:highlight w:val="none"/>
          <w:lang w:val="en-US" w:eastAsia="zh-CN"/>
        </w:rPr>
        <w:t>6.8</w:t>
      </w:r>
      <w:r>
        <w:rPr>
          <w:rFonts w:hint="default" w:ascii="Times New Roman" w:hAnsi="Times New Roman" w:cs="Times New Roman"/>
          <w:b/>
          <w:bCs/>
          <w:sz w:val="24"/>
          <w:szCs w:val="24"/>
          <w:highlight w:val="none"/>
          <w:lang w:val="en-US" w:eastAsia="zh-CN"/>
        </w:rPr>
        <w:t>.2.</w:t>
      </w:r>
      <w:r>
        <w:rPr>
          <w:rFonts w:hint="eastAsia" w:ascii="Times New Roman" w:hAnsi="Times New Roman" w:cs="Times New Roman"/>
          <w:b/>
          <w:bCs/>
          <w:sz w:val="24"/>
          <w:szCs w:val="24"/>
          <w:highlight w:val="none"/>
          <w:lang w:val="en-US" w:eastAsia="zh-CN"/>
        </w:rPr>
        <w:t>3</w:t>
      </w:r>
      <w:r>
        <w:rPr>
          <w:rFonts w:hint="eastAsia" w:ascii="Times New Roman" w:hAnsi="Times New Roman"/>
          <w:b/>
          <w:bCs/>
          <w:sz w:val="24"/>
          <w:szCs w:val="24"/>
          <w:highlight w:val="none"/>
          <w:lang w:val="en-US" w:eastAsia="zh-CN"/>
        </w:rPr>
        <w:t>预测结果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经计算，VOCs单位质量土壤中物质的ΔS=</w:t>
      </w:r>
      <w:r>
        <w:rPr>
          <w:rFonts w:hint="eastAsia" w:ascii="Times New Roman" w:hAnsi="Times New Roman"/>
          <w:sz w:val="24"/>
          <w:szCs w:val="24"/>
          <w:lang w:val="en-US" w:eastAsia="zh-CN"/>
        </w:rPr>
        <w:t>0.3414</w:t>
      </w:r>
      <w:r>
        <w:rPr>
          <w:rFonts w:hint="eastAsia" w:ascii="Times New Roman" w:hAnsi="Times New Roman"/>
          <w:sz w:val="24"/>
          <w:szCs w:val="24"/>
        </w:rPr>
        <w:t>mg/kg，预测值S =</w:t>
      </w:r>
      <w:r>
        <w:rPr>
          <w:rFonts w:hint="eastAsia" w:ascii="Times New Roman" w:hAnsi="Times New Roman"/>
          <w:sz w:val="24"/>
          <w:szCs w:val="24"/>
          <w:lang w:val="en-US" w:eastAsia="zh-CN"/>
        </w:rPr>
        <w:t>0.3414</w:t>
      </w:r>
      <w:r>
        <w:rPr>
          <w:rFonts w:hint="eastAsia" w:ascii="Times New Roman" w:hAnsi="Times New Roman"/>
          <w:sz w:val="24"/>
          <w:szCs w:val="24"/>
        </w:rPr>
        <w:t>mg/kg。</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cs="Times New Roman"/>
          <w:b/>
          <w:bCs/>
          <w:sz w:val="24"/>
          <w:szCs w:val="24"/>
          <w:highlight w:val="none"/>
          <w:lang w:val="en-US" w:eastAsia="zh-CN"/>
        </w:rPr>
        <w:t>6.8</w:t>
      </w:r>
      <w:r>
        <w:rPr>
          <w:rFonts w:hint="default" w:ascii="Times New Roman" w:hAnsi="Times New Roman" w:cs="Times New Roman"/>
          <w:b/>
          <w:bCs/>
          <w:sz w:val="24"/>
          <w:szCs w:val="24"/>
          <w:highlight w:val="none"/>
          <w:lang w:val="en-US" w:eastAsia="zh-CN"/>
        </w:rPr>
        <w:t>.2.</w:t>
      </w:r>
      <w:r>
        <w:rPr>
          <w:rFonts w:hint="eastAsia" w:ascii="Times New Roman" w:hAnsi="Times New Roman" w:cs="Times New Roman"/>
          <w:b/>
          <w:bCs/>
          <w:sz w:val="24"/>
          <w:szCs w:val="24"/>
          <w:highlight w:val="none"/>
          <w:lang w:val="en-US" w:eastAsia="zh-CN"/>
        </w:rPr>
        <w:t>4</w:t>
      </w:r>
      <w:r>
        <w:rPr>
          <w:rFonts w:hint="eastAsia" w:ascii="Times New Roman" w:hAnsi="Times New Roman"/>
          <w:b/>
          <w:bCs/>
          <w:sz w:val="24"/>
          <w:szCs w:val="24"/>
          <w:highlight w:val="none"/>
          <w:lang w:val="en-US" w:eastAsia="zh-CN"/>
        </w:rPr>
        <w:t>土壤环境影响评价结论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建设项目运行阶段，土壤环境敏感目标处且占地范围内各评价因子均满足《土壤环境质量 农用地土壤污染风险管控标准》(GB15618-2018)风险筛选值标准。</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rPr>
      </w:pPr>
      <w:r>
        <w:rPr>
          <w:rFonts w:hint="eastAsia" w:ascii="Times New Roman" w:hAnsi="Times New Roman"/>
          <w:b/>
          <w:bCs/>
          <w:color w:val="auto"/>
          <w:sz w:val="28"/>
          <w:szCs w:val="28"/>
          <w:lang w:val="en-US" w:eastAsia="zh-CN"/>
        </w:rPr>
        <w:t>6.8</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3</w:t>
      </w:r>
      <w:r>
        <w:rPr>
          <w:rFonts w:ascii="Times New Roman" w:hAnsi="Times New Roman"/>
          <w:b/>
          <w:bCs/>
          <w:color w:val="auto"/>
          <w:sz w:val="28"/>
          <w:szCs w:val="28"/>
        </w:rPr>
        <w:t xml:space="preserve"> </w:t>
      </w:r>
      <w:r>
        <w:rPr>
          <w:rFonts w:hint="eastAsia" w:ascii="Times New Roman" w:hAnsi="Times New Roman"/>
          <w:b/>
          <w:bCs/>
          <w:color w:val="auto"/>
          <w:sz w:val="28"/>
          <w:szCs w:val="28"/>
        </w:rPr>
        <w:t>保护措施与对策</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 xml:space="preserve">根据本次评价土壤环境现状监测结果，厂区内土壤各监测因子均满足《土壤环境质量建设用地土壤污染风险管控标准（试行）》（GB36600-2018）筛选值，对人体健康的风险可以忽略；厂区外土壤各监测因子均满足《土壤环境质量 农用地土壤污染风险管控标准（试行）》（GB15618-2018）筛选值，对农产品质量安全、农作物生长或土壤生态环境的风险可以忽略。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ascii="Times New Roman" w:hAnsi="Times New Roman" w:cs="Times New Roman"/>
          <w:sz w:val="24"/>
          <w:szCs w:val="24"/>
          <w:lang w:val="en-US" w:eastAsia="zh-CN"/>
        </w:rPr>
        <w:t>1、</w:t>
      </w:r>
      <w:r>
        <w:rPr>
          <w:rFonts w:hint="default"/>
          <w:sz w:val="24"/>
          <w:szCs w:val="24"/>
          <w:lang w:val="en-US" w:eastAsia="zh-CN"/>
        </w:rPr>
        <w:t xml:space="preserve">源头控制措施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本</w:t>
      </w:r>
      <w:r>
        <w:rPr>
          <w:rFonts w:hint="default"/>
          <w:sz w:val="24"/>
          <w:szCs w:val="24"/>
          <w:lang w:val="en-US" w:eastAsia="zh-CN"/>
        </w:rPr>
        <w:t>项目可能污染土壤的途径包括：生产</w:t>
      </w:r>
      <w:r>
        <w:rPr>
          <w:rFonts w:hint="eastAsia"/>
          <w:sz w:val="24"/>
          <w:szCs w:val="24"/>
          <w:lang w:val="en-US" w:eastAsia="zh-CN"/>
        </w:rPr>
        <w:t>及</w:t>
      </w:r>
      <w:r>
        <w:rPr>
          <w:rFonts w:hint="default"/>
          <w:sz w:val="24"/>
          <w:szCs w:val="24"/>
          <w:lang w:val="en-US" w:eastAsia="zh-CN"/>
        </w:rPr>
        <w:t>生活废水、事故废水废液下渗；有组织排放的</w:t>
      </w:r>
      <w:r>
        <w:rPr>
          <w:rFonts w:hint="eastAsia"/>
          <w:sz w:val="24"/>
          <w:szCs w:val="24"/>
          <w:lang w:val="en-US" w:eastAsia="zh-CN"/>
        </w:rPr>
        <w:t>废气</w:t>
      </w:r>
      <w:r>
        <w:rPr>
          <w:rFonts w:hint="default"/>
          <w:sz w:val="24"/>
          <w:szCs w:val="24"/>
          <w:lang w:val="en-US" w:eastAsia="zh-CN"/>
        </w:rPr>
        <w:t>过大气沉降进入土壤。针对以上污染途径，</w:t>
      </w:r>
      <w:r>
        <w:rPr>
          <w:rFonts w:hint="eastAsia"/>
          <w:sz w:val="24"/>
          <w:szCs w:val="24"/>
          <w:lang w:val="en-US" w:eastAsia="zh-CN"/>
        </w:rPr>
        <w:t>本</w:t>
      </w:r>
      <w:r>
        <w:rPr>
          <w:rFonts w:hint="default"/>
          <w:sz w:val="24"/>
          <w:szCs w:val="24"/>
          <w:lang w:val="en-US" w:eastAsia="zh-CN"/>
        </w:rPr>
        <w:t xml:space="preserve">项目采取以下源头控制措施：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（1）生产</w:t>
      </w:r>
      <w:r>
        <w:rPr>
          <w:rFonts w:hint="eastAsia"/>
          <w:sz w:val="24"/>
          <w:szCs w:val="24"/>
          <w:lang w:val="en-US" w:eastAsia="zh-CN"/>
        </w:rPr>
        <w:t>及</w:t>
      </w:r>
      <w:r>
        <w:rPr>
          <w:rFonts w:hint="default"/>
          <w:sz w:val="24"/>
          <w:szCs w:val="24"/>
          <w:lang w:val="en-US" w:eastAsia="zh-CN"/>
        </w:rPr>
        <w:t>生活废水全部通过专用管道收集、输送，管线采用耐酸PVC管道，并对各管道接口进行良好密封，避免废水渗漏。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sz w:val="24"/>
          <w:szCs w:val="24"/>
        </w:rPr>
      </w:pPr>
      <w:r>
        <w:rPr>
          <w:rFonts w:hint="eastAsia"/>
          <w:sz w:val="24"/>
          <w:szCs w:val="24"/>
          <w:lang w:val="en-US" w:eastAsia="zh-CN"/>
        </w:rPr>
        <w:t xml:space="preserve">（2）各类污水收集储存设施（化粪池、事故水池等）均要落实必要的防渗漏措施，以免直接污染浅层地下水和土壤。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sz w:val="24"/>
          <w:szCs w:val="24"/>
        </w:rPr>
      </w:pPr>
      <w:r>
        <w:rPr>
          <w:rFonts w:hint="eastAsia"/>
          <w:sz w:val="24"/>
          <w:szCs w:val="24"/>
          <w:lang w:val="en-US" w:eastAsia="zh-CN"/>
        </w:rPr>
        <w:t xml:space="preserve">（3）在物料输送管道上安装紧急切断装置，一旦发生泄漏，自动快速切断输送管道，避免恶性事故发生。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sz w:val="24"/>
          <w:szCs w:val="24"/>
        </w:rPr>
      </w:pPr>
      <w:r>
        <w:rPr>
          <w:rFonts w:hint="eastAsia"/>
          <w:sz w:val="24"/>
          <w:szCs w:val="24"/>
          <w:lang w:val="en-US" w:eastAsia="zh-CN"/>
        </w:rPr>
        <w:t xml:space="preserve">2、过程控制措施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sz w:val="24"/>
          <w:szCs w:val="24"/>
        </w:rPr>
      </w:pPr>
      <w:r>
        <w:rPr>
          <w:rFonts w:hint="eastAsia"/>
          <w:sz w:val="24"/>
          <w:szCs w:val="24"/>
          <w:lang w:val="en-US" w:eastAsia="zh-CN"/>
        </w:rPr>
        <w:t xml:space="preserve">（1）厂区内采取绿化措施，厂区围墙周围设置乔木绿化带，厂区内绿化合理搭配树种，并进行适当密植。植物物种优先选择对本工程排放的污染物具有高耐受性的植物，如国槐、刺槐、樱花、白蜡、龙柏、棕榈、小叶女贞、紫薇等。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 xml:space="preserve">（2）厂区地面除绿化带外，全部硬化处理。生产装置区、运输装卸区域地面全部用混凝土硬化，硬化区边缘设计污水收集沟槽。原料罐区均设置围堰。完善厂区内事故水导排系统，确保事故状态下事故废水通过防渗管沟导入事故池。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sz w:val="24"/>
          <w:szCs w:val="24"/>
          <w:lang w:val="en-US" w:eastAsia="zh-CN"/>
        </w:rPr>
        <w:t>（3）涉及物料储存的储罐区、生产装置区、污水收集和输送管线、事故水池、环保设施场地等区域均须采取严格的硬化及防渗处理，确保满足相关防渗标准要求。生产过程中的各种物料及污染物均须确保与天然土壤隔离，不会通过裸露区渗入到土壤中，尽可能避免对土壤环境造成不利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综上。本项目通过采取本项目所提各种污染治理措施及预防措施后，项目建设对土壤环境影响较小。</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rPr>
      </w:pPr>
      <w:r>
        <w:rPr>
          <w:rFonts w:hint="eastAsia" w:ascii="Times New Roman" w:hAnsi="Times New Roman"/>
          <w:b/>
          <w:bCs/>
          <w:color w:val="auto"/>
          <w:sz w:val="28"/>
          <w:szCs w:val="28"/>
          <w:lang w:val="en-US" w:eastAsia="zh-CN"/>
        </w:rPr>
        <w:t>6.8</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4</w:t>
      </w:r>
      <w:r>
        <w:rPr>
          <w:rFonts w:ascii="Times New Roman" w:hAnsi="Times New Roman"/>
          <w:b/>
          <w:bCs/>
          <w:color w:val="auto"/>
          <w:sz w:val="28"/>
          <w:szCs w:val="28"/>
        </w:rPr>
        <w:t xml:space="preserve"> </w:t>
      </w:r>
      <w:r>
        <w:rPr>
          <w:rFonts w:hint="eastAsia" w:ascii="Times New Roman" w:hAnsi="Times New Roman"/>
          <w:b/>
          <w:bCs/>
          <w:color w:val="auto"/>
          <w:sz w:val="28"/>
          <w:szCs w:val="28"/>
        </w:rPr>
        <w:t>保护措施与对策</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 xml:space="preserve">土壤环境质量现状监测与评价结果表明，厂内监测点各项土壤监测因子均低于《土壤环境质量 建设用地土壤污染风险管控标准（试行）》（GB36600-2018）筛选值，对人体健康的风险可以忽略；厂区外监测点各项土壤监测因子均低于《土壤环境质量 农用地土壤污染风险管控标准（试行）》（GB15618-2018）筛选值，对农产品质量安全、农作物生长或土壤生态环境的风险可以忽略。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根据预测，</w:t>
      </w:r>
      <w:r>
        <w:rPr>
          <w:rFonts w:hint="eastAsia" w:ascii="Times New Roman" w:hAnsi="Times New Roman"/>
          <w:sz w:val="24"/>
          <w:szCs w:val="24"/>
          <w:lang w:val="en-US" w:eastAsia="zh-CN"/>
        </w:rPr>
        <w:t>本</w:t>
      </w:r>
      <w:r>
        <w:rPr>
          <w:rFonts w:hint="eastAsia" w:ascii="Times New Roman" w:hAnsi="Times New Roman"/>
          <w:sz w:val="24"/>
          <w:szCs w:val="24"/>
        </w:rPr>
        <w:t xml:space="preserve">工程建成后，土壤环境敏感目标处且占地范围内各评价因子均满足《土壤环境质量 农用地土壤污染风险管控标准》(GB15618-2018)风险筛选值标准。工程运行对土壤环境影响不大。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sz w:val="24"/>
          <w:szCs w:val="24"/>
          <w:lang w:eastAsia="zh-CN"/>
        </w:rPr>
      </w:pPr>
      <w:r>
        <w:rPr>
          <w:rFonts w:hint="eastAsia" w:ascii="Times New Roman" w:hAnsi="Times New Roman"/>
          <w:sz w:val="24"/>
          <w:szCs w:val="24"/>
          <w:lang w:val="en-US" w:eastAsia="zh-CN"/>
        </w:rPr>
        <w:t>本</w:t>
      </w:r>
      <w:r>
        <w:rPr>
          <w:rFonts w:hint="eastAsia" w:ascii="Times New Roman" w:hAnsi="Times New Roman"/>
          <w:sz w:val="24"/>
          <w:szCs w:val="24"/>
        </w:rPr>
        <w:t>项目通过落实源头控制措施及过程控制措施并制定土壤环境跟踪监测计划，以实现及时发现问题并采取措施，进一步降低对土壤环境的影响。从土壤环境影响的角度，项目建设具有可行性</w:t>
      </w:r>
      <w:r>
        <w:rPr>
          <w:rFonts w:hint="eastAsia" w:ascii="Times New Roman" w:hAnsi="Times New Roman"/>
          <w:sz w:val="24"/>
          <w:szCs w:val="24"/>
          <w:lang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lang w:val="en-US" w:eastAsia="zh-CN"/>
        </w:rPr>
      </w:pPr>
      <w:r>
        <w:rPr>
          <w:b/>
          <w:bCs/>
          <w:color w:val="auto"/>
          <w:sz w:val="24"/>
        </w:rPr>
        <w:t>土壤环境影响评价自查表</w:t>
      </w:r>
    </w:p>
    <w:tbl>
      <w:tblPr>
        <w:tblStyle w:val="18"/>
        <w:tblW w:w="91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
        <w:gridCol w:w="1614"/>
        <w:gridCol w:w="1530"/>
        <w:gridCol w:w="201"/>
        <w:gridCol w:w="1254"/>
        <w:gridCol w:w="1650"/>
        <w:gridCol w:w="60"/>
        <w:gridCol w:w="1339"/>
        <w:gridCol w:w="1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8" w:type="dxa"/>
            <w:gridSpan w:val="2"/>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工作内容</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完成情况</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影响识别</w:t>
            </w: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影响类型</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污染影响型</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；生态影响型□；两种兼有□</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土地利用类型</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建设用地</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；农用地□；未利用地□</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土地利用类</w:t>
            </w:r>
          </w:p>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占地规模</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（0.11）hm</w:t>
            </w:r>
            <w:r>
              <w:rPr>
                <w:rFonts w:ascii="Times New Roman" w:hAnsi="Times New Roman" w:eastAsia="宋体" w:cs="Times New Roman"/>
                <w:color w:val="auto"/>
                <w:sz w:val="21"/>
                <w:szCs w:val="21"/>
                <w:vertAlign w:val="superscript"/>
              </w:rPr>
              <w:t>2</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敏感目标信息</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敏感目标（</w:t>
            </w:r>
            <w:r>
              <w:rPr>
                <w:rFonts w:hint="eastAsia" w:ascii="Times New Roman" w:hAnsi="Times New Roman" w:eastAsia="宋体" w:cs="Times New Roman"/>
                <w:color w:val="auto"/>
                <w:sz w:val="21"/>
                <w:szCs w:val="21"/>
                <w:lang w:val="en-US" w:eastAsia="zh-CN"/>
              </w:rPr>
              <w:t>吉家村</w:t>
            </w:r>
            <w:r>
              <w:rPr>
                <w:rFonts w:ascii="Times New Roman" w:hAnsi="Times New Roman" w:eastAsia="宋体" w:cs="Times New Roman"/>
                <w:color w:val="auto"/>
                <w:sz w:val="21"/>
                <w:szCs w:val="21"/>
              </w:rPr>
              <w:t>）、方位（</w:t>
            </w:r>
            <w:r>
              <w:rPr>
                <w:rFonts w:hint="eastAsia" w:ascii="Times New Roman" w:hAnsi="Times New Roman" w:eastAsia="宋体" w:cs="Times New Roman"/>
                <w:color w:val="auto"/>
                <w:sz w:val="21"/>
                <w:szCs w:val="21"/>
                <w:lang w:val="en-US" w:eastAsia="zh-CN"/>
              </w:rPr>
              <w:t>NE</w:t>
            </w:r>
            <w:r>
              <w:rPr>
                <w:rFonts w:ascii="Times New Roman" w:hAnsi="Times New Roman" w:eastAsia="宋体" w:cs="Times New Roman"/>
                <w:color w:val="auto"/>
                <w:sz w:val="21"/>
                <w:szCs w:val="21"/>
              </w:rPr>
              <w:t>）、距离（</w:t>
            </w:r>
            <w:r>
              <w:rPr>
                <w:rFonts w:hint="eastAsia" w:ascii="Times New Roman" w:hAnsi="Times New Roman" w:eastAsia="宋体" w:cs="Times New Roman"/>
                <w:color w:val="auto"/>
                <w:sz w:val="21"/>
                <w:szCs w:val="21"/>
                <w:lang w:val="en-US" w:eastAsia="zh-CN"/>
              </w:rPr>
              <w:t>910</w:t>
            </w:r>
            <w:r>
              <w:rPr>
                <w:rFonts w:ascii="Times New Roman" w:hAnsi="Times New Roman" w:eastAsia="宋体" w:cs="Times New Roman"/>
                <w:color w:val="auto"/>
                <w:sz w:val="21"/>
                <w:szCs w:val="21"/>
              </w:rPr>
              <w:t>m）</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影响途径</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大气沉降</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；地面漫流□；垂直入渗</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；地下水位□；其他（ ）</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全部污染物</w:t>
            </w:r>
          </w:p>
        </w:tc>
        <w:tc>
          <w:tcPr>
            <w:tcW w:w="6034" w:type="dxa"/>
            <w:gridSpan w:val="6"/>
            <w:noWrap w:val="0"/>
            <w:vAlign w:val="center"/>
          </w:tcPr>
          <w:p>
            <w:pPr>
              <w:pStyle w:val="25"/>
              <w:snapToGrid w:val="0"/>
              <w:spacing w:line="240" w:lineRule="auto"/>
              <w:ind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VOCs、颗粒物、SO</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vertAlign w:val="baseline"/>
                <w:lang w:val="en-US" w:eastAsia="zh-CN"/>
              </w:rPr>
              <w:t>、氮氧化物、异丙醇</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特征因子</w:t>
            </w:r>
          </w:p>
        </w:tc>
        <w:tc>
          <w:tcPr>
            <w:tcW w:w="6034" w:type="dxa"/>
            <w:gridSpan w:val="6"/>
            <w:noWrap w:val="0"/>
            <w:vAlign w:val="center"/>
          </w:tcPr>
          <w:p>
            <w:pPr>
              <w:pStyle w:val="25"/>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VOCs</w:t>
            </w:r>
          </w:p>
        </w:tc>
        <w:tc>
          <w:tcPr>
            <w:tcW w:w="1080" w:type="dxa"/>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所属土壤环境影响评价项目类别</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Ⅰ类</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；Ⅱ类</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；Ⅲ类□；Ⅳ类□</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敏感程度</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敏感</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；较敏感□；不敏感</w:t>
            </w:r>
            <w:r>
              <w:rPr>
                <w:rFonts w:ascii="Times New Roman" w:hAnsi="Times New Roman" w:eastAsia="宋体" w:cs="Times New Roman"/>
                <w:color w:val="auto"/>
                <w:sz w:val="21"/>
                <w:szCs w:val="21"/>
              </w:rPr>
              <w:sym w:font="Wingdings 2" w:char="00A3"/>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8" w:type="dxa"/>
            <w:gridSpan w:val="2"/>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评价工作等级</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一级</w:t>
            </w:r>
            <w:r>
              <w:rPr>
                <w:rFonts w:ascii="Times New Roman" w:hAnsi="Times New Roman" w:eastAsia="宋体" w:cs="Times New Roman"/>
                <w:color w:val="auto"/>
                <w:sz w:val="21"/>
                <w:szCs w:val="21"/>
              </w:rPr>
              <w:sym w:font="Wingdings 2" w:char="00A3"/>
            </w:r>
            <w:r>
              <w:rPr>
                <w:rFonts w:ascii="Times New Roman" w:hAnsi="Times New Roman" w:eastAsia="宋体" w:cs="Times New Roman"/>
                <w:color w:val="auto"/>
                <w:sz w:val="21"/>
                <w:szCs w:val="21"/>
              </w:rPr>
              <w:t>；二级</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；三级□</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现状调查内容</w:t>
            </w: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资料收集</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a）□；b）□；c）□；d）□</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理化特性</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同附录C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现状监测点位</w:t>
            </w:r>
          </w:p>
        </w:tc>
        <w:tc>
          <w:tcPr>
            <w:tcW w:w="153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455" w:type="dxa"/>
            <w:gridSpan w:val="2"/>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占地范围内</w:t>
            </w:r>
          </w:p>
        </w:tc>
        <w:tc>
          <w:tcPr>
            <w:tcW w:w="1710" w:type="dxa"/>
            <w:gridSpan w:val="2"/>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占地范围外</w:t>
            </w:r>
          </w:p>
        </w:tc>
        <w:tc>
          <w:tcPr>
            <w:tcW w:w="1339"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深度</w:t>
            </w:r>
          </w:p>
        </w:tc>
        <w:tc>
          <w:tcPr>
            <w:tcW w:w="1080"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点位布置图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53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表层样点数</w:t>
            </w:r>
          </w:p>
        </w:tc>
        <w:tc>
          <w:tcPr>
            <w:tcW w:w="1455" w:type="dxa"/>
            <w:gridSpan w:val="2"/>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3</w:t>
            </w:r>
          </w:p>
        </w:tc>
        <w:tc>
          <w:tcPr>
            <w:tcW w:w="1710" w:type="dxa"/>
            <w:gridSpan w:val="2"/>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2</w:t>
            </w:r>
          </w:p>
        </w:tc>
        <w:tc>
          <w:tcPr>
            <w:tcW w:w="1339"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0-0.2m</w:t>
            </w:r>
          </w:p>
        </w:tc>
        <w:tc>
          <w:tcPr>
            <w:tcW w:w="1080"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53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柱状样点数</w:t>
            </w:r>
          </w:p>
        </w:tc>
        <w:tc>
          <w:tcPr>
            <w:tcW w:w="1455" w:type="dxa"/>
            <w:gridSpan w:val="2"/>
            <w:noWrap w:val="0"/>
            <w:vAlign w:val="center"/>
          </w:tcPr>
          <w:p>
            <w:pPr>
              <w:pStyle w:val="25"/>
              <w:snapToGrid w:val="0"/>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3</w:t>
            </w:r>
          </w:p>
        </w:tc>
        <w:tc>
          <w:tcPr>
            <w:tcW w:w="1710" w:type="dxa"/>
            <w:gridSpan w:val="2"/>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w:t>
            </w:r>
          </w:p>
        </w:tc>
        <w:tc>
          <w:tcPr>
            <w:tcW w:w="1339"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0-0.5m、</w:t>
            </w:r>
          </w:p>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0.5-1.5m、</w:t>
            </w:r>
          </w:p>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1.5-3m</w:t>
            </w:r>
          </w:p>
        </w:tc>
        <w:tc>
          <w:tcPr>
            <w:tcW w:w="1080"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现状监测因子</w:t>
            </w:r>
          </w:p>
        </w:tc>
        <w:tc>
          <w:tcPr>
            <w:tcW w:w="6034" w:type="dxa"/>
            <w:gridSpan w:val="6"/>
            <w:noWrap w:val="0"/>
            <w:vAlign w:val="center"/>
          </w:tcPr>
          <w:p>
            <w:pPr>
              <w:pStyle w:val="25"/>
              <w:snapToGrid w:val="0"/>
              <w:spacing w:line="240" w:lineRule="auto"/>
              <w:ind w:firstLine="0" w:firstLineChars="0"/>
              <w:jc w:val="both"/>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厂内45个基本项目；</w:t>
            </w:r>
          </w:p>
          <w:p>
            <w:pPr>
              <w:pStyle w:val="25"/>
              <w:snapToGrid w:val="0"/>
              <w:spacing w:line="240" w:lineRule="auto"/>
              <w:ind w:firstLine="0" w:firstLineChars="0"/>
              <w:jc w:val="both"/>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厂外居住区用地45个基本项目；厂外农用地</w:t>
            </w:r>
            <w:r>
              <w:rPr>
                <w:rFonts w:hint="eastAsia" w:ascii="Times New Roman" w:hAnsi="Times New Roman" w:eastAsia="宋体" w:cs="Times New Roman"/>
                <w:color w:val="auto"/>
                <w:sz w:val="21"/>
                <w:szCs w:val="21"/>
                <w:lang w:val="en-US" w:eastAsia="zh-CN"/>
              </w:rPr>
              <w:t>9</w:t>
            </w:r>
            <w:r>
              <w:rPr>
                <w:rFonts w:ascii="Times New Roman" w:hAnsi="Times New Roman" w:eastAsia="宋体" w:cs="Times New Roman"/>
                <w:color w:val="auto"/>
                <w:sz w:val="21"/>
                <w:szCs w:val="21"/>
              </w:rPr>
              <w:t>项基本因子、pH</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454"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现状评价</w:t>
            </w: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评价因子</w:t>
            </w:r>
          </w:p>
        </w:tc>
        <w:tc>
          <w:tcPr>
            <w:tcW w:w="6034" w:type="dxa"/>
            <w:gridSpan w:val="6"/>
            <w:noWrap w:val="0"/>
            <w:vAlign w:val="center"/>
          </w:tcPr>
          <w:p>
            <w:pPr>
              <w:pStyle w:val="25"/>
              <w:snapToGrid w:val="0"/>
              <w:spacing w:line="240" w:lineRule="auto"/>
              <w:ind w:firstLine="0" w:firstLineChars="0"/>
              <w:jc w:val="both"/>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厂内45个基本项目；</w:t>
            </w:r>
          </w:p>
          <w:p>
            <w:pPr>
              <w:pStyle w:val="25"/>
              <w:snapToGrid w:val="0"/>
              <w:spacing w:line="240" w:lineRule="auto"/>
              <w:ind w:firstLine="0" w:firstLineChars="0"/>
              <w:jc w:val="both"/>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厂外居住区用地45个基本项目；厂外农用地9项基本因子、pH</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评价标准</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GB15618</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；GB36600</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；表 D.1□；表 D.2□；其他（ ）</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现状评价结论</w:t>
            </w:r>
          </w:p>
        </w:tc>
        <w:tc>
          <w:tcPr>
            <w:tcW w:w="6034" w:type="dxa"/>
            <w:gridSpan w:val="6"/>
            <w:noWrap w:val="0"/>
            <w:vAlign w:val="center"/>
          </w:tcPr>
          <w:p>
            <w:pPr>
              <w:pStyle w:val="25"/>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454"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影响预测</w:t>
            </w: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预测因子</w:t>
            </w:r>
          </w:p>
        </w:tc>
        <w:tc>
          <w:tcPr>
            <w:tcW w:w="6034" w:type="dxa"/>
            <w:gridSpan w:val="6"/>
            <w:noWrap w:val="0"/>
            <w:vAlign w:val="center"/>
          </w:tcPr>
          <w:p>
            <w:pPr>
              <w:pStyle w:val="25"/>
              <w:snapToGrid w:val="0"/>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VOCs</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预测方法</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附录 E</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；附录 F□；其他（  ）</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预测分析内容</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影响范围（</w:t>
            </w:r>
            <w:r>
              <w:rPr>
                <w:rFonts w:hint="eastAsia" w:ascii="Times New Roman" w:hAnsi="Times New Roman" w:eastAsia="宋体" w:cs="Times New Roman"/>
                <w:color w:val="auto"/>
                <w:sz w:val="21"/>
                <w:szCs w:val="21"/>
                <w:lang w:val="en-US" w:eastAsia="zh-CN"/>
              </w:rPr>
              <w:t>120</w:t>
            </w:r>
            <w:r>
              <w:rPr>
                <w:rFonts w:ascii="Times New Roman" w:hAnsi="Times New Roman" w:eastAsia="宋体" w:cs="Times New Roman"/>
                <w:color w:val="auto"/>
                <w:sz w:val="21"/>
                <w:szCs w:val="21"/>
              </w:rPr>
              <w:t>万m</w:t>
            </w:r>
            <w:r>
              <w:rPr>
                <w:rFonts w:ascii="Times New Roman" w:hAnsi="Times New Roman" w:eastAsia="宋体" w:cs="Times New Roman"/>
                <w:color w:val="auto"/>
                <w:sz w:val="21"/>
                <w:szCs w:val="21"/>
                <w:vertAlign w:val="superscript"/>
              </w:rPr>
              <w:t>2</w:t>
            </w:r>
            <w:r>
              <w:rPr>
                <w:rFonts w:ascii="Times New Roman" w:hAnsi="Times New Roman" w:eastAsia="宋体" w:cs="Times New Roman"/>
                <w:color w:val="auto"/>
                <w:sz w:val="21"/>
                <w:szCs w:val="21"/>
              </w:rPr>
              <w:t xml:space="preserve"> ）</w:t>
            </w:r>
          </w:p>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影响程度（小）</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预测结论</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达标结论：a）□；b）□；c）□ 不达标结论：a）□；b）□</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454"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防治措施</w:t>
            </w: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防控措施</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土壤环境质量现状保障□；源头控制</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；过程防控</w:t>
            </w:r>
            <w:r>
              <w:rPr>
                <w:rFonts w:ascii="Times New Roman" w:hAnsi="Times New Roman" w:eastAsia="宋体" w:cs="Times New Roman"/>
                <w:color w:val="auto"/>
                <w:sz w:val="21"/>
                <w:szCs w:val="21"/>
              </w:rPr>
              <w:sym w:font="Wingdings 2" w:char="0052"/>
            </w:r>
            <w:r>
              <w:rPr>
                <w:rFonts w:ascii="Times New Roman" w:hAnsi="Times New Roman" w:eastAsia="宋体" w:cs="Times New Roman"/>
                <w:color w:val="auto"/>
                <w:sz w:val="21"/>
                <w:szCs w:val="21"/>
              </w:rPr>
              <w:t>；其他（ ）</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vMerge w:val="restart"/>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跟踪监测</w:t>
            </w:r>
          </w:p>
        </w:tc>
        <w:tc>
          <w:tcPr>
            <w:tcW w:w="1731" w:type="dxa"/>
            <w:gridSpan w:val="2"/>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监测点数</w:t>
            </w:r>
          </w:p>
        </w:tc>
        <w:tc>
          <w:tcPr>
            <w:tcW w:w="2904" w:type="dxa"/>
            <w:gridSpan w:val="2"/>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监测指标</w:t>
            </w:r>
          </w:p>
        </w:tc>
        <w:tc>
          <w:tcPr>
            <w:tcW w:w="1399" w:type="dxa"/>
            <w:gridSpan w:val="2"/>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监测频次</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731" w:type="dxa"/>
            <w:gridSpan w:val="2"/>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w:t>
            </w:r>
          </w:p>
        </w:tc>
        <w:tc>
          <w:tcPr>
            <w:tcW w:w="2904" w:type="dxa"/>
            <w:gridSpan w:val="2"/>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砷、镉、铬(六价)、铜、铅、汞、镍</w:t>
            </w:r>
          </w:p>
        </w:tc>
        <w:tc>
          <w:tcPr>
            <w:tcW w:w="1399" w:type="dxa"/>
            <w:gridSpan w:val="2"/>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每</w:t>
            </w:r>
            <w:r>
              <w:rPr>
                <w:rFonts w:hint="eastAsia" w:ascii="Times New Roman" w:hAnsi="Times New Roman" w:eastAsia="宋体" w:cs="Times New Roman"/>
                <w:color w:val="auto"/>
                <w:sz w:val="21"/>
                <w:szCs w:val="21"/>
                <w:lang w:val="en-US" w:eastAsia="zh-CN"/>
              </w:rPr>
              <w:t>3</w:t>
            </w:r>
            <w:r>
              <w:rPr>
                <w:rFonts w:ascii="Times New Roman" w:hAnsi="Times New Roman" w:eastAsia="宋体" w:cs="Times New Roman"/>
                <w:color w:val="auto"/>
                <w:sz w:val="21"/>
                <w:szCs w:val="21"/>
              </w:rPr>
              <w:t>年开展一次</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54" w:type="dxa"/>
            <w:vMerge w:val="continue"/>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c>
          <w:tcPr>
            <w:tcW w:w="1614"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信息公开指标</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土壤环境跟踪监测点位、监测结果</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2068" w:type="dxa"/>
            <w:gridSpan w:val="2"/>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评价结论</w:t>
            </w:r>
          </w:p>
        </w:tc>
        <w:tc>
          <w:tcPr>
            <w:tcW w:w="6034" w:type="dxa"/>
            <w:gridSpan w:val="6"/>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项目建设可行</w:t>
            </w:r>
          </w:p>
        </w:tc>
        <w:tc>
          <w:tcPr>
            <w:tcW w:w="1080"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9182" w:type="dxa"/>
            <w:gridSpan w:val="9"/>
            <w:noWrap w:val="0"/>
            <w:vAlign w:val="center"/>
          </w:tcPr>
          <w:p>
            <w:pPr>
              <w:pStyle w:val="25"/>
              <w:snapToGrid w:val="0"/>
              <w:spacing w:line="240" w:lineRule="auto"/>
              <w:ind w:firstLine="0" w:firstLineChars="0"/>
              <w:jc w:val="both"/>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注 1：“□”为勾选项，可√；“（）”为内容填写项；“备注”为其他补充内容。 注 2：需要分别开展土壤环境影响评级工作的，分别填写自查表。</w:t>
            </w:r>
          </w:p>
        </w:tc>
      </w:tr>
    </w:tbl>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7"/>
        <w:bidi w:val="0"/>
        <w:jc w:val="center"/>
        <w:rPr>
          <w:rFonts w:hint="default"/>
          <w:lang w:val="en-US" w:eastAsia="zh-CN"/>
        </w:rPr>
      </w:pPr>
      <w:bookmarkStart w:id="44" w:name="_Toc20205"/>
      <w:bookmarkStart w:id="45" w:name="_Toc31034"/>
      <w:r>
        <w:rPr>
          <w:rFonts w:hint="eastAsia" w:ascii="Times New Roman" w:hAnsi="Times New Roman" w:cs="Times New Roman"/>
          <w:lang w:val="en-US" w:eastAsia="zh-CN"/>
        </w:rPr>
        <w:t>7</w:t>
      </w:r>
      <w:r>
        <w:rPr>
          <w:rFonts w:hint="eastAsia"/>
          <w:lang w:val="en-US" w:eastAsia="zh-CN"/>
        </w:rPr>
        <w:t>污染防治措施及其技术经济论证</w:t>
      </w:r>
      <w:bookmarkEnd w:id="44"/>
      <w:bookmarkEnd w:id="45"/>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46" w:name="_Toc7950"/>
      <w:bookmarkStart w:id="47" w:name="_Toc4284"/>
      <w:r>
        <w:rPr>
          <w:rFonts w:hint="eastAsia" w:ascii="Times New Roman" w:hAnsi="Times New Roman" w:eastAsia="宋体" w:cs="Times New Roman"/>
          <w:lang w:val="en-US" w:eastAsia="zh-CN"/>
        </w:rPr>
        <w:t>7</w:t>
      </w:r>
      <w:r>
        <w:rPr>
          <w:rFonts w:hint="default" w:ascii="Times New Roman" w:hAnsi="Times New Roman" w:eastAsia="宋体" w:cs="Times New Roman"/>
          <w:lang w:val="en-US" w:eastAsia="zh-CN"/>
        </w:rPr>
        <w:t>.1</w:t>
      </w:r>
      <w:r>
        <w:rPr>
          <w:rFonts w:hint="eastAsia" w:ascii="宋体" w:hAnsi="宋体" w:eastAsia="宋体" w:cs="宋体"/>
          <w:lang w:val="en-US" w:eastAsia="zh-CN"/>
        </w:rPr>
        <w:t>项目采取环境保护措施</w:t>
      </w:r>
      <w:bookmarkEnd w:id="46"/>
      <w:bookmarkEnd w:id="47"/>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sz w:val="24"/>
          <w:szCs w:val="24"/>
        </w:rPr>
      </w:pPr>
      <w:r>
        <w:rPr>
          <w:rFonts w:hint="eastAsia"/>
          <w:sz w:val="24"/>
          <w:szCs w:val="24"/>
        </w:rPr>
        <w:t>本章将针对本项目所采取的环保措施，分析其先进性和稳定达标的可靠性，并针对其存在的主要问题，结合工艺情况提出进一步改进工艺和完善污染物防治措施，以进一步减少污染物排放量。</w:t>
      </w:r>
    </w:p>
    <w:p>
      <w:pPr>
        <w:pStyle w:val="25"/>
        <w:keepNext w:val="0"/>
        <w:keepLines w:val="0"/>
        <w:pageBreakBefore w:val="0"/>
        <w:widowControl w:val="0"/>
        <w:kinsoku/>
        <w:wordWrap/>
        <w:overflowPunct/>
        <w:topLinePunct w:val="0"/>
        <w:autoSpaceDE/>
        <w:autoSpaceDN/>
        <w:bidi w:val="0"/>
        <w:adjustRightInd w:val="0"/>
        <w:snapToGrid w:val="0"/>
        <w:textAlignment w:val="baseline"/>
        <w:rPr>
          <w:rFonts w:cs="Times New Roman"/>
          <w:color w:val="auto"/>
        </w:rPr>
      </w:pPr>
      <w:r>
        <w:rPr>
          <w:rFonts w:hint="eastAsia" w:cs="Times New Roman"/>
          <w:color w:val="auto"/>
          <w:lang w:val="en-US" w:eastAsia="zh-CN"/>
        </w:rPr>
        <w:t>本</w:t>
      </w:r>
      <w:r>
        <w:rPr>
          <w:rFonts w:cs="Times New Roman"/>
          <w:color w:val="auto"/>
        </w:rPr>
        <w:t>项目采用的各项环保措施见表</w:t>
      </w:r>
      <w:r>
        <w:rPr>
          <w:rFonts w:hint="default" w:ascii="Times New Roman" w:hAnsi="Times New Roman" w:cs="Times New Roman"/>
          <w:color w:val="auto"/>
          <w:lang w:val="en-US" w:eastAsia="zh-CN"/>
        </w:rPr>
        <w:t>7</w:t>
      </w:r>
      <w:r>
        <w:rPr>
          <w:rFonts w:hint="default" w:ascii="Times New Roman" w:hAnsi="Times New Roman" w:cs="Times New Roman"/>
          <w:color w:val="auto"/>
        </w:rPr>
        <w:t>.1-1</w:t>
      </w:r>
      <w:r>
        <w:rPr>
          <w:rFonts w:cs="Times New Roman"/>
          <w:color w:val="auto"/>
        </w:rPr>
        <w:t>。</w:t>
      </w:r>
    </w:p>
    <w:p>
      <w:pPr>
        <w:pStyle w:val="25"/>
        <w:keepNext w:val="0"/>
        <w:keepLines w:val="0"/>
        <w:pageBreakBefore w:val="0"/>
        <w:widowControl w:val="0"/>
        <w:kinsoku/>
        <w:wordWrap/>
        <w:overflowPunct/>
        <w:topLinePunct w:val="0"/>
        <w:autoSpaceDE/>
        <w:autoSpaceDN/>
        <w:bidi w:val="0"/>
        <w:snapToGrid w:val="0"/>
        <w:ind w:firstLine="0" w:firstLineChars="0"/>
        <w:jc w:val="center"/>
        <w:rPr>
          <w:rFonts w:cs="Times New Roman"/>
          <w:b/>
          <w:bCs/>
          <w:color w:val="auto"/>
        </w:rPr>
      </w:pPr>
      <w:r>
        <w:rPr>
          <w:rFonts w:cs="Times New Roman"/>
          <w:b/>
          <w:bCs/>
          <w:color w:val="auto"/>
          <w:highlight w:val="none"/>
        </w:rPr>
        <w:t>表</w:t>
      </w:r>
      <w:r>
        <w:rPr>
          <w:rFonts w:hint="default" w:ascii="Times New Roman" w:hAnsi="Times New Roman" w:cs="Times New Roman"/>
          <w:b/>
          <w:bCs/>
          <w:color w:val="auto"/>
          <w:highlight w:val="none"/>
          <w:lang w:val="en-US" w:eastAsia="zh-CN"/>
        </w:rPr>
        <w:t>7.1</w:t>
      </w:r>
      <w:r>
        <w:rPr>
          <w:rFonts w:hint="default" w:ascii="Times New Roman" w:hAnsi="Times New Roman" w:cs="Times New Roman"/>
          <w:b/>
          <w:bCs/>
          <w:color w:val="auto"/>
          <w:highlight w:val="none"/>
        </w:rPr>
        <w:t>-1</w:t>
      </w:r>
      <w:r>
        <w:rPr>
          <w:rFonts w:cs="Times New Roman"/>
          <w:b/>
          <w:bCs/>
          <w:color w:val="auto"/>
          <w:highlight w:val="none"/>
        </w:rPr>
        <w:t xml:space="preserve">  项目环保措施</w:t>
      </w:r>
      <w:r>
        <w:rPr>
          <w:rFonts w:cs="Times New Roman"/>
          <w:b/>
          <w:bCs/>
          <w:color w:val="auto"/>
        </w:rPr>
        <w:t>一览表</w:t>
      </w:r>
    </w:p>
    <w:tbl>
      <w:tblPr>
        <w:tblStyle w:val="18"/>
        <w:tblW w:w="83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0"/>
        <w:gridCol w:w="662"/>
        <w:gridCol w:w="888"/>
        <w:gridCol w:w="5537"/>
        <w:gridCol w:w="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 w:type="dxa"/>
            <w:noWrap w:val="0"/>
            <w:vAlign w:val="center"/>
          </w:tcPr>
          <w:p>
            <w:pPr>
              <w:pStyle w:val="25"/>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序号</w:t>
            </w:r>
          </w:p>
        </w:tc>
        <w:tc>
          <w:tcPr>
            <w:tcW w:w="1550" w:type="dxa"/>
            <w:gridSpan w:val="2"/>
            <w:noWrap w:val="0"/>
            <w:vAlign w:val="center"/>
          </w:tcPr>
          <w:p>
            <w:pPr>
              <w:pStyle w:val="25"/>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环保措施</w:t>
            </w:r>
          </w:p>
        </w:tc>
        <w:tc>
          <w:tcPr>
            <w:tcW w:w="5537" w:type="dxa"/>
            <w:noWrap w:val="0"/>
            <w:vAlign w:val="center"/>
          </w:tcPr>
          <w:p>
            <w:pPr>
              <w:pStyle w:val="25"/>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内容</w:t>
            </w:r>
          </w:p>
        </w:tc>
        <w:tc>
          <w:tcPr>
            <w:tcW w:w="694" w:type="dxa"/>
            <w:noWrap w:val="0"/>
            <w:vAlign w:val="center"/>
          </w:tcPr>
          <w:p>
            <w:pPr>
              <w:pStyle w:val="25"/>
              <w:spacing w:line="240" w:lineRule="auto"/>
              <w:ind w:firstLine="0" w:firstLineChars="0"/>
              <w:jc w:val="center"/>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预计治理效果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7" w:hRule="atLeast"/>
          <w:jc w:val="center"/>
        </w:trPr>
        <w:tc>
          <w:tcPr>
            <w:tcW w:w="520" w:type="dxa"/>
            <w:vMerge w:val="restart"/>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662" w:type="dxa"/>
            <w:vMerge w:val="restart"/>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废气治理</w:t>
            </w:r>
          </w:p>
        </w:tc>
        <w:tc>
          <w:tcPr>
            <w:tcW w:w="888"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有组织</w:t>
            </w:r>
          </w:p>
        </w:tc>
        <w:tc>
          <w:tcPr>
            <w:tcW w:w="5537" w:type="dxa"/>
            <w:noWrap w:val="0"/>
            <w:vAlign w:val="center"/>
          </w:tcPr>
          <w:p>
            <w:pPr>
              <w:pStyle w:val="25"/>
              <w:spacing w:line="240" w:lineRule="auto"/>
              <w:ind w:firstLine="0" w:firstLineChars="0"/>
              <w:jc w:val="both"/>
              <w:rPr>
                <w:rFonts w:hint="eastAsia"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rPr>
              <w:t>①</w:t>
            </w:r>
            <w:r>
              <w:rPr>
                <w:rFonts w:hint="eastAsia" w:ascii="Times New Roman" w:hAnsi="Times New Roman" w:eastAsia="宋体" w:cs="Times New Roman"/>
                <w:color w:val="auto"/>
                <w:sz w:val="21"/>
                <w:szCs w:val="21"/>
              </w:rPr>
              <w:t>车间蒸发和MVR系统臭气经收集后汇总，进入到RTO系统处理后</w:t>
            </w:r>
            <w:r>
              <w:rPr>
                <w:rFonts w:hint="eastAsia" w:ascii="Times New Roman" w:hAnsi="Times New Roman" w:cs="Times New Roman"/>
                <w:color w:val="auto"/>
                <w:sz w:val="21"/>
                <w:szCs w:val="21"/>
                <w:lang w:val="en-US" w:eastAsia="zh-CN"/>
              </w:rPr>
              <w:t>通过15m排气筒DA019</w:t>
            </w:r>
            <w:r>
              <w:rPr>
                <w:rFonts w:hint="eastAsia" w:ascii="Times New Roman" w:hAnsi="Times New Roman" w:eastAsia="宋体" w:cs="Times New Roman"/>
                <w:color w:val="auto"/>
                <w:sz w:val="21"/>
                <w:szCs w:val="21"/>
              </w:rPr>
              <w:t>排放</w:t>
            </w:r>
            <w:r>
              <w:rPr>
                <w:rFonts w:hint="eastAsia" w:ascii="Times New Roman" w:hAnsi="Times New Roman" w:cs="Times New Roman"/>
                <w:color w:val="auto"/>
                <w:sz w:val="21"/>
                <w:szCs w:val="21"/>
                <w:lang w:eastAsia="zh-CN"/>
              </w:rPr>
              <w:t>。</w:t>
            </w:r>
            <w:r>
              <w:rPr>
                <w:rFonts w:hint="eastAsia" w:ascii="Times New Roman" w:hAnsi="Times New Roman" w:eastAsia="宋体" w:cs="Times New Roman"/>
                <w:color w:val="auto"/>
                <w:sz w:val="21"/>
                <w:szCs w:val="21"/>
              </w:rPr>
              <w:t>碱回收系统槽罐产生少量臭气，收集后，调整冷凝器进一步冷却后由真空泵送往碱回收炉燃烧</w:t>
            </w:r>
            <w:r>
              <w:rPr>
                <w:rFonts w:hint="eastAsia" w:ascii="Times New Roman" w:hAnsi="Times New Roman" w:cs="Times New Roman"/>
                <w:color w:val="auto"/>
                <w:sz w:val="21"/>
                <w:szCs w:val="21"/>
                <w:lang w:eastAsia="zh-CN"/>
              </w:rPr>
              <w:t>；</w:t>
            </w:r>
          </w:p>
          <w:p>
            <w:pPr>
              <w:pStyle w:val="25"/>
              <w:spacing w:line="240" w:lineRule="auto"/>
              <w:ind w:firstLine="0" w:firstLineChars="0"/>
              <w:jc w:val="both"/>
              <w:rPr>
                <w:rFonts w:hint="default"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②</w:t>
            </w:r>
            <w:r>
              <w:rPr>
                <w:rFonts w:hint="eastAsia" w:ascii="Times New Roman" w:hAnsi="Times New Roman" w:cs="Times New Roman"/>
                <w:color w:val="auto"/>
                <w:sz w:val="21"/>
                <w:szCs w:val="21"/>
                <w:lang w:val="en-US" w:eastAsia="zh-CN"/>
              </w:rPr>
              <w:t>碱回收系统石灰破碎粉尘收集后，经过布袋除尘器处理后，由15m排气筒DA020排放；</w:t>
            </w:r>
          </w:p>
          <w:p>
            <w:pPr>
              <w:pStyle w:val="25"/>
              <w:spacing w:line="240" w:lineRule="auto"/>
              <w:ind w:firstLine="0" w:firstLineChars="0"/>
              <w:jc w:val="both"/>
              <w:rPr>
                <w:rFonts w:hint="eastAsia" w:ascii="Times New Roman" w:hAnsi="Times New Roman" w:cs="Times New Roman"/>
                <w:color w:val="auto"/>
                <w:sz w:val="21"/>
                <w:szCs w:val="21"/>
                <w:lang w:val="en-US" w:eastAsia="zh-CN"/>
              </w:rPr>
            </w:pPr>
            <w:r>
              <w:rPr>
                <w:rFonts w:hint="eastAsia" w:ascii="Times New Roman" w:hAnsi="Times New Roman" w:eastAsia="宋体" w:cs="Times New Roman"/>
                <w:color w:val="auto"/>
                <w:sz w:val="21"/>
                <w:szCs w:val="21"/>
              </w:rPr>
              <w:t>③</w:t>
            </w:r>
            <w:r>
              <w:rPr>
                <w:rFonts w:hint="eastAsia" w:ascii="Times New Roman" w:hAnsi="Times New Roman" w:cs="Times New Roman"/>
                <w:color w:val="auto"/>
                <w:sz w:val="21"/>
                <w:szCs w:val="21"/>
                <w:lang w:val="en-US" w:eastAsia="zh-CN"/>
              </w:rPr>
              <w:t>碱回收炉产生的废气经SNCR脱硝+双列四电场除尘+碱液一塔吸收+塔顶除尘处理后，由80m高排气筒DA006排放；</w:t>
            </w:r>
          </w:p>
          <w:p>
            <w:pPr>
              <w:pStyle w:val="25"/>
              <w:spacing w:line="240" w:lineRule="auto"/>
              <w:ind w:firstLine="0" w:firstLineChars="0"/>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④</w:t>
            </w:r>
            <w:r>
              <w:rPr>
                <w:rFonts w:hint="eastAsia" w:ascii="Times New Roman" w:hAnsi="Times New Roman" w:cs="Times New Roman"/>
                <w:color w:val="auto"/>
                <w:sz w:val="21"/>
                <w:szCs w:val="21"/>
                <w:lang w:val="en-US" w:eastAsia="zh-CN"/>
              </w:rPr>
              <w:t>RTO产生的废气经过碱喷淋塔处理后，由25m排气筒排放DA019。</w:t>
            </w:r>
          </w:p>
        </w:tc>
        <w:tc>
          <w:tcPr>
            <w:tcW w:w="694"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 w:hRule="atLeast"/>
          <w:jc w:val="center"/>
        </w:trPr>
        <w:tc>
          <w:tcPr>
            <w:tcW w:w="520" w:type="dxa"/>
            <w:vMerge w:val="continue"/>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p>
        </w:tc>
        <w:tc>
          <w:tcPr>
            <w:tcW w:w="662" w:type="dxa"/>
            <w:vMerge w:val="continue"/>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p>
        </w:tc>
        <w:tc>
          <w:tcPr>
            <w:tcW w:w="888" w:type="dxa"/>
            <w:noWrap w:val="0"/>
            <w:vAlign w:val="center"/>
          </w:tcPr>
          <w:p>
            <w:pPr>
              <w:pStyle w:val="25"/>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highlight w:val="none"/>
              </w:rPr>
              <w:t>无组织</w:t>
            </w:r>
          </w:p>
        </w:tc>
        <w:tc>
          <w:tcPr>
            <w:tcW w:w="5537" w:type="dxa"/>
            <w:noWrap w:val="0"/>
            <w:vAlign w:val="center"/>
          </w:tcPr>
          <w:p>
            <w:pPr>
              <w:pStyle w:val="25"/>
              <w:spacing w:line="240" w:lineRule="auto"/>
              <w:ind w:left="0" w:leftChars="0" w:firstLine="0" w:firstLineChars="0"/>
              <w:jc w:val="both"/>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 w:val="0"/>
                <w:bCs w:val="0"/>
                <w:color w:val="auto"/>
                <w:sz w:val="21"/>
                <w:szCs w:val="21"/>
                <w:highlight w:val="none"/>
                <w:vertAlign w:val="baseline"/>
                <w:lang w:val="en-US" w:eastAsia="zh-CN"/>
              </w:rPr>
              <w:t>①</w:t>
            </w:r>
            <w:r>
              <w:rPr>
                <w:rFonts w:hint="eastAsia" w:ascii="Times New Roman" w:hAnsi="Times New Roman" w:cs="Times New Roman"/>
                <w:b w:val="0"/>
                <w:bCs w:val="0"/>
                <w:color w:val="auto"/>
                <w:sz w:val="21"/>
                <w:szCs w:val="21"/>
                <w:highlight w:val="none"/>
                <w:vertAlign w:val="baseline"/>
                <w:lang w:val="en-US" w:eastAsia="zh-CN"/>
              </w:rPr>
              <w:t>木片堆放场会产生粉尘，设置防风抑尘墙和覆盖防尘网来降低无组织排放；</w:t>
            </w:r>
          </w:p>
          <w:p>
            <w:pPr>
              <w:pStyle w:val="25"/>
              <w:spacing w:line="240" w:lineRule="auto"/>
              <w:ind w:left="0" w:leftChars="0" w:firstLine="0" w:firstLineChars="0"/>
              <w:jc w:val="both"/>
              <w:rPr>
                <w:rFonts w:hint="default"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②</w:t>
            </w:r>
            <w:r>
              <w:rPr>
                <w:rFonts w:hint="eastAsia" w:ascii="Times New Roman" w:hAnsi="Times New Roman" w:eastAsia="宋体" w:cs="Times New Roman"/>
                <w:color w:val="auto"/>
                <w:sz w:val="21"/>
                <w:szCs w:val="21"/>
              </w:rPr>
              <w:t>碱回收系统石灰粉碎工段未被集气罩收集的颗粒物</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val="en-US" w:eastAsia="zh-CN"/>
              </w:rPr>
              <w:t>加强车间通风，减少颗粒物在车间的停留时间。</w:t>
            </w:r>
          </w:p>
        </w:tc>
        <w:tc>
          <w:tcPr>
            <w:tcW w:w="694"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 w:hRule="atLeast"/>
          <w:jc w:val="center"/>
        </w:trPr>
        <w:tc>
          <w:tcPr>
            <w:tcW w:w="520"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w:t>
            </w:r>
          </w:p>
        </w:tc>
        <w:tc>
          <w:tcPr>
            <w:tcW w:w="1550" w:type="dxa"/>
            <w:gridSpan w:val="2"/>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废水治理</w:t>
            </w:r>
          </w:p>
        </w:tc>
        <w:tc>
          <w:tcPr>
            <w:tcW w:w="5537" w:type="dxa"/>
            <w:noWrap w:val="0"/>
            <w:vAlign w:val="center"/>
          </w:tcPr>
          <w:p>
            <w:pPr>
              <w:pStyle w:val="25"/>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生产废水及RTO系统喷淋废水经过MVR+碱回收系统处理后回用于生产，不排放；无新增生活废水产生及排放。</w:t>
            </w:r>
          </w:p>
        </w:tc>
        <w:tc>
          <w:tcPr>
            <w:tcW w:w="694"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不排放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520"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w:t>
            </w:r>
          </w:p>
        </w:tc>
        <w:tc>
          <w:tcPr>
            <w:tcW w:w="1550" w:type="dxa"/>
            <w:gridSpan w:val="2"/>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工艺噪声、设备噪声</w:t>
            </w:r>
          </w:p>
        </w:tc>
        <w:tc>
          <w:tcPr>
            <w:tcW w:w="5537" w:type="dxa"/>
            <w:noWrap w:val="0"/>
            <w:vAlign w:val="center"/>
          </w:tcPr>
          <w:p>
            <w:pPr>
              <w:pStyle w:val="25"/>
              <w:spacing w:line="240" w:lineRule="auto"/>
              <w:ind w:firstLine="0" w:firstLineChars="0"/>
              <w:jc w:val="center"/>
              <w:rPr>
                <w:rFonts w:hint="eastAsia" w:ascii="Times New Roman" w:hAnsi="Times New Roman" w:eastAsia="宋体" w:cs="Times New Roman"/>
                <w:color w:val="auto"/>
                <w:sz w:val="21"/>
                <w:szCs w:val="21"/>
                <w:lang w:eastAsia="zh-CN"/>
              </w:rPr>
            </w:pPr>
            <w:r>
              <w:rPr>
                <w:rFonts w:cs="Times New Roman"/>
                <w:color w:val="auto"/>
                <w:sz w:val="21"/>
                <w:szCs w:val="21"/>
              </w:rPr>
              <w:t>减振、隔声、室内布置等</w:t>
            </w:r>
            <w:r>
              <w:rPr>
                <w:rFonts w:hint="eastAsia" w:cs="Times New Roman"/>
                <w:color w:val="auto"/>
                <w:sz w:val="21"/>
                <w:szCs w:val="21"/>
                <w:lang w:eastAsia="zh-CN"/>
              </w:rPr>
              <w:t>。</w:t>
            </w:r>
          </w:p>
        </w:tc>
        <w:tc>
          <w:tcPr>
            <w:tcW w:w="694"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厂界达标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0" w:hRule="atLeast"/>
          <w:jc w:val="center"/>
        </w:trPr>
        <w:tc>
          <w:tcPr>
            <w:tcW w:w="520"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p>
        </w:tc>
        <w:tc>
          <w:tcPr>
            <w:tcW w:w="1550" w:type="dxa"/>
            <w:gridSpan w:val="2"/>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固体废物</w:t>
            </w:r>
          </w:p>
        </w:tc>
        <w:tc>
          <w:tcPr>
            <w:tcW w:w="5537" w:type="dxa"/>
            <w:noWrap w:val="0"/>
            <w:vAlign w:val="center"/>
          </w:tcPr>
          <w:p>
            <w:pPr>
              <w:pStyle w:val="25"/>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产生的木屑和浆渣，收集后送博汇纸业固体废物焚烧炉焚烧；废机油收集后，暂存危废间，委托有资质单位处理；石灰渣和碱回收系统收集粉尘收集后外卖建材企业；白泥收集后送石灰回收项目回收石灰；RTO系统收集颗粒物与生活垃圾收集后，由环卫部门统一清运。</w:t>
            </w:r>
          </w:p>
        </w:tc>
        <w:tc>
          <w:tcPr>
            <w:tcW w:w="694" w:type="dxa"/>
            <w:noWrap w:val="0"/>
            <w:vAlign w:val="center"/>
          </w:tcPr>
          <w:p>
            <w:pPr>
              <w:pStyle w:val="25"/>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不排放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520"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w:t>
            </w:r>
          </w:p>
        </w:tc>
        <w:tc>
          <w:tcPr>
            <w:tcW w:w="1550" w:type="dxa"/>
            <w:gridSpan w:val="2"/>
            <w:noWrap w:val="0"/>
            <w:vAlign w:val="center"/>
          </w:tcPr>
          <w:p>
            <w:pPr>
              <w:pStyle w:val="25"/>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val="en-US" w:eastAsia="zh-CN"/>
              </w:rPr>
              <w:t>环境风险</w:t>
            </w:r>
          </w:p>
        </w:tc>
        <w:tc>
          <w:tcPr>
            <w:tcW w:w="5537" w:type="dxa"/>
            <w:noWrap w:val="0"/>
            <w:vAlign w:val="center"/>
          </w:tcPr>
          <w:p>
            <w:pPr>
              <w:pStyle w:val="25"/>
              <w:spacing w:line="240" w:lineRule="auto"/>
              <w:ind w:firstLine="0" w:firstLineChars="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在装置开停工、检修、生产过程中可能产生含有可燃、有毒、对环境有污染液体或事故状态下消防废水通过废水收集系统进入厂区事故水池；双氧水储存室要设置防火、防泄漏设施</w:t>
            </w:r>
            <w:r>
              <w:rPr>
                <w:rFonts w:hint="eastAsia" w:cs="Times New Roman"/>
                <w:color w:val="auto"/>
                <w:sz w:val="21"/>
                <w:szCs w:val="21"/>
                <w:lang w:eastAsia="zh-CN"/>
              </w:rPr>
              <w:t>。</w:t>
            </w:r>
          </w:p>
        </w:tc>
        <w:tc>
          <w:tcPr>
            <w:tcW w:w="694" w:type="dxa"/>
            <w:noWrap w:val="0"/>
            <w:vAlign w:val="center"/>
          </w:tcPr>
          <w:p>
            <w:pPr>
              <w:pStyle w:val="2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不外排</w:t>
            </w:r>
          </w:p>
        </w:tc>
      </w:tr>
    </w:tbl>
    <w:p>
      <w:pPr>
        <w:pStyle w:val="8"/>
        <w:keepNext/>
        <w:keepLines/>
        <w:pageBreakBefore w:val="0"/>
        <w:widowControl w:val="0"/>
        <w:kinsoku/>
        <w:wordWrap/>
        <w:overflowPunct/>
        <w:topLinePunct w:val="0"/>
        <w:autoSpaceDE/>
        <w:autoSpaceDN/>
        <w:bidi w:val="0"/>
        <w:adjustRightInd/>
        <w:snapToGrid w:val="0"/>
        <w:spacing w:before="157" w:beforeLines="50" w:after="0" w:afterLines="0" w:line="360" w:lineRule="auto"/>
        <w:textAlignment w:val="auto"/>
        <w:rPr>
          <w:rFonts w:hint="default" w:ascii="宋体" w:hAnsi="宋体" w:eastAsia="宋体" w:cs="宋体"/>
          <w:lang w:val="en-US" w:eastAsia="zh-CN"/>
        </w:rPr>
      </w:pPr>
      <w:bookmarkStart w:id="48" w:name="_Toc10456"/>
      <w:bookmarkStart w:id="49" w:name="_Toc19721"/>
      <w:r>
        <w:rPr>
          <w:rFonts w:hint="eastAsia" w:ascii="Times New Roman" w:hAnsi="Times New Roman" w:eastAsia="宋体" w:cs="Times New Roman"/>
          <w:lang w:val="en-US" w:eastAsia="zh-CN"/>
        </w:rPr>
        <w:t>7</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2</w:t>
      </w:r>
      <w:r>
        <w:rPr>
          <w:rFonts w:hint="eastAsia" w:ascii="宋体" w:hAnsi="宋体" w:eastAsia="宋体" w:cs="宋体"/>
          <w:lang w:val="en-US" w:eastAsia="zh-CN"/>
        </w:rPr>
        <w:t>废气治理措施及其技术经济论证</w:t>
      </w:r>
      <w:bookmarkEnd w:id="48"/>
      <w:bookmarkEnd w:id="49"/>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eastAsia="宋体"/>
          <w:lang w:val="en-US" w:eastAsia="zh-CN"/>
        </w:rPr>
      </w:pPr>
      <w:r>
        <w:rPr>
          <w:rFonts w:hint="eastAsia" w:ascii="Times New Roman" w:hAnsi="Times New Roman"/>
          <w:b/>
          <w:bCs/>
          <w:color w:val="auto"/>
          <w:sz w:val="28"/>
          <w:szCs w:val="28"/>
          <w:lang w:val="en-US" w:eastAsia="zh-CN"/>
        </w:rPr>
        <w:t>7.2</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1</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废气防治措施分析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1、无组织废气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eastAsia" w:ascii="Times New Roman" w:hAnsi="Times New Roman"/>
          <w:sz w:val="24"/>
          <w:szCs w:val="24"/>
          <w:lang w:val="en-US" w:eastAsia="zh-CN"/>
        </w:rPr>
        <w:t>（1）木片堆场及筛分粉尘</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项目针对木片堆场采取设置防风抑尘墙的措施，该防风抑尘墙是根据空气动力学原理设计的。当风通过抑尘墙时，抑尘墙后面出现分离和附着两种现象，形成上、下干扰气流，降低来风的风速，极大的损失来风的动能，减少风的湍流度，消除来风的涡流，降低木片堆表面的剪切力和压力，从而减少料堆起尘率。同时，对于装卸作业而形成的飘尘，通过非主导风向设置的抑尘墙予以阻挡，达到理想的抑尘效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另外，项目拟对输送过程采取密闭措施，筛分过程密闭。备料在车间内操作，木片含有一定水分，湿度较大，且车间内定期洒水，可有效减少粉尘的产生及排放，采取措施后，总体可减少85%的粉尘产生。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eastAsia" w:ascii="Times New Roman" w:hAnsi="Times New Roman"/>
          <w:sz w:val="24"/>
          <w:szCs w:val="24"/>
          <w:lang w:val="en-US" w:eastAsia="zh-CN"/>
        </w:rPr>
        <w:t>（2）碱回收系统未被收集的粉尘</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碱回收系统石灰粉碎工段未被集气罩收集的颗粒物，加强车间通风，减少颗粒物在车间的停留时间。</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sz w:val="24"/>
          <w:szCs w:val="24"/>
          <w:lang w:val="en-US" w:eastAsia="zh-CN"/>
        </w:rPr>
      </w:pPr>
      <w:r>
        <w:rPr>
          <w:rFonts w:hint="eastAsia" w:ascii="Times New Roman" w:hAnsi="Times New Roman"/>
          <w:sz w:val="24"/>
          <w:szCs w:val="24"/>
          <w:lang w:val="en-US" w:eastAsia="zh-CN"/>
        </w:rPr>
        <w:t>本项目厂界颗粒物</w:t>
      </w:r>
      <w:r>
        <w:rPr>
          <w:rFonts w:hint="eastAsia" w:ascii="Times New Roman" w:hAnsi="Times New Roman" w:eastAsia="宋体"/>
          <w:sz w:val="24"/>
          <w:szCs w:val="24"/>
          <w:lang w:val="en-US" w:eastAsia="zh-CN"/>
        </w:rPr>
        <w:t>排放</w:t>
      </w:r>
      <w:r>
        <w:rPr>
          <w:rFonts w:hint="default" w:ascii="Times New Roman" w:hAnsi="Times New Roman" w:eastAsia="宋体"/>
          <w:sz w:val="24"/>
          <w:szCs w:val="24"/>
          <w:lang w:val="en-US" w:eastAsia="zh-CN"/>
        </w:rPr>
        <w:t>满足</w:t>
      </w:r>
      <w:r>
        <w:rPr>
          <w:rFonts w:hint="eastAsia" w:ascii="Times New Roman" w:hAnsi="Times New Roman" w:eastAsia="宋体"/>
          <w:sz w:val="24"/>
          <w:szCs w:val="24"/>
          <w:lang w:val="en-US" w:eastAsia="zh-CN"/>
        </w:rPr>
        <w:t>《大气污染物综合排放标准》（GB16297-1996）表2厂</w:t>
      </w:r>
      <w:r>
        <w:rPr>
          <w:rFonts w:hint="default" w:ascii="Times New Roman" w:hAnsi="Times New Roman" w:eastAsia="宋体"/>
          <w:sz w:val="24"/>
          <w:szCs w:val="24"/>
          <w:lang w:val="en-US" w:eastAsia="zh-CN"/>
        </w:rPr>
        <w:t>界</w:t>
      </w:r>
      <w:r>
        <w:rPr>
          <w:rFonts w:hint="eastAsia" w:ascii="Times New Roman" w:hAnsi="Times New Roman" w:eastAsia="宋体"/>
          <w:sz w:val="24"/>
          <w:szCs w:val="24"/>
          <w:lang w:val="en-US" w:eastAsia="zh-CN"/>
        </w:rPr>
        <w:t>无组织排放监控</w:t>
      </w:r>
      <w:r>
        <w:rPr>
          <w:rFonts w:hint="default" w:ascii="Times New Roman" w:hAnsi="Times New Roman" w:eastAsia="宋体"/>
          <w:sz w:val="24"/>
          <w:szCs w:val="24"/>
          <w:lang w:val="en-US" w:eastAsia="zh-CN"/>
        </w:rPr>
        <w:t>浓度限值。</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2、有组织废气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eastAsia" w:ascii="Times New Roman" w:hAnsi="Times New Roman"/>
          <w:sz w:val="24"/>
          <w:szCs w:val="24"/>
          <w:lang w:val="en-US" w:eastAsia="zh-CN"/>
        </w:rPr>
        <w:t>（1）臭气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本项目不使用含硫化学品，车间蒸发产生少量臭气、MVR系统产生少量臭气、碱回收系统槽罐产生少量臭气。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车间蒸发和</w:t>
      </w:r>
      <w:r>
        <w:rPr>
          <w:rFonts w:hint="default" w:ascii="Times New Roman" w:hAnsi="Times New Roman"/>
          <w:sz w:val="24"/>
          <w:szCs w:val="24"/>
          <w:lang w:val="en-US" w:eastAsia="zh-CN"/>
        </w:rPr>
        <w:t>MVR</w:t>
      </w:r>
      <w:r>
        <w:rPr>
          <w:rFonts w:hint="eastAsia" w:ascii="Times New Roman" w:hAnsi="Times New Roman"/>
          <w:sz w:val="24"/>
          <w:szCs w:val="24"/>
          <w:lang w:val="en-US" w:eastAsia="zh-CN"/>
        </w:rPr>
        <w:t>系统臭气经收集后汇总，进入到</w:t>
      </w:r>
      <w:r>
        <w:rPr>
          <w:rFonts w:hint="default" w:ascii="Times New Roman" w:hAnsi="Times New Roman"/>
          <w:sz w:val="24"/>
          <w:szCs w:val="24"/>
          <w:lang w:val="en-US" w:eastAsia="zh-CN"/>
        </w:rPr>
        <w:t>RTO</w:t>
      </w:r>
      <w:r>
        <w:rPr>
          <w:rFonts w:hint="eastAsia" w:ascii="Times New Roman" w:hAnsi="Times New Roman"/>
          <w:sz w:val="24"/>
          <w:szCs w:val="24"/>
          <w:lang w:val="en-US" w:eastAsia="zh-CN"/>
        </w:rPr>
        <w:t>系统处理后排放；碱回收系统槽罐产生少量臭气，收集后，调整冷凝器进一步冷却后由真空泵送往碱回收炉燃烧。</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（2）石灰破碎粉尘</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default" w:ascii="Times New Roman" w:hAnsi="Times New Roman"/>
          <w:sz w:val="24"/>
          <w:szCs w:val="24"/>
          <w:lang w:val="en-US" w:eastAsia="zh-CN"/>
        </w:rPr>
        <w:t>碱回收系统外购石灰石，对石灰进行破碎，破碎过程产生粉尘</w:t>
      </w:r>
      <w:r>
        <w:rPr>
          <w:rFonts w:hint="eastAsia" w:ascii="Times New Roman" w:hAnsi="Times New Roman"/>
          <w:sz w:val="24"/>
          <w:szCs w:val="24"/>
          <w:lang w:val="en-US" w:eastAsia="zh-CN"/>
        </w:rPr>
        <w:t>。粉尘</w:t>
      </w:r>
      <w:r>
        <w:rPr>
          <w:rFonts w:hint="eastAsia" w:ascii="Times New Roman" w:hAnsi="Times New Roman" w:cs="Times New Roman"/>
          <w:kern w:val="2"/>
          <w:sz w:val="24"/>
          <w:szCs w:val="24"/>
          <w:lang w:val="en-US" w:eastAsia="zh-CN" w:bidi="ar-SA"/>
        </w:rPr>
        <w:t>收集后（收集效率95%），</w:t>
      </w:r>
      <w:r>
        <w:rPr>
          <w:rFonts w:hint="default"/>
          <w:sz w:val="24"/>
          <w:szCs w:val="24"/>
          <w:lang w:val="en-US" w:eastAsia="zh-CN"/>
        </w:rPr>
        <w:t>经布袋除尘器（处理效率大于</w:t>
      </w:r>
      <w:r>
        <w:rPr>
          <w:rFonts w:hint="default" w:ascii="Times New Roman" w:hAnsi="Times New Roman" w:cs="Times New Roman"/>
          <w:sz w:val="24"/>
          <w:szCs w:val="24"/>
          <w:lang w:val="en-US" w:eastAsia="zh-CN"/>
        </w:rPr>
        <w:t>99%</w:t>
      </w:r>
      <w:r>
        <w:rPr>
          <w:rFonts w:hint="default"/>
          <w:sz w:val="24"/>
          <w:szCs w:val="24"/>
          <w:lang w:val="en-US" w:eastAsia="zh-CN"/>
        </w:rPr>
        <w:t>）处理后，由引风机引入</w:t>
      </w:r>
      <w:r>
        <w:rPr>
          <w:rFonts w:hint="default" w:ascii="Times New Roman" w:hAnsi="Times New Roman" w:cs="Times New Roman"/>
          <w:sz w:val="24"/>
          <w:szCs w:val="24"/>
          <w:lang w:val="en-US" w:eastAsia="zh-CN"/>
        </w:rPr>
        <w:t>1</w:t>
      </w:r>
      <w:r>
        <w:rPr>
          <w:rFonts w:hint="default"/>
          <w:sz w:val="24"/>
          <w:szCs w:val="24"/>
          <w:lang w:val="en-US" w:eastAsia="zh-CN"/>
        </w:rPr>
        <w:t>根</w:t>
      </w:r>
      <w:r>
        <w:rPr>
          <w:rFonts w:hint="default" w:ascii="Times New Roman" w:hAnsi="Times New Roman" w:cs="Times New Roman"/>
          <w:sz w:val="24"/>
          <w:szCs w:val="24"/>
          <w:lang w:val="en-US" w:eastAsia="zh-CN"/>
        </w:rPr>
        <w:t>15m</w:t>
      </w:r>
      <w:r>
        <w:rPr>
          <w:rFonts w:hint="default"/>
          <w:sz w:val="24"/>
          <w:szCs w:val="24"/>
          <w:lang w:val="en-US" w:eastAsia="zh-CN"/>
        </w:rPr>
        <w:t>高排气筒</w:t>
      </w:r>
      <w:r>
        <w:rPr>
          <w:rFonts w:hint="default" w:ascii="Times New Roman" w:hAnsi="Times New Roman" w:cs="Times New Roman"/>
          <w:sz w:val="24"/>
          <w:szCs w:val="24"/>
          <w:lang w:val="en-US" w:eastAsia="zh-CN"/>
        </w:rPr>
        <w:t>DA020</w:t>
      </w:r>
      <w:r>
        <w:rPr>
          <w:rFonts w:hint="default"/>
          <w:sz w:val="24"/>
          <w:szCs w:val="24"/>
          <w:lang w:val="en-US" w:eastAsia="zh-CN"/>
        </w:rPr>
        <w:t>排放</w:t>
      </w:r>
      <w:r>
        <w:rPr>
          <w:rFonts w:hint="eastAsia"/>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（3）碱回收炉废气</w:t>
      </w:r>
    </w:p>
    <w:p>
      <w:pPr>
        <w:pStyle w:val="17"/>
        <w:keepNext w:val="0"/>
        <w:keepLines w:val="0"/>
        <w:pageBreakBefore w:val="0"/>
        <w:widowControl w:val="0"/>
        <w:kinsoku/>
        <w:wordWrap/>
        <w:overflowPunct/>
        <w:topLinePunct w:val="0"/>
        <w:autoSpaceDE/>
        <w:autoSpaceDN/>
        <w:bidi w:val="0"/>
        <w:adjustRightInd/>
        <w:snapToGrid w:val="0"/>
        <w:spacing w:after="0"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项目碱回收炉产生的废气为 SO</w:t>
      </w:r>
      <w:r>
        <w:rPr>
          <w:rFonts w:hint="default" w:ascii="Times New Roman" w:hAnsi="Times New Roman"/>
          <w:sz w:val="24"/>
          <w:szCs w:val="24"/>
          <w:vertAlign w:val="subscript"/>
          <w:lang w:val="en-US" w:eastAsia="zh-CN"/>
        </w:rPr>
        <w:t>2</w:t>
      </w:r>
      <w:r>
        <w:rPr>
          <w:rFonts w:hint="default" w:ascii="Times New Roman" w:hAnsi="Times New Roman"/>
          <w:sz w:val="24"/>
          <w:szCs w:val="24"/>
          <w:lang w:val="en-US" w:eastAsia="zh-CN"/>
        </w:rPr>
        <w:t>、NOx、烟尘</w:t>
      </w:r>
      <w:r>
        <w:rPr>
          <w:rFonts w:hint="eastAsia" w:ascii="Times New Roman" w:hAnsi="Times New Roman"/>
          <w:sz w:val="24"/>
          <w:szCs w:val="24"/>
          <w:lang w:val="en-US" w:eastAsia="zh-CN"/>
        </w:rPr>
        <w:t>。</w:t>
      </w:r>
      <w:r>
        <w:rPr>
          <w:rFonts w:hint="default" w:ascii="Times New Roman" w:hAnsi="Times New Roman"/>
          <w:sz w:val="24"/>
          <w:szCs w:val="24"/>
          <w:lang w:val="en-US" w:eastAsia="zh-CN"/>
        </w:rPr>
        <w:t>碱回收炉废气</w:t>
      </w:r>
      <w:r>
        <w:rPr>
          <w:rFonts w:hint="eastAsia" w:ascii="Times New Roman" w:hAnsi="Times New Roman"/>
          <w:sz w:val="24"/>
          <w:szCs w:val="24"/>
          <w:lang w:val="en-US" w:eastAsia="zh-CN"/>
        </w:rPr>
        <w:t>经过</w:t>
      </w:r>
      <w:r>
        <w:rPr>
          <w:rFonts w:hint="default" w:ascii="Times New Roman" w:hAnsi="Times New Roman"/>
          <w:sz w:val="24"/>
          <w:szCs w:val="24"/>
          <w:lang w:val="en-US" w:eastAsia="zh-CN"/>
        </w:rPr>
        <w:t>SNCR脱硝+双列四电场除尘（除尘效率99%）+碱液一塔吸收（附带除尘效率50%）+塔顶除尘（除尘效率40%）处理工艺</w:t>
      </w:r>
      <w:r>
        <w:rPr>
          <w:rFonts w:hint="eastAsia" w:ascii="Times New Roman" w:hAnsi="Times New Roman"/>
          <w:sz w:val="24"/>
          <w:szCs w:val="24"/>
          <w:lang w:val="en-US" w:eastAsia="zh-CN"/>
        </w:rPr>
        <w:t>处理后</w:t>
      </w:r>
      <w:r>
        <w:rPr>
          <w:rFonts w:hint="default" w:ascii="Times New Roman" w:hAnsi="Times New Roman"/>
          <w:sz w:val="24"/>
          <w:szCs w:val="24"/>
          <w:lang w:val="en-US" w:eastAsia="zh-CN"/>
        </w:rPr>
        <w:t>，</w:t>
      </w:r>
      <w:r>
        <w:rPr>
          <w:rFonts w:hint="eastAsia" w:ascii="Times New Roman" w:hAnsi="Times New Roman"/>
          <w:sz w:val="24"/>
          <w:szCs w:val="24"/>
          <w:lang w:val="en-US" w:eastAsia="zh-CN"/>
        </w:rPr>
        <w:t>由80m高排气筒DA006排放。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（4）RTO系统废气</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RTO系统产生的废气分为三部分，一部分为化机浆车间蒸发和MVR系统臭气燃烧后剩余的有机废气；一部分为化机浆车间蒸发和MVR系统臭气燃烧后产生的二氧化硫、氮氧化物、颗粒物；一部分为助燃天然气产生的二氧化硫、氮氧化物、颗粒物，经20m高排气筒DA019排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项目有组织废气为颗粒物、二氧化硫、氮氧化物、非甲烷总烃、异丙醇、VOCs、臭气浓度。碱回收系统石灰破碎工段产生的废气经“布袋除尘器”处理后经15m排气筒DA020排放，排气筒外排颗粒物满足山东省《区域性大气污染物综合排放标准》（DB37/2376-2019）表1重点控制区排放限值要求；碱回收炉产生的废气经“SNCR脱硝+双列四电场除尘（除尘效率99%）+碱液一塔吸收（附带除尘效率50%）+塔顶除尘（除尘效率40%）处理工艺”处理后经80m排气筒DA006排放，排气筒外排颗粒物、二氧化硫、氮氧化物排放满足山东省《火电厂大气污染物排放标准》（DB37/664-2019）表2排放限值要求；RTO系统产生的废气经“碱液喷淋塔”处理后经</w:t>
      </w:r>
      <w:r>
        <w:rPr>
          <w:rFonts w:hint="eastAsia" w:ascii="Times New Roman" w:hAnsi="Times New Roman"/>
          <w:color w:val="auto"/>
          <w:sz w:val="24"/>
          <w:szCs w:val="24"/>
          <w:lang w:val="en-US" w:eastAsia="zh-CN"/>
        </w:rPr>
        <w:t>20m</w:t>
      </w:r>
      <w:r>
        <w:rPr>
          <w:rFonts w:hint="eastAsia" w:ascii="Times New Roman" w:hAnsi="Times New Roman"/>
          <w:sz w:val="24"/>
          <w:szCs w:val="24"/>
          <w:lang w:val="en-US" w:eastAsia="zh-CN"/>
        </w:rPr>
        <w:t>排气筒DA019排放，排气筒外排颗粒物、二氧化硫、氮氧化物排放满足山东省《区域性大气污染物综合排放标准》（DB37/2376-2019）表1重点控制区排放限值要求，外排非甲烷总烃、异丙醇和VOCs满足《挥发性有机物排放标准 第7部分：其他行业》（DB37/ 2801.7—2019），外排臭气浓度满足《恶臭污染物排放标准》（GB14554-93）表1二级标准要求。</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eastAsia="宋体"/>
          <w:lang w:val="en-US" w:eastAsia="zh-CN"/>
        </w:rPr>
      </w:pPr>
      <w:r>
        <w:rPr>
          <w:rFonts w:hint="eastAsia" w:ascii="Times New Roman" w:hAnsi="Times New Roman"/>
          <w:b/>
          <w:bCs/>
          <w:color w:val="auto"/>
          <w:sz w:val="28"/>
          <w:szCs w:val="28"/>
          <w:lang w:val="en-US" w:eastAsia="zh-CN"/>
        </w:rPr>
        <w:t>7.2</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2</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废气防治措施技术分析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eastAsia" w:ascii="Times New Roman" w:hAnsi="Times New Roman"/>
          <w:sz w:val="24"/>
          <w:szCs w:val="24"/>
          <w:lang w:val="en-US" w:eastAsia="zh-CN"/>
        </w:rPr>
        <w:t>1、颗粒物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eastAsia" w:ascii="Times New Roman" w:hAnsi="Times New Roman"/>
          <w:sz w:val="24"/>
          <w:szCs w:val="24"/>
          <w:lang w:val="en-US" w:eastAsia="zh-CN"/>
        </w:rPr>
        <w:t>本项目</w:t>
      </w:r>
      <w:r>
        <w:rPr>
          <w:rFonts w:hint="default" w:ascii="Times New Roman" w:hAnsi="Times New Roman"/>
          <w:sz w:val="24"/>
          <w:szCs w:val="24"/>
          <w:lang w:val="en-US" w:eastAsia="zh-CN"/>
        </w:rPr>
        <w:t>对石灰进行破碎</w:t>
      </w:r>
      <w:r>
        <w:rPr>
          <w:rFonts w:hint="eastAsia" w:ascii="Times New Roman" w:hAnsi="Times New Roman"/>
          <w:sz w:val="24"/>
          <w:szCs w:val="24"/>
          <w:lang w:val="en-US" w:eastAsia="zh-CN"/>
        </w:rPr>
        <w:t>会产生粉尘。</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sectPr>
          <w:headerReference r:id="rId58" w:type="default"/>
          <w:footerReference r:id="rId59" w:type="default"/>
          <w:pgSz w:w="11906" w:h="16838"/>
          <w:pgMar w:top="1440" w:right="1800" w:bottom="1440" w:left="1800" w:header="851" w:footer="73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sz w:val="24"/>
          <w:szCs w:val="24"/>
          <w:lang w:val="en-US" w:eastAsia="zh-CN"/>
        </w:rPr>
        <w:t>国内外颗粒物常见处理工艺见表</w:t>
      </w:r>
      <w:r>
        <w:rPr>
          <w:rFonts w:hint="default" w:ascii="Times New Roman" w:hAnsi="Times New Roman" w:cs="Times New Roman"/>
          <w:sz w:val="24"/>
          <w:szCs w:val="24"/>
          <w:lang w:val="en-US" w:eastAsia="zh-CN"/>
        </w:rPr>
        <w:t>7.2-1</w:t>
      </w:r>
      <w:r>
        <w:rPr>
          <w:rFonts w:hint="eastAsia"/>
          <w:sz w:val="24"/>
          <w:szCs w:val="24"/>
          <w:lang w:val="en-US"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rPr>
      </w:pPr>
      <w:r>
        <w:rPr>
          <w:rFonts w:cs="Times New Roman"/>
          <w:b/>
          <w:bCs/>
          <w:color w:val="auto"/>
          <w:sz w:val="24"/>
          <w:szCs w:val="24"/>
          <w:highlight w:val="none"/>
        </w:rPr>
        <w:t>表</w:t>
      </w:r>
      <w:r>
        <w:rPr>
          <w:rFonts w:hint="eastAsia" w:ascii="Times New Roman" w:hAnsi="Times New Roman" w:cs="Times New Roman"/>
          <w:b/>
          <w:bCs/>
          <w:color w:val="auto"/>
          <w:sz w:val="24"/>
          <w:szCs w:val="24"/>
          <w:highlight w:val="none"/>
          <w:lang w:val="en-US" w:eastAsia="zh-CN"/>
        </w:rPr>
        <w:t>7</w:t>
      </w:r>
      <w:r>
        <w:rPr>
          <w:rFonts w:hint="default" w:ascii="Times New Roman" w:hAnsi="Times New Roman" w:cs="Times New Roman"/>
          <w:b/>
          <w:bCs/>
          <w:color w:val="auto"/>
          <w:sz w:val="24"/>
          <w:szCs w:val="24"/>
          <w:highlight w:val="none"/>
        </w:rPr>
        <w:t>.</w:t>
      </w:r>
      <w:r>
        <w:rPr>
          <w:rFonts w:hint="eastAsia"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rPr>
        <w:t>-</w:t>
      </w:r>
      <w:r>
        <w:rPr>
          <w:rFonts w:hint="eastAsia" w:ascii="Times New Roman" w:hAnsi="Times New Roman" w:cs="Times New Roman"/>
          <w:b/>
          <w:bCs/>
          <w:color w:val="auto"/>
          <w:sz w:val="24"/>
          <w:szCs w:val="24"/>
          <w:highlight w:val="none"/>
          <w:lang w:val="en-US" w:eastAsia="zh-CN"/>
        </w:rPr>
        <w:t>1</w:t>
      </w:r>
      <w:r>
        <w:rPr>
          <w:rFonts w:cs="Times New Roman"/>
          <w:b/>
          <w:bCs/>
          <w:color w:val="auto"/>
          <w:sz w:val="24"/>
          <w:szCs w:val="24"/>
          <w:highlight w:val="none"/>
        </w:rPr>
        <w:t xml:space="preserve">  </w:t>
      </w:r>
      <w:r>
        <w:rPr>
          <w:rFonts w:hint="eastAsia" w:cs="Times New Roman"/>
          <w:b/>
          <w:bCs/>
          <w:color w:val="auto"/>
          <w:sz w:val="24"/>
          <w:szCs w:val="24"/>
          <w:highlight w:val="none"/>
          <w:lang w:val="en-US" w:eastAsia="zh-CN"/>
        </w:rPr>
        <w:t>颗粒物</w:t>
      </w:r>
      <w:r>
        <w:rPr>
          <w:rFonts w:hint="eastAsia" w:cs="Times New Roman"/>
          <w:b/>
          <w:bCs/>
          <w:color w:val="auto"/>
          <w:sz w:val="24"/>
          <w:szCs w:val="24"/>
          <w:highlight w:val="none"/>
        </w:rPr>
        <w:t>常用处理工艺比选一览表</w:t>
      </w:r>
    </w:p>
    <w:tbl>
      <w:tblPr>
        <w:tblStyle w:val="19"/>
        <w:tblW w:w="133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2"/>
        <w:gridCol w:w="3779"/>
        <w:gridCol w:w="4075"/>
        <w:gridCol w:w="36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1812" w:type="dxa"/>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b w:val="0"/>
                <w:bCs w:val="0"/>
                <w:lang w:val="en-US" w:eastAsia="zh-CN"/>
              </w:rPr>
            </w:pPr>
          </w:p>
          <w:p>
            <w:pPr>
              <w:pStyle w:val="17"/>
              <w:rPr>
                <w:rFonts w:hint="default"/>
                <w:b w:val="0"/>
                <w:bCs w:val="0"/>
                <w:lang w:val="en-US" w:eastAsia="zh-CN"/>
              </w:rPr>
            </w:pPr>
            <w:r>
              <w:rPr>
                <w:rFonts w:hint="eastAsia"/>
                <w:b w:val="0"/>
                <w:bCs w:val="0"/>
                <w:lang w:val="en-US" w:eastAsia="zh-CN"/>
              </w:rPr>
              <w:t>项目</w:t>
            </w:r>
          </w:p>
          <w:p>
            <w:pPr>
              <w:rPr>
                <w:rFonts w:hint="eastAsia"/>
                <w:b w:val="0"/>
                <w:bCs w:val="0"/>
                <w:lang w:val="en-US" w:eastAsia="zh-CN"/>
              </w:rPr>
            </w:pPr>
          </w:p>
          <w:p>
            <w:pPr>
              <mc:AlternateContent>
                <mc:Choice Requires="wpsCustomData">
                  <wpsCustomData:diagonalParaType/>
                </mc:Choice>
              </mc:AlternateContent>
              <w:rPr>
                <w:rFonts w:hint="default"/>
                <w:b w:val="0"/>
                <w:bCs w:val="0"/>
                <w:lang w:val="en-US" w:eastAsia="zh-CN"/>
              </w:rPr>
            </w:pPr>
            <w:r>
              <w:rPr>
                <w:rFonts w:hint="eastAsia" w:cs="Times New Roman"/>
                <w:b w:val="0"/>
                <w:bCs w:val="0"/>
                <w:sz w:val="21"/>
                <w:szCs w:val="21"/>
                <w:highlight w:val="none"/>
                <w:vertAlign w:val="baseline"/>
                <w:lang w:val="en-US" w:eastAsia="zh-CN"/>
              </w:rPr>
              <w:t>项目</w:t>
            </w:r>
          </w:p>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both"/>
              <w:textAlignment w:val="auto"/>
              <w:rPr>
                <w:rFonts w:hint="default"/>
                <w:b w:val="0"/>
                <w:bCs w:val="0"/>
                <w:lang w:val="en-US" w:eastAsia="zh-CN"/>
              </w:rPr>
            </w:pPr>
            <w:r>
              <w:rPr>
                <w:rFonts w:hint="eastAsia"/>
                <w:b w:val="0"/>
                <w:bCs w:val="0"/>
                <w:lang w:val="en-US" w:eastAsia="zh-CN"/>
              </w:rPr>
              <w:t>处理方法</w:t>
            </w:r>
          </w:p>
        </w:tc>
        <w:tc>
          <w:tcPr>
            <w:tcW w:w="377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布袋除尘器</w:t>
            </w:r>
          </w:p>
        </w:tc>
        <w:tc>
          <w:tcPr>
            <w:tcW w:w="4075"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静电除尘器</w:t>
            </w:r>
          </w:p>
        </w:tc>
        <w:tc>
          <w:tcPr>
            <w:tcW w:w="3637"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旋风除尘器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8" w:hRule="atLeast"/>
          <w:jc w:val="center"/>
        </w:trPr>
        <w:tc>
          <w:tcPr>
            <w:tcW w:w="1812"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方法简述</w:t>
            </w:r>
          </w:p>
        </w:tc>
        <w:tc>
          <w:tcPr>
            <w:tcW w:w="377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适用于捕集细小、干燥、非纤维性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w:t>
            </w:r>
          </w:p>
        </w:tc>
        <w:tc>
          <w:tcPr>
            <w:tcW w:w="4075"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利用高压电场使烟气发生电离，气流中的粉尘荷电在电场作用下与气流分离。负极由不同断面形状的金属导线制成，叫放电电极。正极由不同几何形状的金属板制成，叫集尘电极。静电除尘器的性能受粉尘性质、设备构造和烟气流速等三个因素的影响。粉尘的比电阻是评价导电性的指标，它对除尘效率有直接的影响。</w:t>
            </w:r>
          </w:p>
        </w:tc>
        <w:tc>
          <w:tcPr>
            <w:tcW w:w="3637"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使含尘气流作旋转运动，借助于离心力将尘粒从气流中分离并捕集于器壁，再借助重力作用使尘粒落入灰斗。旋风除尘器的各个部件都有一定的尺寸比例，每一个比例关系的变动，都能影响旋风除尘器的效率和压力损失，其中除尘器直径、进气口尺寸、排气管直径为主要影响因素，对细颗粒物去除率较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812"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处理效率</w:t>
            </w:r>
          </w:p>
        </w:tc>
        <w:tc>
          <w:tcPr>
            <w:tcW w:w="377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99.9%</w:t>
            </w:r>
          </w:p>
        </w:tc>
        <w:tc>
          <w:tcPr>
            <w:tcW w:w="4075"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99%</w:t>
            </w:r>
          </w:p>
        </w:tc>
        <w:tc>
          <w:tcPr>
            <w:tcW w:w="3637"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70%-95%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1812"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运行环境要求</w:t>
            </w:r>
          </w:p>
        </w:tc>
        <w:tc>
          <w:tcPr>
            <w:tcW w:w="377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无特殊要求</w:t>
            </w:r>
          </w:p>
        </w:tc>
        <w:tc>
          <w:tcPr>
            <w:tcW w:w="4075"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保持规定电压，合适的粉尘性质、设备构造和烟气流速</w:t>
            </w:r>
          </w:p>
        </w:tc>
        <w:tc>
          <w:tcPr>
            <w:tcW w:w="3637"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根据颗粒物特点定制相应除尘器参数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812"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投资</w:t>
            </w:r>
          </w:p>
        </w:tc>
        <w:tc>
          <w:tcPr>
            <w:tcW w:w="377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适中</w:t>
            </w:r>
          </w:p>
        </w:tc>
        <w:tc>
          <w:tcPr>
            <w:tcW w:w="4075"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较高</w:t>
            </w:r>
          </w:p>
        </w:tc>
        <w:tc>
          <w:tcPr>
            <w:tcW w:w="3637"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适中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812"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运行费用</w:t>
            </w:r>
          </w:p>
        </w:tc>
        <w:tc>
          <w:tcPr>
            <w:tcW w:w="377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较低</w:t>
            </w:r>
          </w:p>
        </w:tc>
        <w:tc>
          <w:tcPr>
            <w:tcW w:w="4075"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较高</w:t>
            </w:r>
          </w:p>
        </w:tc>
        <w:tc>
          <w:tcPr>
            <w:tcW w:w="3637"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较低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812"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能耗</w:t>
            </w:r>
          </w:p>
        </w:tc>
        <w:tc>
          <w:tcPr>
            <w:tcW w:w="3779"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较低</w:t>
            </w:r>
          </w:p>
        </w:tc>
        <w:tc>
          <w:tcPr>
            <w:tcW w:w="4075"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较低</w:t>
            </w:r>
          </w:p>
        </w:tc>
        <w:tc>
          <w:tcPr>
            <w:tcW w:w="3637" w:type="dxa"/>
            <w:noWrap w:val="0"/>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较低</w:t>
            </w:r>
          </w:p>
        </w:tc>
      </w:tr>
    </w:tbl>
    <w:p>
      <w:pPr>
        <w:pStyle w:val="2"/>
        <w:jc w:val="center"/>
        <w:rPr>
          <w:rFonts w:hint="eastAsia"/>
        </w:rPr>
        <w:sectPr>
          <w:headerReference r:id="rId60" w:type="default"/>
          <w:footerReference r:id="rId61" w:type="default"/>
          <w:pgSz w:w="16838" w:h="11906" w:orient="landscape"/>
          <w:pgMar w:top="1800" w:right="1440" w:bottom="1800" w:left="1440" w:header="851" w:footer="737" w:gutter="0"/>
          <w:pgBorders>
            <w:top w:val="none" w:sz="0" w:space="0"/>
            <w:left w:val="none" w:sz="0" w:space="0"/>
            <w:bottom w:val="none" w:sz="0" w:space="0"/>
            <w:right w:val="none" w:sz="0" w:space="0"/>
          </w:pgBorders>
          <w:pgNumType w:fmt="decimal"/>
          <w:cols w:space="425" w:num="1"/>
          <w:docGrid w:type="lines" w:linePitch="312" w:charSpace="0"/>
        </w:sectPr>
      </w:pP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rPr>
      </w:pPr>
      <w:r>
        <w:rPr>
          <w:rFonts w:hint="eastAsia"/>
          <w:sz w:val="24"/>
          <w:szCs w:val="24"/>
          <w:lang w:val="en-US" w:eastAsia="zh-CN"/>
        </w:rPr>
        <w:t>目前国内颗粒物的治理措施主要采用除尘器处理，常见除尘器类型为布袋除尘器、静电除尘器、旋风除尘器，本项目产生的颗粒物主要为石灰研磨粉尘，颗粒直径较小，综合各方因素选择布袋除尘器进行处理，处理后可以保障颗粒物达标排放。</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sz w:val="24"/>
          <w:szCs w:val="24"/>
          <w:lang w:val="en-US" w:eastAsia="zh-CN"/>
        </w:rPr>
      </w:pPr>
      <w:r>
        <w:rPr>
          <w:rFonts w:hint="eastAsia" w:ascii="Times New Roman" w:hAnsi="Times New Roman"/>
          <w:sz w:val="24"/>
          <w:szCs w:val="24"/>
          <w:lang w:val="en-US" w:eastAsia="zh-CN"/>
        </w:rPr>
        <w:t xml:space="preserve">   2、臭气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本项目不使用含硫化学品，车间蒸发产生少量臭气、MVR系统产生少量臭气、碱回收系统槽罐产生少量臭气。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国内外臭气常见处理工艺见表</w:t>
      </w:r>
      <w:r>
        <w:rPr>
          <w:rFonts w:hint="default" w:ascii="Times New Roman" w:hAnsi="Times New Roman" w:cs="Times New Roman"/>
          <w:sz w:val="24"/>
          <w:szCs w:val="24"/>
          <w:lang w:val="en-US" w:eastAsia="zh-CN"/>
        </w:rPr>
        <w:t>7.2-</w:t>
      </w:r>
      <w:r>
        <w:rPr>
          <w:rFonts w:hint="eastAsia" w:ascii="Times New Roman" w:hAnsi="Times New Roman" w:cs="Times New Roman"/>
          <w:sz w:val="24"/>
          <w:szCs w:val="24"/>
          <w:lang w:val="en-US" w:eastAsia="zh-CN"/>
        </w:rPr>
        <w:t>2</w:t>
      </w:r>
      <w:r>
        <w:rPr>
          <w:rFonts w:hint="eastAsia"/>
          <w:sz w:val="24"/>
          <w:szCs w:val="24"/>
          <w:lang w:val="en-US" w:eastAsia="zh-CN"/>
        </w:rPr>
        <w:t>。</w:t>
      </w:r>
    </w:p>
    <w:p>
      <w:pPr>
        <w:pStyle w:val="2"/>
        <w:rPr>
          <w:rFonts w:hint="eastAsia"/>
          <w:lang w:val="en-US" w:eastAsia="zh-CN"/>
        </w:rPr>
        <w:sectPr>
          <w:headerReference r:id="rId62" w:type="default"/>
          <w:footerReference r:id="rId63" w:type="default"/>
          <w:pgSz w:w="11906" w:h="16838"/>
          <w:pgMar w:top="1440" w:right="1800" w:bottom="1440" w:left="1800" w:header="851" w:footer="737"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rPr>
      </w:pPr>
      <w:r>
        <w:rPr>
          <w:rFonts w:cs="Times New Roman"/>
          <w:b/>
          <w:bCs/>
          <w:color w:val="auto"/>
          <w:sz w:val="24"/>
          <w:szCs w:val="24"/>
          <w:highlight w:val="none"/>
        </w:rPr>
        <w:t>表</w:t>
      </w:r>
      <w:r>
        <w:rPr>
          <w:rFonts w:hint="eastAsia" w:ascii="Times New Roman" w:hAnsi="Times New Roman" w:cs="Times New Roman"/>
          <w:b/>
          <w:bCs/>
          <w:color w:val="auto"/>
          <w:sz w:val="24"/>
          <w:szCs w:val="24"/>
          <w:highlight w:val="none"/>
          <w:lang w:val="en-US" w:eastAsia="zh-CN"/>
        </w:rPr>
        <w:t>7</w:t>
      </w:r>
      <w:r>
        <w:rPr>
          <w:rFonts w:hint="default" w:ascii="Times New Roman" w:hAnsi="Times New Roman" w:cs="Times New Roman"/>
          <w:b/>
          <w:bCs/>
          <w:color w:val="auto"/>
          <w:sz w:val="24"/>
          <w:szCs w:val="24"/>
          <w:highlight w:val="none"/>
        </w:rPr>
        <w:t>.</w:t>
      </w:r>
      <w:r>
        <w:rPr>
          <w:rFonts w:hint="eastAsia"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rPr>
        <w:t>-</w:t>
      </w:r>
      <w:r>
        <w:rPr>
          <w:rFonts w:hint="eastAsia" w:ascii="Times New Roman" w:hAnsi="Times New Roman" w:cs="Times New Roman"/>
          <w:b/>
          <w:bCs/>
          <w:color w:val="auto"/>
          <w:sz w:val="24"/>
          <w:szCs w:val="24"/>
          <w:highlight w:val="none"/>
          <w:lang w:val="en-US" w:eastAsia="zh-CN"/>
        </w:rPr>
        <w:t>2</w:t>
      </w:r>
      <w:r>
        <w:rPr>
          <w:rFonts w:cs="Times New Roman"/>
          <w:b/>
          <w:bCs/>
          <w:color w:val="auto"/>
          <w:sz w:val="24"/>
          <w:szCs w:val="24"/>
          <w:highlight w:val="none"/>
        </w:rPr>
        <w:t xml:space="preserve">  </w:t>
      </w:r>
      <w:r>
        <w:rPr>
          <w:rFonts w:hint="eastAsia" w:cs="Times New Roman"/>
          <w:b/>
          <w:bCs/>
          <w:color w:val="auto"/>
          <w:sz w:val="24"/>
          <w:szCs w:val="24"/>
          <w:highlight w:val="none"/>
          <w:lang w:val="en-US" w:eastAsia="zh-CN"/>
        </w:rPr>
        <w:t>臭气</w:t>
      </w:r>
      <w:r>
        <w:rPr>
          <w:rFonts w:hint="eastAsia" w:cs="Times New Roman"/>
          <w:b/>
          <w:bCs/>
          <w:color w:val="auto"/>
          <w:sz w:val="24"/>
          <w:szCs w:val="24"/>
          <w:highlight w:val="none"/>
        </w:rPr>
        <w:t>常用处理工艺比选一览表</w:t>
      </w:r>
    </w:p>
    <w:tbl>
      <w:tblPr>
        <w:tblStyle w:val="19"/>
        <w:tblW w:w="0" w:type="auto"/>
        <w:tblInd w:w="-17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7"/>
        <w:gridCol w:w="1067"/>
        <w:gridCol w:w="1718"/>
        <w:gridCol w:w="3058"/>
        <w:gridCol w:w="1305"/>
        <w:gridCol w:w="2577"/>
        <w:gridCol w:w="1132"/>
        <w:gridCol w:w="1091"/>
        <w:gridCol w:w="1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1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比较方法</w:t>
            </w:r>
          </w:p>
        </w:tc>
        <w:tc>
          <w:tcPr>
            <w:tcW w:w="10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位置</w:t>
            </w:r>
          </w:p>
        </w:tc>
        <w:tc>
          <w:tcPr>
            <w:tcW w:w="17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适用范围</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除臭效果及稳定性</w:t>
            </w:r>
          </w:p>
        </w:tc>
        <w:tc>
          <w:tcPr>
            <w:tcW w:w="130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抗冲击负荷载性能</w:t>
            </w:r>
          </w:p>
        </w:tc>
        <w:tc>
          <w:tcPr>
            <w:tcW w:w="2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运行管理要求</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投资水平</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运行成本</w:t>
            </w:r>
          </w:p>
        </w:tc>
        <w:tc>
          <w:tcPr>
            <w:tcW w:w="10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占地面积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trPr>
        <w:tc>
          <w:tcPr>
            <w:tcW w:w="11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植物提取液除臭</w:t>
            </w:r>
          </w:p>
        </w:tc>
        <w:tc>
          <w:tcPr>
            <w:tcW w:w="10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前端、末端除臭</w:t>
            </w:r>
          </w:p>
        </w:tc>
        <w:tc>
          <w:tcPr>
            <w:tcW w:w="17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低浓度臭气或作为其他除臭工艺的补充</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一般、稳定</w:t>
            </w:r>
          </w:p>
        </w:tc>
        <w:tc>
          <w:tcPr>
            <w:tcW w:w="130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较好</w:t>
            </w:r>
          </w:p>
        </w:tc>
        <w:tc>
          <w:tcPr>
            <w:tcW w:w="2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方便、无特殊要求</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较低</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中等</w:t>
            </w:r>
          </w:p>
        </w:tc>
        <w:tc>
          <w:tcPr>
            <w:tcW w:w="10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11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活性炭吸附法</w:t>
            </w:r>
          </w:p>
        </w:tc>
        <w:tc>
          <w:tcPr>
            <w:tcW w:w="10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末端除臭</w:t>
            </w:r>
          </w:p>
        </w:tc>
        <w:tc>
          <w:tcPr>
            <w:tcW w:w="17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中低浓度臭气</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较好、相对稳定</w:t>
            </w:r>
          </w:p>
        </w:tc>
        <w:tc>
          <w:tcPr>
            <w:tcW w:w="130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w:t>
            </w:r>
          </w:p>
        </w:tc>
        <w:tc>
          <w:tcPr>
            <w:tcW w:w="2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臭气成分及浓度的变化对吸附设备参数有影响；更换较麻烦</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较高</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较高</w:t>
            </w:r>
          </w:p>
        </w:tc>
        <w:tc>
          <w:tcPr>
            <w:tcW w:w="10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1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化学洗涤除臭</w:t>
            </w:r>
          </w:p>
        </w:tc>
        <w:tc>
          <w:tcPr>
            <w:tcW w:w="10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末端除臭</w:t>
            </w:r>
          </w:p>
        </w:tc>
        <w:tc>
          <w:tcPr>
            <w:tcW w:w="17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中浓度、臭气量较大的臭气</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对特定污染物如硫化氢和氨气等的处理效果较好，与药液不反应的臭气较难去除；酸碱性恶臭成分需采用多级喷淋方式才可稳定</w:t>
            </w:r>
          </w:p>
        </w:tc>
        <w:tc>
          <w:tcPr>
            <w:tcW w:w="130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w:t>
            </w:r>
          </w:p>
        </w:tc>
        <w:tc>
          <w:tcPr>
            <w:tcW w:w="2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需定期补充药剂；对操作人员要求较高</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中等</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较高</w:t>
            </w:r>
          </w:p>
        </w:tc>
        <w:tc>
          <w:tcPr>
            <w:tcW w:w="10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1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等离子或光催化氧化除臭</w:t>
            </w:r>
          </w:p>
        </w:tc>
        <w:tc>
          <w:tcPr>
            <w:tcW w:w="10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末端除臭</w:t>
            </w:r>
          </w:p>
        </w:tc>
        <w:tc>
          <w:tcPr>
            <w:tcW w:w="17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中低浓度臭气</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较好、稳定</w:t>
            </w:r>
          </w:p>
        </w:tc>
        <w:tc>
          <w:tcPr>
            <w:tcW w:w="130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较好</w:t>
            </w:r>
          </w:p>
        </w:tc>
        <w:tc>
          <w:tcPr>
            <w:tcW w:w="2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方便</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中等</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低</w:t>
            </w:r>
          </w:p>
        </w:tc>
        <w:tc>
          <w:tcPr>
            <w:tcW w:w="10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8" w:hRule="atLeast"/>
        </w:trPr>
        <w:tc>
          <w:tcPr>
            <w:tcW w:w="11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生物法除臭</w:t>
            </w:r>
          </w:p>
        </w:tc>
        <w:tc>
          <w:tcPr>
            <w:tcW w:w="10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末端除臭</w:t>
            </w:r>
          </w:p>
        </w:tc>
        <w:tc>
          <w:tcPr>
            <w:tcW w:w="17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中低浓度、气量较大的臭气</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较好，但是气温低时效果较差，臭气成分中水溶性或生物降解性较差时效率不高</w:t>
            </w:r>
          </w:p>
        </w:tc>
        <w:tc>
          <w:tcPr>
            <w:tcW w:w="130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w:t>
            </w:r>
          </w:p>
        </w:tc>
        <w:tc>
          <w:tcPr>
            <w:tcW w:w="2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需保持微生物生长需要的pH、温度及湿度等条件</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较高</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较低</w:t>
            </w:r>
          </w:p>
        </w:tc>
        <w:tc>
          <w:tcPr>
            <w:tcW w:w="10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3" w:hRule="atLeast"/>
        </w:trPr>
        <w:tc>
          <w:tcPr>
            <w:tcW w:w="11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燃烧除臭</w:t>
            </w:r>
          </w:p>
        </w:tc>
        <w:tc>
          <w:tcPr>
            <w:tcW w:w="10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末端除臭</w:t>
            </w:r>
          </w:p>
        </w:tc>
        <w:tc>
          <w:tcPr>
            <w:tcW w:w="17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主要用于高浓度、可燃性气体含量的有机废气</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好、但若污染物燃烧后产生的副产物超标时还需要增加处理措施</w:t>
            </w:r>
          </w:p>
        </w:tc>
        <w:tc>
          <w:tcPr>
            <w:tcW w:w="130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好</w:t>
            </w:r>
          </w:p>
        </w:tc>
        <w:tc>
          <w:tcPr>
            <w:tcW w:w="2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方便</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高</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高</w:t>
            </w:r>
          </w:p>
        </w:tc>
        <w:tc>
          <w:tcPr>
            <w:tcW w:w="10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111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组合除臭</w:t>
            </w:r>
          </w:p>
        </w:tc>
        <w:tc>
          <w:tcPr>
            <w:tcW w:w="10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末端除臭</w:t>
            </w:r>
          </w:p>
        </w:tc>
        <w:tc>
          <w:tcPr>
            <w:tcW w:w="171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中高浓度、气量波动较大的臭气</w:t>
            </w:r>
          </w:p>
        </w:tc>
        <w:tc>
          <w:tcPr>
            <w:tcW w:w="305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好，稳定</w:t>
            </w:r>
          </w:p>
        </w:tc>
        <w:tc>
          <w:tcPr>
            <w:tcW w:w="130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好</w:t>
            </w:r>
          </w:p>
        </w:tc>
        <w:tc>
          <w:tcPr>
            <w:tcW w:w="2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需合理控制好各段工艺除臭分配</w:t>
            </w:r>
          </w:p>
        </w:tc>
        <w:tc>
          <w:tcPr>
            <w:tcW w:w="113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高</w:t>
            </w:r>
          </w:p>
        </w:tc>
        <w:tc>
          <w:tcPr>
            <w:tcW w:w="10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高</w:t>
            </w:r>
          </w:p>
        </w:tc>
        <w:tc>
          <w:tcPr>
            <w:tcW w:w="10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较大</w:t>
            </w:r>
          </w:p>
        </w:tc>
      </w:tr>
    </w:tbl>
    <w:p>
      <w:pPr>
        <w:pStyle w:val="2"/>
        <w:rPr>
          <w:rFonts w:hint="eastAsia"/>
        </w:rPr>
        <w:sectPr>
          <w:headerReference r:id="rId64" w:type="default"/>
          <w:footerReference r:id="rId65" w:type="default"/>
          <w:pgSz w:w="16838" w:h="11906" w:orient="landscape"/>
          <w:pgMar w:top="1800" w:right="1440" w:bottom="1800" w:left="1440" w:header="851" w:footer="737" w:gutter="0"/>
          <w:pgBorders>
            <w:top w:val="none" w:sz="0" w:space="0"/>
            <w:left w:val="none" w:sz="0" w:space="0"/>
            <w:bottom w:val="none" w:sz="0" w:space="0"/>
            <w:right w:val="none" w:sz="0" w:space="0"/>
          </w:pgBorders>
          <w:pgNumType w:fmt="decimal"/>
          <w:cols w:space="425" w:num="1"/>
          <w:docGrid w:type="lines" w:linePitch="312" w:charSpace="0"/>
        </w:sectPr>
      </w:pP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rPr>
      </w:pPr>
      <w:r>
        <w:rPr>
          <w:rFonts w:hint="eastAsia"/>
          <w:sz w:val="24"/>
          <w:szCs w:val="24"/>
          <w:lang w:val="en-US" w:eastAsia="zh-CN"/>
        </w:rPr>
        <w:t>综合各方因素选择RTO系统进行燃烧处理，处理后可以保障臭气达标排放。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3、碱回收炉燃烧废气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根据《制浆造纸工业污染防治可行技术指南》（HJ2302-2018），碱回收炉烟尘治理通常采取电除尘，具有除尘效率高、处理烟气量大、使用寿命长及维修费用低等优点。碱回收炉废气污染防治可行技术为电除尘，本项目采用双列四电场除尘，可以保证烟尘排放浓度满足标准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项目碱回收炉废气采用SNCR脱硝+双列四电场除尘（除尘效率大于99%）+碱液一塔吸收（附带除尘效率不低于50%）+塔顶除尘（除尘效率不低于40%）处理工艺，预计综合除尘效率99.7%，脱硫效率80%，脱硝效率60%，排气筒颗粒物、二氧化硫、氮氧化物排放满足山东省《火电厂大气污染物排放标准》（DB37/664-2019）表2排放限值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4、RTO系统废气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RTO产生的废气经过碱喷淋塔处理后，由25m排气筒排放。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RTO系统产生的废气经“碱液喷淋塔”处理后经</w:t>
      </w:r>
      <w:r>
        <w:rPr>
          <w:rFonts w:hint="eastAsia" w:ascii="Times New Roman" w:hAnsi="Times New Roman"/>
          <w:color w:val="auto"/>
          <w:sz w:val="24"/>
          <w:szCs w:val="24"/>
          <w:lang w:val="en-US" w:eastAsia="zh-CN"/>
        </w:rPr>
        <w:t>20m</w:t>
      </w:r>
      <w:r>
        <w:rPr>
          <w:rFonts w:hint="eastAsia" w:ascii="Times New Roman" w:hAnsi="Times New Roman"/>
          <w:sz w:val="24"/>
          <w:szCs w:val="24"/>
          <w:lang w:val="en-US" w:eastAsia="zh-CN"/>
        </w:rPr>
        <w:t>排气筒排放，排气筒外排颗粒物、二氧化硫、氮氧化物排放满足山东省《区域性大气污染物综合排放标准》（DB37/2376-2019）表1重点控制区排放限值要求，外排非甲烷总烃、异丙醇和VOCs满足《挥发性有机物排放标准 第7部分：其他行业》（DB37/ 2801.7—2019），外排臭气浓度满足《恶臭污染物排放标准》（GB14554-93）表1二级标准要求。</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r>
        <w:rPr>
          <w:rFonts w:hint="eastAsia" w:ascii="Times New Roman" w:hAnsi="Times New Roman"/>
          <w:b/>
          <w:bCs/>
          <w:color w:val="auto"/>
          <w:sz w:val="28"/>
          <w:szCs w:val="28"/>
          <w:lang w:val="en-US" w:eastAsia="zh-CN"/>
        </w:rPr>
        <w:t>7.2</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3</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废气治理措施相关费用</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废气处理设施处理费用见表</w:t>
      </w:r>
      <w:r>
        <w:rPr>
          <w:rFonts w:hint="default" w:ascii="Times New Roman" w:hAnsi="Times New Roman" w:cs="Times New Roman"/>
          <w:sz w:val="24"/>
          <w:szCs w:val="24"/>
          <w:lang w:val="en-US" w:eastAsia="zh-CN"/>
        </w:rPr>
        <w:t>7.2-3</w:t>
      </w:r>
      <w:r>
        <w:rPr>
          <w:rFonts w:hint="eastAsia"/>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sz w:val="24"/>
          <w:szCs w:val="24"/>
          <w:lang w:val="en-US" w:eastAsia="zh-CN"/>
        </w:rPr>
      </w:pPr>
      <w:r>
        <w:rPr>
          <w:rFonts w:hint="default"/>
          <w:b/>
          <w:bCs/>
          <w:sz w:val="24"/>
          <w:szCs w:val="24"/>
          <w:lang w:val="en-US" w:eastAsia="zh-CN"/>
        </w:rPr>
        <w:t>表</w:t>
      </w:r>
      <w:r>
        <w:rPr>
          <w:rFonts w:hint="default" w:ascii="Times New Roman" w:hAnsi="Times New Roman" w:cs="Times New Roman"/>
          <w:b/>
          <w:bCs/>
          <w:sz w:val="24"/>
          <w:szCs w:val="24"/>
          <w:lang w:val="en-US" w:eastAsia="zh-CN"/>
        </w:rPr>
        <w:t>7.2-3</w:t>
      </w:r>
      <w:r>
        <w:rPr>
          <w:rFonts w:hint="default"/>
          <w:b/>
          <w:bCs/>
          <w:sz w:val="24"/>
          <w:szCs w:val="24"/>
          <w:lang w:val="en-US" w:eastAsia="zh-CN"/>
        </w:rPr>
        <w:t xml:space="preserve">  </w:t>
      </w:r>
      <w:r>
        <w:rPr>
          <w:rFonts w:hint="eastAsia"/>
          <w:b/>
          <w:bCs/>
          <w:sz w:val="24"/>
          <w:szCs w:val="24"/>
          <w:lang w:val="en-US" w:eastAsia="zh-CN"/>
        </w:rPr>
        <w:t>本</w:t>
      </w:r>
      <w:r>
        <w:rPr>
          <w:rFonts w:hint="default"/>
          <w:b/>
          <w:bCs/>
          <w:sz w:val="24"/>
          <w:szCs w:val="24"/>
          <w:lang w:val="en-US" w:eastAsia="zh-CN"/>
        </w:rPr>
        <w:t>工程</w:t>
      </w:r>
      <w:r>
        <w:rPr>
          <w:rFonts w:hint="eastAsia"/>
          <w:b/>
          <w:bCs/>
          <w:sz w:val="24"/>
          <w:szCs w:val="24"/>
          <w:lang w:val="en-US" w:eastAsia="zh-CN"/>
        </w:rPr>
        <w:t>废气</w:t>
      </w:r>
      <w:r>
        <w:rPr>
          <w:rFonts w:hint="default"/>
          <w:b/>
          <w:bCs/>
          <w:sz w:val="24"/>
          <w:szCs w:val="24"/>
          <w:lang w:val="en-US" w:eastAsia="zh-CN"/>
        </w:rPr>
        <w:t>种类及处理成本一览表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2050"/>
        <w:gridCol w:w="2188"/>
        <w:gridCol w:w="24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序号</w:t>
            </w:r>
          </w:p>
        </w:tc>
        <w:tc>
          <w:tcPr>
            <w:tcW w:w="205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废气种类</w:t>
            </w:r>
          </w:p>
        </w:tc>
        <w:tc>
          <w:tcPr>
            <w:tcW w:w="21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产生量（t/a）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处理成本（万元）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w:t>
            </w:r>
          </w:p>
        </w:tc>
        <w:tc>
          <w:tcPr>
            <w:tcW w:w="2050" w:type="dxa"/>
            <w:noWrap w:val="0"/>
            <w:vAlign w:val="center"/>
          </w:tcPr>
          <w:p>
            <w:pPr>
              <w:keepNext w:val="0"/>
              <w:keepLines w:val="0"/>
              <w:pageBreakBefore w:val="0"/>
              <w:widowControl w:val="0"/>
              <w:wordWrap/>
              <w:bidi w:val="0"/>
              <w:snapToGrid w:val="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cs="Times New Roman"/>
                <w:color w:val="auto"/>
                <w:sz w:val="21"/>
                <w:szCs w:val="21"/>
                <w:highlight w:val="none"/>
                <w:lang w:val="en-US" w:eastAsia="zh-CN"/>
              </w:rPr>
              <w:t>颗粒物</w:t>
            </w:r>
          </w:p>
        </w:tc>
        <w:tc>
          <w:tcPr>
            <w:tcW w:w="2188" w:type="dxa"/>
            <w:noWrap w:val="0"/>
            <w:vAlign w:val="center"/>
          </w:tcPr>
          <w:p>
            <w:pPr>
              <w:pStyle w:val="25"/>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698.99t/a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w:t>
            </w:r>
          </w:p>
        </w:tc>
        <w:tc>
          <w:tcPr>
            <w:tcW w:w="2050" w:type="dxa"/>
            <w:noWrap w:val="0"/>
            <w:vAlign w:val="center"/>
          </w:tcPr>
          <w:p>
            <w:pPr>
              <w:keepNext w:val="0"/>
              <w:keepLines w:val="0"/>
              <w:pageBreakBefore w:val="0"/>
              <w:widowControl w:val="0"/>
              <w:wordWrap/>
              <w:bidi w:val="0"/>
              <w:snapToGrid w:val="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cs="Times New Roman"/>
                <w:color w:val="auto"/>
                <w:sz w:val="21"/>
                <w:szCs w:val="21"/>
                <w:highlight w:val="none"/>
                <w:lang w:val="en-US" w:eastAsia="zh-CN" w:bidi="ar"/>
              </w:rPr>
              <w:t>二氧化硫</w:t>
            </w:r>
          </w:p>
        </w:tc>
        <w:tc>
          <w:tcPr>
            <w:tcW w:w="2188" w:type="dxa"/>
            <w:noWrap w:val="0"/>
            <w:vAlign w:val="center"/>
          </w:tcPr>
          <w:p>
            <w:pPr>
              <w:pStyle w:val="25"/>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23.18t/a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w:t>
            </w:r>
          </w:p>
        </w:tc>
        <w:tc>
          <w:tcPr>
            <w:tcW w:w="2050" w:type="dxa"/>
            <w:noWrap w:val="0"/>
            <w:vAlign w:val="center"/>
          </w:tcPr>
          <w:p>
            <w:pPr>
              <w:keepNext w:val="0"/>
              <w:keepLines w:val="0"/>
              <w:pageBreakBefore w:val="0"/>
              <w:widowControl w:val="0"/>
              <w:wordWrap/>
              <w:bidi w:val="0"/>
              <w:snapToGrid w:val="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cs="Times New Roman"/>
                <w:color w:val="auto"/>
                <w:sz w:val="21"/>
                <w:szCs w:val="21"/>
                <w:highlight w:val="none"/>
                <w:lang w:val="en-US" w:eastAsia="zh-CN" w:bidi="ar"/>
              </w:rPr>
              <w:t>氮氧化物</w:t>
            </w:r>
          </w:p>
        </w:tc>
        <w:tc>
          <w:tcPr>
            <w:tcW w:w="218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60.05</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w:t>
            </w:r>
          </w:p>
        </w:tc>
        <w:tc>
          <w:tcPr>
            <w:tcW w:w="2050" w:type="dxa"/>
            <w:noWrap w:val="0"/>
            <w:vAlign w:val="center"/>
          </w:tcPr>
          <w:p>
            <w:pPr>
              <w:keepNext w:val="0"/>
              <w:keepLines w:val="0"/>
              <w:pageBreakBefore w:val="0"/>
              <w:widowControl w:val="0"/>
              <w:wordWrap/>
              <w:bidi w:val="0"/>
              <w:snapToGrid w:val="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cs="Times New Roman"/>
                <w:color w:val="auto"/>
                <w:sz w:val="21"/>
                <w:szCs w:val="21"/>
                <w:highlight w:val="none"/>
                <w:lang w:val="en-US" w:eastAsia="zh-CN" w:bidi="ar"/>
              </w:rPr>
              <w:t>非甲烷总烃</w:t>
            </w:r>
          </w:p>
        </w:tc>
        <w:tc>
          <w:tcPr>
            <w:tcW w:w="218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0.03408</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5</w:t>
            </w:r>
          </w:p>
        </w:tc>
        <w:tc>
          <w:tcPr>
            <w:tcW w:w="2050" w:type="dxa"/>
            <w:noWrap w:val="0"/>
            <w:vAlign w:val="center"/>
          </w:tcPr>
          <w:p>
            <w:pPr>
              <w:keepNext w:val="0"/>
              <w:keepLines w:val="0"/>
              <w:pageBreakBefore w:val="0"/>
              <w:widowControl w:val="0"/>
              <w:wordWrap/>
              <w:bidi w:val="0"/>
              <w:snapToGrid w:val="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cs="Times New Roman"/>
                <w:color w:val="auto"/>
                <w:sz w:val="21"/>
                <w:szCs w:val="21"/>
                <w:highlight w:val="none"/>
                <w:lang w:val="en-US" w:eastAsia="zh-CN" w:bidi="ar"/>
              </w:rPr>
              <w:t>异丙醇</w:t>
            </w:r>
          </w:p>
        </w:tc>
        <w:tc>
          <w:tcPr>
            <w:tcW w:w="218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0.0000576</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6</w:t>
            </w:r>
          </w:p>
        </w:tc>
        <w:tc>
          <w:tcPr>
            <w:tcW w:w="2050" w:type="dxa"/>
            <w:noWrap w:val="0"/>
            <w:vAlign w:val="center"/>
          </w:tcPr>
          <w:p>
            <w:pPr>
              <w:keepNext w:val="0"/>
              <w:keepLines w:val="0"/>
              <w:pageBreakBefore w:val="0"/>
              <w:widowControl w:val="0"/>
              <w:wordWrap/>
              <w:bidi w:val="0"/>
              <w:snapToGrid w:val="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cs="Times New Roman"/>
                <w:color w:val="auto"/>
                <w:sz w:val="21"/>
                <w:szCs w:val="21"/>
                <w:highlight w:val="none"/>
                <w:lang w:val="en-US" w:eastAsia="zh-CN" w:bidi="ar"/>
              </w:rPr>
              <w:t>VOCs</w:t>
            </w:r>
          </w:p>
        </w:tc>
        <w:tc>
          <w:tcPr>
            <w:tcW w:w="218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0.0341</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7</w:t>
            </w:r>
          </w:p>
        </w:tc>
        <w:tc>
          <w:tcPr>
            <w:tcW w:w="2050" w:type="dxa"/>
            <w:noWrap w:val="0"/>
            <w:vAlign w:val="center"/>
          </w:tcPr>
          <w:p>
            <w:pPr>
              <w:keepNext w:val="0"/>
              <w:keepLines w:val="0"/>
              <w:pageBreakBefore w:val="0"/>
              <w:widowControl w:val="0"/>
              <w:wordWrap/>
              <w:bidi w:val="0"/>
              <w:snapToGrid w:val="0"/>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cs="Times New Roman"/>
                <w:color w:val="auto"/>
                <w:sz w:val="21"/>
                <w:szCs w:val="21"/>
                <w:highlight w:val="none"/>
                <w:lang w:val="en-US" w:eastAsia="zh-CN" w:bidi="ar"/>
              </w:rPr>
              <w:t>臭气浓度（无量纲）</w:t>
            </w:r>
          </w:p>
        </w:tc>
        <w:tc>
          <w:tcPr>
            <w:tcW w:w="218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baseline"/>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31.8</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4996" w:type="dxa"/>
            <w:gridSpan w:val="3"/>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合计</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105</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sz w:val="24"/>
          <w:szCs w:val="24"/>
          <w:lang w:val="en-US" w:eastAsia="zh-CN"/>
        </w:rPr>
      </w:pPr>
      <w:r>
        <w:rPr>
          <w:rFonts w:hint="eastAsia"/>
          <w:sz w:val="24"/>
          <w:szCs w:val="24"/>
          <w:lang w:val="en-US" w:eastAsia="zh-CN"/>
        </w:rPr>
        <w:t>本项目废气处理费用为</w:t>
      </w:r>
      <w:r>
        <w:rPr>
          <w:rFonts w:hint="default" w:ascii="Times New Roman" w:hAnsi="Times New Roman" w:cs="Times New Roman"/>
          <w:sz w:val="24"/>
          <w:szCs w:val="24"/>
          <w:lang w:val="en-US" w:eastAsia="zh-CN"/>
        </w:rPr>
        <w:t>105</w:t>
      </w:r>
      <w:r>
        <w:rPr>
          <w:rFonts w:hint="eastAsia"/>
          <w:sz w:val="24"/>
          <w:szCs w:val="24"/>
          <w:lang w:val="en-US" w:eastAsia="zh-CN"/>
        </w:rPr>
        <w:t>万元。本工程年均净利润</w:t>
      </w:r>
      <w:r>
        <w:rPr>
          <w:rFonts w:hint="default" w:ascii="Times New Roman" w:hAnsi="Times New Roman" w:cs="Times New Roman"/>
          <w:sz w:val="24"/>
          <w:szCs w:val="24"/>
          <w:highlight w:val="none"/>
          <w:lang w:val="en-US" w:eastAsia="zh-CN"/>
        </w:rPr>
        <w:t>3000</w:t>
      </w:r>
      <w:r>
        <w:rPr>
          <w:rFonts w:hint="eastAsia"/>
          <w:sz w:val="24"/>
          <w:szCs w:val="24"/>
          <w:lang w:val="en-US" w:eastAsia="zh-CN"/>
        </w:rPr>
        <w:t xml:space="preserve">万元，所占比例较小，经济上完全能够保证该装置的运行，因此本工程废气处理设施在经济上具有可行性。 </w:t>
      </w:r>
    </w:p>
    <w:p>
      <w:pPr>
        <w:pStyle w:val="8"/>
        <w:keepNext/>
        <w:keepLines/>
        <w:pageBreakBefore w:val="0"/>
        <w:widowControl w:val="0"/>
        <w:kinsoku/>
        <w:wordWrap/>
        <w:overflowPunct/>
        <w:topLinePunct w:val="0"/>
        <w:autoSpaceDE/>
        <w:autoSpaceDN/>
        <w:bidi w:val="0"/>
        <w:adjustRightInd/>
        <w:snapToGrid w:val="0"/>
        <w:spacing w:before="157" w:beforeLines="50" w:after="0" w:afterLines="0" w:line="360" w:lineRule="auto"/>
        <w:textAlignment w:val="auto"/>
        <w:rPr>
          <w:rFonts w:hint="default" w:ascii="宋体" w:hAnsi="宋体" w:eastAsia="宋体" w:cs="宋体"/>
          <w:lang w:val="en-US" w:eastAsia="zh-CN"/>
        </w:rPr>
      </w:pPr>
      <w:bookmarkStart w:id="50" w:name="_Toc10011"/>
      <w:bookmarkStart w:id="51" w:name="_Toc6696"/>
      <w:r>
        <w:rPr>
          <w:rFonts w:hint="eastAsia" w:ascii="Times New Roman" w:hAnsi="Times New Roman" w:eastAsia="宋体" w:cs="Times New Roman"/>
          <w:lang w:val="en-US" w:eastAsia="zh-CN"/>
        </w:rPr>
        <w:t>7</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3</w:t>
      </w:r>
      <w:r>
        <w:rPr>
          <w:rFonts w:hint="eastAsia" w:ascii="宋体" w:hAnsi="宋体" w:eastAsia="宋体" w:cs="宋体"/>
          <w:lang w:val="en-US" w:eastAsia="zh-CN"/>
        </w:rPr>
        <w:t>废水治理措施及其技术经济论证</w:t>
      </w:r>
      <w:bookmarkEnd w:id="50"/>
      <w:bookmarkEnd w:id="51"/>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eastAsia="宋体"/>
          <w:lang w:val="en-US" w:eastAsia="zh-CN"/>
        </w:rPr>
      </w:pPr>
      <w:r>
        <w:rPr>
          <w:rFonts w:hint="eastAsia" w:ascii="Times New Roman" w:hAnsi="Times New Roman"/>
          <w:b/>
          <w:bCs/>
          <w:color w:val="auto"/>
          <w:sz w:val="28"/>
          <w:szCs w:val="28"/>
          <w:lang w:val="en-US" w:eastAsia="zh-CN"/>
        </w:rPr>
        <w:t>7.3</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1</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废水防治措施分析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山东博汇纸业股份有限公司正在进行绿色环保能源综合利用之废水处理改造项目建设。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绿色环保能源综合利用之废水处理改造项目中污水处理工艺、接纳项目情况等内容详见“3.3.2.6 绿色环保能源综合利用之废水处理改造项目”章节。</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eastAsia="宋体"/>
          <w:lang w:val="en-US" w:eastAsia="zh-CN"/>
        </w:rPr>
      </w:pPr>
      <w:r>
        <w:rPr>
          <w:rFonts w:hint="eastAsia" w:ascii="Times New Roman" w:hAnsi="Times New Roman"/>
          <w:b/>
          <w:bCs/>
          <w:color w:val="auto"/>
          <w:sz w:val="28"/>
          <w:szCs w:val="28"/>
          <w:lang w:val="en-US" w:eastAsia="zh-CN"/>
        </w:rPr>
        <w:t>7.3</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2</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本项目生产废水零排放、生活污水达标可行性分析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本项目生产废水全部回用，不外排。项目产生的废水采用MVR预处理+多效蒸发+碱回收炉+苛化工序，废水全部可以实现回用，不外排。</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项目利用造纸白水可行性分析：本项目利用造纸白水为年产30万吨高档包装纸项目来造纸白水。根据《造纸行业污染防治最佳可行技术指南（征求意见稿）》，纸机白水可回收并利用，浓白水用于上浆系统浆的稀释，或用于打浆工段；部分多余稀白水可用于制浆车间或其他造纸车间、密封水等。由于化机浆项目对用水水质要求并不高，可以利用造纸白水作为水源，博汇纸业现有年产20 万吨化机浆项目（1#）也是利用造纸白水生产化机浆，运行稳定，故项目利用造纸白水作为水源可行。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化机浆废液进碱回收燃烧可行性分析及化机浆废水零排放可行性分析：根据《制浆造纸工业污染防治可行技术指南》（HJ2302-2018），“化学机械法制浆废液除去悬浮物后，先经多效蒸发或机械式蒸汽在压缩技术（MVR）预蒸发，使其浓度达到 15%左右，再经多效蒸发浓缩至 65%以上送至碱回收炉燃烧”，本项目即采用这种方式，可以实现生产废水零排放，该工艺技术可行。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运行实例：目前广西金桂浆纸业有限公司已经对化机浆废液采用碱回收技术，化机浆废液经过蒸发系统对黑液浓缩至65%以上，再将黑液通过碱炉燃烧。该工程已于2015年8月通过竣工环保验收，故化机浆废液进碱回收炉燃烧工艺可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项目无新增生活污水产生及排放。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rPr>
      </w:pPr>
      <w:r>
        <w:rPr>
          <w:rFonts w:hint="eastAsia"/>
          <w:sz w:val="24"/>
          <w:szCs w:val="24"/>
          <w:lang w:val="en-US" w:eastAsia="zh-CN"/>
        </w:rPr>
        <w:t>本项目化机浆车间废水处理费用为</w:t>
      </w:r>
      <w:r>
        <w:rPr>
          <w:rFonts w:hint="default" w:ascii="Times New Roman" w:hAnsi="Times New Roman" w:cs="Times New Roman"/>
          <w:sz w:val="24"/>
          <w:szCs w:val="24"/>
          <w:lang w:val="en-US" w:eastAsia="zh-CN"/>
        </w:rPr>
        <w:t>4</w:t>
      </w:r>
      <w:r>
        <w:rPr>
          <w:rFonts w:hint="eastAsia" w:ascii="Times New Roman" w:hAnsi="Times New Roman" w:cs="Times New Roman"/>
          <w:sz w:val="24"/>
          <w:szCs w:val="24"/>
          <w:lang w:val="en-US" w:eastAsia="zh-CN"/>
        </w:rPr>
        <w:t>1</w:t>
      </w:r>
      <w:r>
        <w:rPr>
          <w:rFonts w:hint="eastAsia"/>
          <w:sz w:val="24"/>
          <w:szCs w:val="24"/>
          <w:lang w:val="en-US" w:eastAsia="zh-CN"/>
        </w:rPr>
        <w:t>万元</w:t>
      </w:r>
      <w:r>
        <w:rPr>
          <w:rFonts w:hint="eastAsia"/>
          <w:sz w:val="24"/>
          <w:szCs w:val="24"/>
        </w:rPr>
        <w:t>。</w:t>
      </w:r>
      <w:r>
        <w:rPr>
          <w:rFonts w:hint="eastAsia"/>
          <w:sz w:val="24"/>
          <w:szCs w:val="24"/>
          <w:lang w:val="en-US" w:eastAsia="zh-CN"/>
        </w:rPr>
        <w:t>本</w:t>
      </w:r>
      <w:r>
        <w:rPr>
          <w:rFonts w:hint="eastAsia"/>
          <w:sz w:val="24"/>
          <w:szCs w:val="24"/>
        </w:rPr>
        <w:t>工程年均净利润</w:t>
      </w:r>
      <w:r>
        <w:rPr>
          <w:rFonts w:hint="default" w:ascii="Times New Roman" w:hAnsi="Times New Roman" w:cs="Times New Roman"/>
          <w:sz w:val="24"/>
          <w:szCs w:val="24"/>
          <w:highlight w:val="none"/>
          <w:lang w:val="en-US" w:eastAsia="zh-CN"/>
        </w:rPr>
        <w:t>3000</w:t>
      </w:r>
      <w:r>
        <w:rPr>
          <w:rFonts w:hint="eastAsia"/>
          <w:sz w:val="24"/>
          <w:szCs w:val="24"/>
        </w:rPr>
        <w:t>万元，所占比例较小，经济上完全能够保证该装置的运行，因此</w:t>
      </w:r>
      <w:r>
        <w:rPr>
          <w:rFonts w:hint="eastAsia"/>
          <w:sz w:val="24"/>
          <w:szCs w:val="24"/>
          <w:lang w:val="en-US" w:eastAsia="zh-CN"/>
        </w:rPr>
        <w:t>本</w:t>
      </w:r>
      <w:r>
        <w:rPr>
          <w:rFonts w:hint="eastAsia"/>
          <w:sz w:val="24"/>
          <w:szCs w:val="24"/>
        </w:rPr>
        <w:t xml:space="preserve">工程依托在建污水处理设施在经济上具有可行性。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rPr>
      </w:pPr>
      <w:r>
        <w:rPr>
          <w:rFonts w:hint="eastAsia"/>
          <w:sz w:val="24"/>
          <w:szCs w:val="24"/>
        </w:rPr>
        <w:t>综上所述，</w:t>
      </w:r>
      <w:r>
        <w:rPr>
          <w:rFonts w:hint="eastAsia"/>
          <w:sz w:val="24"/>
          <w:szCs w:val="24"/>
          <w:lang w:val="en-US" w:eastAsia="zh-CN"/>
        </w:rPr>
        <w:t>本</w:t>
      </w:r>
      <w:r>
        <w:rPr>
          <w:rFonts w:hint="eastAsia"/>
          <w:sz w:val="24"/>
          <w:szCs w:val="24"/>
        </w:rPr>
        <w:t>工程所采用的废水依托</w:t>
      </w:r>
      <w:r>
        <w:rPr>
          <w:rFonts w:hint="eastAsia"/>
          <w:sz w:val="24"/>
          <w:szCs w:val="24"/>
          <w:lang w:val="en-US" w:eastAsia="zh-CN"/>
        </w:rPr>
        <w:t>现有项目治理废水</w:t>
      </w:r>
      <w:r>
        <w:rPr>
          <w:rFonts w:hint="eastAsia"/>
          <w:sz w:val="24"/>
          <w:szCs w:val="24"/>
        </w:rPr>
        <w:t>在经济技术上是可行的。</w:t>
      </w:r>
    </w:p>
    <w:p>
      <w:pPr>
        <w:pStyle w:val="8"/>
        <w:keepNext/>
        <w:keepLines/>
        <w:pageBreakBefore w:val="0"/>
        <w:widowControl w:val="0"/>
        <w:kinsoku/>
        <w:wordWrap/>
        <w:overflowPunct/>
        <w:topLinePunct w:val="0"/>
        <w:autoSpaceDE/>
        <w:autoSpaceDN/>
        <w:bidi w:val="0"/>
        <w:adjustRightInd/>
        <w:snapToGrid w:val="0"/>
        <w:spacing w:before="157" w:beforeLines="50" w:after="0" w:afterLines="0" w:line="360" w:lineRule="auto"/>
        <w:textAlignment w:val="auto"/>
        <w:rPr>
          <w:rFonts w:hint="default" w:ascii="宋体" w:hAnsi="宋体" w:eastAsia="宋体" w:cs="宋体"/>
          <w:lang w:val="en-US" w:eastAsia="zh-CN"/>
        </w:rPr>
      </w:pPr>
      <w:bookmarkStart w:id="52" w:name="_Toc22309"/>
      <w:bookmarkStart w:id="53" w:name="_Toc28955"/>
      <w:r>
        <w:rPr>
          <w:rFonts w:hint="eastAsia" w:ascii="Times New Roman" w:hAnsi="Times New Roman" w:eastAsia="宋体" w:cs="Times New Roman"/>
          <w:lang w:val="en-US" w:eastAsia="zh-CN"/>
        </w:rPr>
        <w:t>7</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4</w:t>
      </w:r>
      <w:r>
        <w:rPr>
          <w:rFonts w:hint="eastAsia" w:ascii="宋体" w:hAnsi="宋体" w:eastAsia="宋体" w:cs="宋体"/>
          <w:lang w:val="en-US" w:eastAsia="zh-CN"/>
        </w:rPr>
        <w:t>噪声治理措施及其技术经济论证</w:t>
      </w:r>
      <w:bookmarkEnd w:id="52"/>
      <w:bookmarkEnd w:id="53"/>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项目的噪声设备属于制浆造纸行业常见噪声设备，根据《制浆造纸工业污染防治可行技术指南》（HJ2302-2018），造纸设备噪声可行技术为厂房隔声、隔声罩、减振，其中隔声降噪量为20dB（A）左右，减振降噪量为10dB（A）左右。本项目采取隔声、减振措施，采取的控制措施是成熟和定型的，从技术角度讲是可靠的，经济上是合理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在采取以上噪声防治措施后，预计厂界噪声能够满足《工业企业厂界环境噪声排放标准》（GB12348-2008）3类标准要求，本项目采取的措施在技术上是可行的。</w:t>
      </w:r>
    </w:p>
    <w:p>
      <w:pPr>
        <w:pStyle w:val="8"/>
        <w:keepNext/>
        <w:keepLines/>
        <w:pageBreakBefore w:val="0"/>
        <w:widowControl w:val="0"/>
        <w:kinsoku/>
        <w:wordWrap/>
        <w:overflowPunct/>
        <w:topLinePunct w:val="0"/>
        <w:autoSpaceDE/>
        <w:autoSpaceDN/>
        <w:bidi w:val="0"/>
        <w:adjustRightInd/>
        <w:snapToGrid w:val="0"/>
        <w:spacing w:before="157" w:beforeLines="50" w:after="0" w:afterLines="0" w:line="360" w:lineRule="auto"/>
        <w:textAlignment w:val="auto"/>
        <w:rPr>
          <w:rFonts w:hint="default" w:ascii="宋体" w:hAnsi="宋体" w:eastAsia="宋体" w:cs="宋体"/>
          <w:lang w:val="en-US" w:eastAsia="zh-CN"/>
        </w:rPr>
      </w:pPr>
      <w:bookmarkStart w:id="54" w:name="_Toc29653"/>
      <w:bookmarkStart w:id="55" w:name="_Toc15792"/>
      <w:r>
        <w:rPr>
          <w:rFonts w:hint="eastAsia" w:ascii="Times New Roman" w:hAnsi="Times New Roman" w:eastAsia="宋体" w:cs="Times New Roman"/>
          <w:lang w:val="en-US" w:eastAsia="zh-CN"/>
        </w:rPr>
        <w:t>7</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5</w:t>
      </w:r>
      <w:r>
        <w:rPr>
          <w:rFonts w:hint="eastAsia" w:ascii="宋体" w:hAnsi="宋体" w:eastAsia="宋体" w:cs="宋体"/>
          <w:lang w:val="en-US" w:eastAsia="zh-CN"/>
        </w:rPr>
        <w:t>固体废物治理措施及其技术经济论证</w:t>
      </w:r>
      <w:bookmarkEnd w:id="54"/>
      <w:bookmarkEnd w:id="55"/>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eastAsia="宋体"/>
          <w:lang w:val="en-US" w:eastAsia="zh-CN"/>
        </w:rPr>
      </w:pPr>
      <w:r>
        <w:rPr>
          <w:rFonts w:hint="eastAsia" w:ascii="Times New Roman" w:hAnsi="Times New Roman"/>
          <w:b/>
          <w:bCs/>
          <w:color w:val="auto"/>
          <w:sz w:val="28"/>
          <w:szCs w:val="28"/>
          <w:lang w:val="en-US" w:eastAsia="zh-CN"/>
        </w:rPr>
        <w:t>7.5</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1</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固体废物防治措施分析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项目一般固体废弃物主要包括木屑、浆渣、石灰渣、白泥、碱液塔收集颗粒物、布袋除尘器收集粉尘和生活垃圾；危险废物为废机油。</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木屑浆渣焚烧可行性分析：木屑、浆渣送固体废物焚烧项目焚烧，该项目已于2017年取得环评批复，现在试运行。固体废物焚烧处置项目建设1台210t/h循环流化床焚烧锅炉，主要处理博汇纸业博汇纸业绿色环保能源综合利用之废水处理项目的污泥（含水率35%）及造纸厂浆渣（含水率65%），目前博汇纸业有限公司现有及在建工程浆渣、污泥产生量为1533t/d（63.9t/h），根据《山东博汇纸业股份有限公司固体废物焚烧处置项目环境影响报告书》，造纸污泥和浆渣在含水率分别为35%、65%的情况下，可以实现稳定燃烧，不需要掺烧煤或油。故该循环流化床锅炉有余量处理本项目产生的木屑、浆渣。</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白泥回收石灰可行性分析：白泥送山东博汇纸业股份有限公司日产300吨石灰回收项目回收石灰。该项目已于2018年4月11日取得环评批复，批复文号桓许字[2018]80号。该项目主要处理在建20万吨化木浆（3#）、现有20万吨化机浆（1#）及本项目产生的白泥，日处理白泥量为26.01万t/a，本项目现在试运行阶段，故项目产生的白泥可送至该项目处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石灰渣外卖建材企业可行性分析：苛化工序产生石灰残渣和石灰粉碎工段布袋除尘器收集粉尘，可以作为建材企业的原料生产水泥等建筑材料。</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废机油（HW08）属于危险废物，委托有资质单位处置。废机油排放特征为间断性、预知性、可控性等，一般在装置检修期间由人工控制排放，排放量较少，项目依托博汇纸业现有危废暂存库存放，暂存库采取了25厘米厚3：7灰土夯实、粘贴防渗土工膜一层，15厘米的混凝土浇筑、面层防水砂浆进行重点防渗。</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生活垃圾和碱液喷淋塔收集粉尘，由环卫部门统一清运。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本</w:t>
      </w:r>
      <w:r>
        <w:rPr>
          <w:rFonts w:hint="default"/>
          <w:sz w:val="24"/>
          <w:szCs w:val="24"/>
          <w:lang w:val="en-US" w:eastAsia="zh-CN"/>
        </w:rPr>
        <w:t>项目固体废物处置费用见表</w:t>
      </w:r>
      <w:r>
        <w:rPr>
          <w:rFonts w:hint="eastAsia" w:ascii="Times New Roman" w:hAnsi="Times New Roman" w:cs="Times New Roman"/>
          <w:sz w:val="24"/>
          <w:szCs w:val="24"/>
          <w:lang w:val="en-US" w:eastAsia="zh-CN"/>
        </w:rPr>
        <w:t>7</w:t>
      </w:r>
      <w:r>
        <w:rPr>
          <w:rFonts w:hint="default" w:ascii="Times New Roman" w:hAnsi="Times New Roman" w:cs="Times New Roman"/>
          <w:sz w:val="24"/>
          <w:szCs w:val="24"/>
          <w:lang w:val="en-US" w:eastAsia="zh-CN"/>
        </w:rPr>
        <w:t>.5-1</w:t>
      </w:r>
      <w:r>
        <w:rPr>
          <w:rFonts w:hint="default"/>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sz w:val="24"/>
          <w:szCs w:val="24"/>
          <w:lang w:val="en-US" w:eastAsia="zh-CN"/>
        </w:rPr>
      </w:pPr>
      <w:r>
        <w:rPr>
          <w:rFonts w:hint="default"/>
          <w:b/>
          <w:bCs/>
          <w:sz w:val="24"/>
          <w:szCs w:val="24"/>
          <w:lang w:val="en-US" w:eastAsia="zh-CN"/>
        </w:rPr>
        <w:t>表</w:t>
      </w:r>
      <w:r>
        <w:rPr>
          <w:rFonts w:hint="eastAsia" w:ascii="Times New Roman" w:hAnsi="Times New Roman" w:cs="Times New Roman"/>
          <w:b/>
          <w:bCs/>
          <w:sz w:val="24"/>
          <w:szCs w:val="24"/>
          <w:lang w:val="en-US" w:eastAsia="zh-CN"/>
        </w:rPr>
        <w:t>7</w:t>
      </w:r>
      <w:r>
        <w:rPr>
          <w:rFonts w:hint="default" w:ascii="Times New Roman" w:hAnsi="Times New Roman" w:cs="Times New Roman"/>
          <w:b/>
          <w:bCs/>
          <w:sz w:val="24"/>
          <w:szCs w:val="24"/>
          <w:lang w:val="en-US" w:eastAsia="zh-CN"/>
        </w:rPr>
        <w:t>.5-1</w:t>
      </w:r>
      <w:r>
        <w:rPr>
          <w:rFonts w:hint="default"/>
          <w:b/>
          <w:bCs/>
          <w:sz w:val="24"/>
          <w:szCs w:val="24"/>
          <w:lang w:val="en-US" w:eastAsia="zh-CN"/>
        </w:rPr>
        <w:t xml:space="preserve">  本工程固废种类及处理成本一览表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2050"/>
        <w:gridCol w:w="2188"/>
        <w:gridCol w:w="24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序号</w:t>
            </w:r>
          </w:p>
        </w:tc>
        <w:tc>
          <w:tcPr>
            <w:tcW w:w="205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固废种类</w:t>
            </w:r>
          </w:p>
        </w:tc>
        <w:tc>
          <w:tcPr>
            <w:tcW w:w="21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数量（t/a）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处理成本（万元）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w:t>
            </w:r>
          </w:p>
        </w:tc>
        <w:tc>
          <w:tcPr>
            <w:tcW w:w="205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color w:val="000000" w:themeColor="text1"/>
                <w:sz w:val="21"/>
                <w:szCs w:val="21"/>
                <w:highlight w:val="none"/>
                <w:vertAlign w:val="baseline"/>
                <w:lang w:val="en-US" w:eastAsia="zh-CN"/>
                <w14:textFill>
                  <w14:solidFill>
                    <w14:schemeClr w14:val="tx1"/>
                  </w14:solidFill>
                </w14:textFill>
              </w:rPr>
              <w:t>木屑</w:t>
            </w:r>
          </w:p>
        </w:tc>
        <w:tc>
          <w:tcPr>
            <w:tcW w:w="21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15660</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w:t>
            </w:r>
          </w:p>
        </w:tc>
        <w:tc>
          <w:tcPr>
            <w:tcW w:w="205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color w:val="000000" w:themeColor="text1"/>
                <w:sz w:val="21"/>
                <w:szCs w:val="21"/>
                <w:highlight w:val="none"/>
                <w:vertAlign w:val="baseline"/>
                <w:lang w:val="en-US" w:eastAsia="zh-CN"/>
                <w14:textFill>
                  <w14:solidFill>
                    <w14:schemeClr w14:val="tx1"/>
                  </w14:solidFill>
                </w14:textFill>
              </w:rPr>
              <w:t>浆渣</w:t>
            </w:r>
          </w:p>
        </w:tc>
        <w:tc>
          <w:tcPr>
            <w:tcW w:w="21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6000</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w:t>
            </w:r>
          </w:p>
        </w:tc>
        <w:tc>
          <w:tcPr>
            <w:tcW w:w="205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color w:val="000000" w:themeColor="text1"/>
                <w:sz w:val="21"/>
                <w:szCs w:val="21"/>
                <w:highlight w:val="none"/>
                <w:vertAlign w:val="baseline"/>
                <w:lang w:val="en-US" w:eastAsia="zh-CN"/>
                <w14:textFill>
                  <w14:solidFill>
                    <w14:schemeClr w14:val="tx1"/>
                  </w14:solidFill>
                </w14:textFill>
              </w:rPr>
              <w:t>废机油</w:t>
            </w:r>
          </w:p>
        </w:tc>
        <w:tc>
          <w:tcPr>
            <w:tcW w:w="21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0.6</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w:t>
            </w:r>
          </w:p>
        </w:tc>
        <w:tc>
          <w:tcPr>
            <w:tcW w:w="205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color w:val="000000" w:themeColor="text1"/>
                <w:sz w:val="21"/>
                <w:szCs w:val="21"/>
                <w:highlight w:val="none"/>
                <w:vertAlign w:val="baseline"/>
                <w:lang w:val="en-US" w:eastAsia="zh-CN"/>
                <w14:textFill>
                  <w14:solidFill>
                    <w14:schemeClr w14:val="tx1"/>
                  </w14:solidFill>
                </w14:textFill>
              </w:rPr>
              <w:t>石灰渣</w:t>
            </w:r>
          </w:p>
        </w:tc>
        <w:tc>
          <w:tcPr>
            <w:tcW w:w="21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803.3</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5</w:t>
            </w:r>
          </w:p>
        </w:tc>
        <w:tc>
          <w:tcPr>
            <w:tcW w:w="205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color w:val="000000" w:themeColor="text1"/>
                <w:sz w:val="21"/>
                <w:szCs w:val="21"/>
                <w:highlight w:val="none"/>
                <w:vertAlign w:val="baseline"/>
                <w:lang w:val="en-US" w:eastAsia="zh-CN"/>
                <w14:textFill>
                  <w14:solidFill>
                    <w14:schemeClr w14:val="tx1"/>
                  </w14:solidFill>
                </w14:textFill>
              </w:rPr>
              <w:t>白泥</w:t>
            </w:r>
          </w:p>
        </w:tc>
        <w:tc>
          <w:tcPr>
            <w:tcW w:w="21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12172</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6</w:t>
            </w:r>
          </w:p>
        </w:tc>
        <w:tc>
          <w:tcPr>
            <w:tcW w:w="205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color w:val="000000" w:themeColor="text1"/>
                <w:sz w:val="21"/>
                <w:szCs w:val="21"/>
                <w:highlight w:val="none"/>
                <w:vertAlign w:val="baseline"/>
                <w:lang w:val="en-US" w:eastAsia="zh-CN"/>
                <w14:textFill>
                  <w14:solidFill>
                    <w14:schemeClr w14:val="tx1"/>
                  </w14:solidFill>
                </w14:textFill>
              </w:rPr>
              <w:t>收集粉尘</w:t>
            </w:r>
          </w:p>
        </w:tc>
        <w:tc>
          <w:tcPr>
            <w:tcW w:w="21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2.16</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7</w:t>
            </w:r>
          </w:p>
        </w:tc>
        <w:tc>
          <w:tcPr>
            <w:tcW w:w="205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收集颗粒物</w:t>
            </w:r>
          </w:p>
        </w:tc>
        <w:tc>
          <w:tcPr>
            <w:tcW w:w="21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4.86</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75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8</w:t>
            </w:r>
          </w:p>
        </w:tc>
        <w:tc>
          <w:tcPr>
            <w:tcW w:w="205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生活垃圾</w:t>
            </w:r>
          </w:p>
        </w:tc>
        <w:tc>
          <w:tcPr>
            <w:tcW w:w="21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12</w:t>
            </w:r>
            <w:r>
              <w:rPr>
                <w:rFonts w:hint="eastAsia" w:ascii="Times New Roman" w:hAnsi="Times New Roman" w:eastAsia="宋体"/>
                <w:sz w:val="21"/>
                <w:szCs w:val="21"/>
                <w:vertAlign w:val="baseline"/>
                <w:lang w:val="en-US" w:eastAsia="zh-CN"/>
              </w:rPr>
              <w:t>t/a</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4996" w:type="dxa"/>
            <w:gridSpan w:val="3"/>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合计</w:t>
            </w:r>
          </w:p>
        </w:tc>
        <w:tc>
          <w:tcPr>
            <w:tcW w:w="2400"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44</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default"/>
          <w:sz w:val="24"/>
          <w:szCs w:val="24"/>
          <w:lang w:val="en-US" w:eastAsia="zh-CN"/>
        </w:rPr>
      </w:pPr>
      <w:r>
        <w:rPr>
          <w:rFonts w:hint="eastAsia"/>
          <w:sz w:val="24"/>
          <w:szCs w:val="24"/>
          <w:lang w:val="en-US" w:eastAsia="zh-CN"/>
        </w:rPr>
        <w:t>本</w:t>
      </w:r>
      <w:r>
        <w:rPr>
          <w:rFonts w:hint="default"/>
          <w:sz w:val="24"/>
          <w:szCs w:val="24"/>
          <w:lang w:val="en-US" w:eastAsia="zh-CN"/>
        </w:rPr>
        <w:t>工程危险废物处理成本约为</w:t>
      </w:r>
      <w:r>
        <w:rPr>
          <w:rFonts w:hint="default" w:ascii="Times New Roman" w:hAnsi="Times New Roman" w:cs="Times New Roman"/>
          <w:sz w:val="24"/>
          <w:szCs w:val="24"/>
          <w:lang w:val="en-US" w:eastAsia="zh-CN"/>
        </w:rPr>
        <w:t>44</w:t>
      </w:r>
      <w:r>
        <w:rPr>
          <w:rFonts w:hint="default"/>
          <w:sz w:val="24"/>
          <w:szCs w:val="24"/>
          <w:lang w:val="en-US" w:eastAsia="zh-CN"/>
        </w:rPr>
        <w:t>万元</w:t>
      </w:r>
      <w:r>
        <w:rPr>
          <w:rFonts w:hint="default" w:ascii="Times New Roman" w:hAnsi="Times New Roman" w:cs="Times New Roman"/>
          <w:sz w:val="24"/>
          <w:szCs w:val="24"/>
          <w:lang w:val="en-US" w:eastAsia="zh-CN"/>
        </w:rPr>
        <w:t>/a</w:t>
      </w:r>
      <w:r>
        <w:rPr>
          <w:rFonts w:hint="default"/>
          <w:sz w:val="24"/>
          <w:szCs w:val="24"/>
          <w:lang w:val="en-US" w:eastAsia="zh-CN"/>
        </w:rPr>
        <w:t>，</w:t>
      </w:r>
      <w:r>
        <w:rPr>
          <w:rFonts w:hint="eastAsia"/>
          <w:sz w:val="24"/>
          <w:szCs w:val="24"/>
          <w:lang w:val="en-US" w:eastAsia="zh-CN"/>
        </w:rPr>
        <w:t>本</w:t>
      </w:r>
      <w:r>
        <w:rPr>
          <w:rFonts w:hint="default"/>
          <w:sz w:val="24"/>
          <w:szCs w:val="24"/>
          <w:lang w:val="en-US" w:eastAsia="zh-CN"/>
        </w:rPr>
        <w:t>工程年均利润</w:t>
      </w:r>
      <w:r>
        <w:rPr>
          <w:rFonts w:hint="default" w:ascii="Times New Roman" w:hAnsi="Times New Roman" w:cs="Times New Roman"/>
          <w:sz w:val="24"/>
          <w:szCs w:val="24"/>
          <w:highlight w:val="none"/>
          <w:u w:val="none"/>
          <w:lang w:val="en-US" w:eastAsia="zh-CN"/>
        </w:rPr>
        <w:t>3000</w:t>
      </w:r>
      <w:r>
        <w:rPr>
          <w:rFonts w:hint="default"/>
          <w:sz w:val="24"/>
          <w:szCs w:val="24"/>
          <w:lang w:val="en-US" w:eastAsia="zh-CN"/>
        </w:rPr>
        <w:t>万元，所占比例较小，经济上完全能够保证</w:t>
      </w:r>
      <w:r>
        <w:rPr>
          <w:rFonts w:hint="eastAsia"/>
          <w:sz w:val="24"/>
          <w:szCs w:val="24"/>
          <w:lang w:val="en-US" w:eastAsia="zh-CN"/>
        </w:rPr>
        <w:t>固废</w:t>
      </w:r>
      <w:r>
        <w:rPr>
          <w:rFonts w:hint="default"/>
          <w:sz w:val="24"/>
          <w:szCs w:val="24"/>
          <w:lang w:val="en-US" w:eastAsia="zh-CN"/>
        </w:rPr>
        <w:t>的处理，因此</w:t>
      </w:r>
      <w:r>
        <w:rPr>
          <w:rFonts w:hint="eastAsia"/>
          <w:sz w:val="24"/>
          <w:szCs w:val="24"/>
          <w:lang w:val="en-US" w:eastAsia="zh-CN"/>
        </w:rPr>
        <w:t>本</w:t>
      </w:r>
      <w:r>
        <w:rPr>
          <w:rFonts w:hint="default"/>
          <w:sz w:val="24"/>
          <w:szCs w:val="24"/>
          <w:lang w:val="en-US" w:eastAsia="zh-CN"/>
        </w:rPr>
        <w:t>项目</w:t>
      </w:r>
      <w:r>
        <w:rPr>
          <w:rFonts w:hint="eastAsia"/>
          <w:sz w:val="24"/>
          <w:szCs w:val="24"/>
          <w:lang w:val="en-US" w:eastAsia="zh-CN"/>
        </w:rPr>
        <w:t>固废</w:t>
      </w:r>
      <w:r>
        <w:rPr>
          <w:rFonts w:hint="default"/>
          <w:sz w:val="24"/>
          <w:szCs w:val="24"/>
          <w:lang w:val="en-US" w:eastAsia="zh-CN"/>
        </w:rPr>
        <w:t xml:space="preserve">治理措施经济上同样具有可行性。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综上所述，</w:t>
      </w:r>
      <w:r>
        <w:rPr>
          <w:rFonts w:hint="eastAsia"/>
          <w:sz w:val="24"/>
          <w:szCs w:val="24"/>
          <w:lang w:val="en-US" w:eastAsia="zh-CN"/>
        </w:rPr>
        <w:t>本</w:t>
      </w:r>
      <w:r>
        <w:rPr>
          <w:rFonts w:hint="default"/>
          <w:sz w:val="24"/>
          <w:szCs w:val="24"/>
          <w:lang w:val="en-US" w:eastAsia="zh-CN"/>
        </w:rPr>
        <w:t>工程所采用的固废治理措施在经济技术上是可行的。</w:t>
      </w:r>
    </w:p>
    <w:p>
      <w:pPr>
        <w:pStyle w:val="8"/>
        <w:keepNext/>
        <w:keepLines/>
        <w:pageBreakBefore w:val="0"/>
        <w:widowControl w:val="0"/>
        <w:kinsoku/>
        <w:wordWrap/>
        <w:overflowPunct/>
        <w:topLinePunct w:val="0"/>
        <w:autoSpaceDE/>
        <w:autoSpaceDN/>
        <w:bidi w:val="0"/>
        <w:adjustRightInd/>
        <w:snapToGrid w:val="0"/>
        <w:spacing w:before="157" w:beforeLines="50" w:after="0" w:afterLines="0" w:line="360" w:lineRule="auto"/>
        <w:textAlignment w:val="auto"/>
        <w:rPr>
          <w:rFonts w:hint="default" w:ascii="宋体" w:hAnsi="宋体" w:eastAsia="宋体" w:cs="宋体"/>
          <w:lang w:val="en-US" w:eastAsia="zh-CN"/>
        </w:rPr>
      </w:pPr>
      <w:bookmarkStart w:id="56" w:name="_Toc8384"/>
      <w:bookmarkStart w:id="57" w:name="_Toc11623"/>
      <w:r>
        <w:rPr>
          <w:rFonts w:hint="eastAsia" w:ascii="Times New Roman" w:hAnsi="Times New Roman" w:eastAsia="宋体" w:cs="Times New Roman"/>
          <w:lang w:val="en-US" w:eastAsia="zh-CN"/>
        </w:rPr>
        <w:t>7</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6</w:t>
      </w:r>
      <w:r>
        <w:rPr>
          <w:rFonts w:hint="eastAsia" w:ascii="宋体" w:hAnsi="宋体" w:eastAsia="宋体" w:cs="宋体"/>
          <w:lang w:val="en-US" w:eastAsia="zh-CN"/>
        </w:rPr>
        <w:t>环保设施运行费用经济损益分析</w:t>
      </w:r>
      <w:bookmarkEnd w:id="56"/>
      <w:bookmarkEnd w:id="57"/>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eastAsia"/>
          <w:sz w:val="24"/>
          <w:szCs w:val="24"/>
          <w:lang w:val="en-US" w:eastAsia="zh-CN"/>
        </w:rPr>
        <w:t>本</w:t>
      </w:r>
      <w:r>
        <w:rPr>
          <w:rFonts w:hint="default"/>
          <w:sz w:val="24"/>
          <w:szCs w:val="24"/>
          <w:lang w:val="en-US" w:eastAsia="zh-CN"/>
        </w:rPr>
        <w:t>工程环保设施运行费用包括废气治理设施运行费用、废水治理设施运行费用、固废治理设施运行费用，环保设施运行费用见表</w:t>
      </w:r>
      <w:r>
        <w:rPr>
          <w:rFonts w:hint="default" w:ascii="Times New Roman" w:hAnsi="Times New Roman" w:cs="Times New Roman"/>
          <w:sz w:val="24"/>
          <w:szCs w:val="24"/>
          <w:lang w:val="en-US" w:eastAsia="zh-CN"/>
        </w:rPr>
        <w:t>7.6-1</w:t>
      </w:r>
      <w:r>
        <w:rPr>
          <w:rFonts w:hint="default"/>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sz w:val="24"/>
          <w:szCs w:val="24"/>
          <w:lang w:val="en-US" w:eastAsia="zh-CN"/>
        </w:rPr>
      </w:pPr>
      <w:r>
        <w:rPr>
          <w:rFonts w:hint="default"/>
          <w:b/>
          <w:bCs/>
          <w:sz w:val="24"/>
          <w:szCs w:val="24"/>
          <w:lang w:val="en-US" w:eastAsia="zh-CN"/>
        </w:rPr>
        <w:t>表</w:t>
      </w:r>
      <w:r>
        <w:rPr>
          <w:rFonts w:hint="default" w:ascii="Times New Roman" w:hAnsi="Times New Roman" w:cs="Times New Roman"/>
          <w:b/>
          <w:bCs/>
          <w:sz w:val="24"/>
          <w:szCs w:val="24"/>
          <w:lang w:val="en-US" w:eastAsia="zh-CN"/>
        </w:rPr>
        <w:t>7.6-1</w:t>
      </w:r>
      <w:r>
        <w:rPr>
          <w:rFonts w:hint="default"/>
          <w:b/>
          <w:bCs/>
          <w:sz w:val="24"/>
          <w:szCs w:val="24"/>
          <w:lang w:val="en-US" w:eastAsia="zh-CN"/>
        </w:rPr>
        <w:t xml:space="preserve">  </w:t>
      </w:r>
      <w:r>
        <w:rPr>
          <w:rFonts w:hint="eastAsia"/>
          <w:b/>
          <w:bCs/>
          <w:sz w:val="24"/>
          <w:szCs w:val="24"/>
          <w:lang w:val="en-US" w:eastAsia="zh-CN"/>
        </w:rPr>
        <w:t>本</w:t>
      </w:r>
      <w:r>
        <w:rPr>
          <w:rFonts w:hint="default"/>
          <w:b/>
          <w:bCs/>
          <w:sz w:val="24"/>
          <w:szCs w:val="24"/>
          <w:lang w:val="en-US" w:eastAsia="zh-CN"/>
        </w:rPr>
        <w:t>工程环保设施运行费用情况一览表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3"/>
        <w:gridCol w:w="4392"/>
        <w:gridCol w:w="25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6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序号</w:t>
            </w:r>
          </w:p>
        </w:tc>
        <w:tc>
          <w:tcPr>
            <w:tcW w:w="4392"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项目</w:t>
            </w:r>
          </w:p>
        </w:tc>
        <w:tc>
          <w:tcPr>
            <w:tcW w:w="25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费用（万元）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6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w:t>
            </w:r>
          </w:p>
        </w:tc>
        <w:tc>
          <w:tcPr>
            <w:tcW w:w="4392" w:type="dxa"/>
            <w:noWrap w:val="0"/>
            <w:vAlign w:val="center"/>
          </w:tcPr>
          <w:p>
            <w:pPr>
              <w:pStyle w:val="25"/>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废气治理措施</w:t>
            </w:r>
          </w:p>
        </w:tc>
        <w:tc>
          <w:tcPr>
            <w:tcW w:w="25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6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2</w:t>
            </w:r>
          </w:p>
        </w:tc>
        <w:tc>
          <w:tcPr>
            <w:tcW w:w="4392" w:type="dxa"/>
            <w:noWrap w:val="0"/>
            <w:vAlign w:val="center"/>
          </w:tcPr>
          <w:p>
            <w:pPr>
              <w:pStyle w:val="25"/>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废水治理措施</w:t>
            </w:r>
          </w:p>
        </w:tc>
        <w:tc>
          <w:tcPr>
            <w:tcW w:w="25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6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3</w:t>
            </w:r>
          </w:p>
        </w:tc>
        <w:tc>
          <w:tcPr>
            <w:tcW w:w="4392" w:type="dxa"/>
            <w:noWrap w:val="0"/>
            <w:vAlign w:val="center"/>
          </w:tcPr>
          <w:p>
            <w:pPr>
              <w:pStyle w:val="25"/>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固废治理措施</w:t>
            </w:r>
          </w:p>
        </w:tc>
        <w:tc>
          <w:tcPr>
            <w:tcW w:w="25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663"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4</w:t>
            </w:r>
          </w:p>
        </w:tc>
        <w:tc>
          <w:tcPr>
            <w:tcW w:w="4392" w:type="dxa"/>
            <w:noWrap w:val="0"/>
            <w:vAlign w:val="center"/>
          </w:tcPr>
          <w:p>
            <w:pPr>
              <w:pStyle w:val="25"/>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总计治理措施</w:t>
            </w:r>
          </w:p>
        </w:tc>
        <w:tc>
          <w:tcPr>
            <w:tcW w:w="25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eastAsia="宋体"/>
                <w:sz w:val="21"/>
                <w:szCs w:val="21"/>
                <w:vertAlign w:val="baseline"/>
                <w:lang w:val="en-US" w:eastAsia="zh-CN"/>
              </w:rPr>
              <w:t>190</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由表</w:t>
      </w:r>
      <w:r>
        <w:rPr>
          <w:rFonts w:hint="eastAsia" w:ascii="Times New Roman" w:hAnsi="Times New Roman"/>
          <w:sz w:val="24"/>
          <w:szCs w:val="24"/>
          <w:lang w:val="en-US" w:eastAsia="zh-CN"/>
        </w:rPr>
        <w:t>7.6</w:t>
      </w:r>
      <w:r>
        <w:rPr>
          <w:rFonts w:hint="default" w:ascii="Times New Roman" w:hAnsi="Times New Roman"/>
          <w:sz w:val="24"/>
          <w:szCs w:val="24"/>
          <w:lang w:val="en-US" w:eastAsia="zh-CN"/>
        </w:rPr>
        <w:t>-1可知，</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工程环保设施年运行费用为</w:t>
      </w:r>
      <w:r>
        <w:rPr>
          <w:rFonts w:hint="eastAsia" w:ascii="Times New Roman" w:hAnsi="Times New Roman"/>
          <w:sz w:val="24"/>
          <w:szCs w:val="24"/>
          <w:lang w:val="en-US" w:eastAsia="zh-CN"/>
        </w:rPr>
        <w:t>190</w:t>
      </w:r>
      <w:r>
        <w:rPr>
          <w:rFonts w:hint="default" w:ascii="Times New Roman" w:hAnsi="Times New Roman"/>
          <w:sz w:val="24"/>
          <w:szCs w:val="24"/>
          <w:lang w:val="en-US" w:eastAsia="zh-CN"/>
        </w:rPr>
        <w:t>万元，</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工程年均净利润</w:t>
      </w:r>
      <w:r>
        <w:rPr>
          <w:rFonts w:hint="eastAsia" w:ascii="Times New Roman" w:hAnsi="Times New Roman"/>
          <w:sz w:val="24"/>
          <w:szCs w:val="24"/>
          <w:highlight w:val="none"/>
          <w:lang w:val="en-US" w:eastAsia="zh-CN"/>
        </w:rPr>
        <w:t>3000</w:t>
      </w:r>
      <w:r>
        <w:rPr>
          <w:rFonts w:hint="default" w:ascii="Times New Roman" w:hAnsi="Times New Roman"/>
          <w:sz w:val="24"/>
          <w:szCs w:val="24"/>
          <w:lang w:val="en-US" w:eastAsia="zh-CN"/>
        </w:rPr>
        <w:t>万元，占净利润总额的</w:t>
      </w:r>
      <w:r>
        <w:rPr>
          <w:rFonts w:hint="eastAsia" w:ascii="Times New Roman" w:hAnsi="Times New Roman"/>
          <w:sz w:val="24"/>
          <w:szCs w:val="24"/>
          <w:highlight w:val="none"/>
          <w:lang w:val="en-US" w:eastAsia="zh-CN"/>
        </w:rPr>
        <w:t>6.3</w:t>
      </w:r>
      <w:r>
        <w:rPr>
          <w:rFonts w:hint="default" w:ascii="Times New Roman" w:hAnsi="Times New Roman"/>
          <w:sz w:val="24"/>
          <w:szCs w:val="24"/>
          <w:highlight w:val="none"/>
          <w:lang w:val="en-US" w:eastAsia="zh-CN"/>
        </w:rPr>
        <w:t>%</w:t>
      </w:r>
      <w:r>
        <w:rPr>
          <w:rFonts w:hint="default" w:ascii="Times New Roman" w:hAnsi="Times New Roman"/>
          <w:sz w:val="24"/>
          <w:szCs w:val="24"/>
          <w:lang w:val="en-US" w:eastAsia="zh-CN"/>
        </w:rPr>
        <w:t xml:space="preserve">，所占比例较小，经济上完全能够保证以上环保设施的运行，即该项目具有较好的经济效益。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综上分析，</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工程通过一定的环保投资，采取技术上可行、经济上合理的环保措施，对其生产过程中产生的 “三废”进行了综合治理或妥善处置，这些措施的实施即取得了一定的经济效益，又减少了工程对环境造成的污染，达到了削减污染物排放和保护环境的目的，其环境保护效果显著。</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hint="eastAsia"/>
          <w:b/>
          <w:bCs/>
          <w:color w:val="auto"/>
          <w:sz w:val="30"/>
          <w:szCs w:val="30"/>
        </w:rPr>
      </w:pPr>
      <w:bookmarkStart w:id="58" w:name="_Toc7762"/>
      <w:bookmarkStart w:id="59" w:name="_Toc22330"/>
      <w:r>
        <w:rPr>
          <w:rFonts w:hint="default" w:ascii="Times New Roman" w:hAnsi="Times New Roman" w:cs="Times New Roman"/>
          <w:b/>
          <w:bCs/>
          <w:color w:val="auto"/>
          <w:sz w:val="30"/>
          <w:szCs w:val="30"/>
          <w:lang w:val="en-US" w:eastAsia="zh-CN"/>
        </w:rPr>
        <w:t>7</w:t>
      </w:r>
      <w:r>
        <w:rPr>
          <w:rFonts w:hint="default" w:ascii="Times New Roman" w:hAnsi="Times New Roman" w:cs="Times New Roman"/>
          <w:b/>
          <w:bCs/>
          <w:color w:val="auto"/>
          <w:sz w:val="30"/>
          <w:szCs w:val="30"/>
        </w:rPr>
        <w:t>.</w:t>
      </w:r>
      <w:r>
        <w:rPr>
          <w:rFonts w:hint="default" w:ascii="Times New Roman" w:hAnsi="Times New Roman" w:cs="Times New Roman"/>
          <w:b/>
          <w:bCs/>
          <w:color w:val="auto"/>
          <w:sz w:val="30"/>
          <w:szCs w:val="30"/>
          <w:lang w:val="en-US" w:eastAsia="zh-CN"/>
        </w:rPr>
        <w:t>7</w:t>
      </w:r>
      <w:r>
        <w:rPr>
          <w:b/>
          <w:bCs/>
          <w:color w:val="auto"/>
          <w:sz w:val="30"/>
          <w:szCs w:val="30"/>
        </w:rPr>
        <w:t xml:space="preserve"> </w:t>
      </w:r>
      <w:r>
        <w:rPr>
          <w:rFonts w:hint="eastAsia"/>
          <w:b/>
          <w:bCs/>
          <w:color w:val="auto"/>
          <w:sz w:val="30"/>
          <w:szCs w:val="30"/>
        </w:rPr>
        <w:t>总体评价</w:t>
      </w:r>
      <w:bookmarkEnd w:id="58"/>
      <w:bookmarkEnd w:id="59"/>
    </w:p>
    <w:p>
      <w:pPr>
        <w:pStyle w:val="25"/>
        <w:keepNext w:val="0"/>
        <w:keepLines w:val="0"/>
        <w:pageBreakBefore w:val="0"/>
        <w:widowControl w:val="0"/>
        <w:kinsoku/>
        <w:wordWrap/>
        <w:overflowPunct/>
        <w:topLinePunct w:val="0"/>
        <w:autoSpaceDE/>
        <w:autoSpaceDN/>
        <w:bidi w:val="0"/>
        <w:snapToGrid w:val="0"/>
        <w:rPr>
          <w:rFonts w:cs="Times New Roman"/>
          <w:color w:val="auto"/>
          <w:szCs w:val="24"/>
        </w:rPr>
      </w:pPr>
      <w:r>
        <w:rPr>
          <w:rFonts w:cs="Times New Roman"/>
          <w:color w:val="auto"/>
          <w:szCs w:val="24"/>
        </w:rPr>
        <w:t>综上所述，</w:t>
      </w:r>
      <w:r>
        <w:rPr>
          <w:rFonts w:hint="eastAsia" w:cs="Times New Roman"/>
          <w:color w:val="auto"/>
          <w:szCs w:val="24"/>
          <w:lang w:val="en-US" w:eastAsia="zh-CN"/>
        </w:rPr>
        <w:t>本</w:t>
      </w:r>
      <w:r>
        <w:rPr>
          <w:rFonts w:cs="Times New Roman"/>
          <w:color w:val="auto"/>
          <w:szCs w:val="24"/>
        </w:rPr>
        <w:t>工程所采取的各类污染治理措施在技术上是可行的，经济上是合理的，能够确保工程污染物达标排放。</w:t>
      </w:r>
    </w:p>
    <w:p>
      <w:pPr>
        <w:pStyle w:val="17"/>
        <w:keepNext w:val="0"/>
        <w:keepLines w:val="0"/>
        <w:pageBreakBefore w:val="0"/>
        <w:widowControl w:val="0"/>
        <w:kinsoku/>
        <w:wordWrap/>
        <w:overflowPunct/>
        <w:topLinePunct w:val="0"/>
        <w:autoSpaceDE/>
        <w:autoSpaceDN/>
        <w:bidi w:val="0"/>
        <w:snapToGrid w:val="0"/>
        <w:spacing w:after="0" w:line="360" w:lineRule="auto"/>
        <w:ind w:right="601" w:firstLine="0" w:firstLineChars="0"/>
        <w:outlineLvl w:val="1"/>
        <w:rPr>
          <w:rFonts w:hint="eastAsia"/>
          <w:b/>
          <w:bCs/>
          <w:color w:val="auto"/>
          <w:sz w:val="30"/>
          <w:szCs w:val="30"/>
        </w:rPr>
      </w:pPr>
      <w:bookmarkStart w:id="60" w:name="_Toc2577"/>
      <w:bookmarkStart w:id="61" w:name="_Toc27015"/>
      <w:bookmarkStart w:id="62" w:name="_Toc1132"/>
      <w:r>
        <w:rPr>
          <w:rFonts w:hint="default" w:ascii="Times New Roman" w:hAnsi="Times New Roman" w:cs="Times New Roman"/>
          <w:b/>
          <w:bCs/>
          <w:color w:val="auto"/>
          <w:sz w:val="30"/>
          <w:szCs w:val="30"/>
          <w:lang w:val="en-US" w:eastAsia="zh-CN"/>
        </w:rPr>
        <w:t>7.8</w:t>
      </w:r>
      <w:r>
        <w:rPr>
          <w:b/>
          <w:bCs/>
          <w:color w:val="auto"/>
          <w:sz w:val="30"/>
          <w:szCs w:val="30"/>
        </w:rPr>
        <w:t xml:space="preserve"> </w:t>
      </w:r>
      <w:r>
        <w:rPr>
          <w:rFonts w:hint="eastAsia"/>
          <w:b/>
          <w:bCs/>
          <w:color w:val="auto"/>
          <w:sz w:val="30"/>
          <w:szCs w:val="30"/>
        </w:rPr>
        <w:t>进一步缓解污染的对策</w:t>
      </w:r>
      <w:bookmarkEnd w:id="60"/>
      <w:bookmarkEnd w:id="61"/>
      <w:bookmarkEnd w:id="62"/>
    </w:p>
    <w:p>
      <w:pPr>
        <w:pStyle w:val="25"/>
        <w:keepNext w:val="0"/>
        <w:keepLines w:val="0"/>
        <w:pageBreakBefore w:val="0"/>
        <w:widowControl w:val="0"/>
        <w:kinsoku/>
        <w:wordWrap/>
        <w:overflowPunct/>
        <w:topLinePunct w:val="0"/>
        <w:autoSpaceDE/>
        <w:autoSpaceDN/>
        <w:bidi w:val="0"/>
        <w:snapToGrid w:val="0"/>
        <w:rPr>
          <w:rFonts w:cs="Times New Roman"/>
          <w:color w:val="auto"/>
          <w:szCs w:val="24"/>
        </w:rPr>
      </w:pPr>
      <w:r>
        <w:rPr>
          <w:rFonts w:cs="Times New Roman"/>
          <w:color w:val="auto"/>
          <w:szCs w:val="24"/>
        </w:rPr>
        <w:t>（</w:t>
      </w:r>
      <w:r>
        <w:rPr>
          <w:rFonts w:hint="default" w:ascii="Times New Roman" w:hAnsi="Times New Roman" w:cs="Times New Roman"/>
          <w:color w:val="auto"/>
          <w:szCs w:val="24"/>
        </w:rPr>
        <w:t>1</w:t>
      </w:r>
      <w:r>
        <w:rPr>
          <w:rFonts w:cs="Times New Roman"/>
          <w:color w:val="auto"/>
          <w:szCs w:val="24"/>
        </w:rPr>
        <w:t>）加强对污水处理设施的运行管理，提高操作人员的技术水平，建立非正常情况下的排污处理应急措施，以确保污水处理设施的平稳运行。</w:t>
      </w:r>
    </w:p>
    <w:p>
      <w:pPr>
        <w:pStyle w:val="25"/>
        <w:keepNext w:val="0"/>
        <w:keepLines w:val="0"/>
        <w:pageBreakBefore w:val="0"/>
        <w:widowControl w:val="0"/>
        <w:kinsoku/>
        <w:wordWrap/>
        <w:overflowPunct/>
        <w:topLinePunct w:val="0"/>
        <w:autoSpaceDE/>
        <w:autoSpaceDN/>
        <w:bidi w:val="0"/>
        <w:snapToGrid w:val="0"/>
        <w:rPr>
          <w:rFonts w:cs="Times New Roman"/>
          <w:color w:val="auto"/>
          <w:szCs w:val="24"/>
        </w:rPr>
      </w:pPr>
      <w:r>
        <w:rPr>
          <w:rFonts w:cs="Times New Roman"/>
          <w:color w:val="auto"/>
          <w:szCs w:val="24"/>
        </w:rPr>
        <w:t>（</w:t>
      </w:r>
      <w:r>
        <w:rPr>
          <w:rFonts w:hint="default" w:ascii="Times New Roman" w:hAnsi="Times New Roman" w:cs="Times New Roman"/>
          <w:color w:val="auto"/>
          <w:szCs w:val="24"/>
        </w:rPr>
        <w:t>2</w:t>
      </w:r>
      <w:r>
        <w:rPr>
          <w:rFonts w:cs="Times New Roman"/>
          <w:color w:val="auto"/>
          <w:szCs w:val="24"/>
        </w:rPr>
        <w:t>）加强生产现场的综合管理，减少和杜绝跑、冒、滴、漏现象的发生，减少工程无组织排放造成的物料流失和对环境的影响。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Calibri" w:hAnsi="Calibri" w:eastAsia="宋体" w:cs="Times New Roman"/>
          <w:color w:val="auto"/>
          <w:kern w:val="2"/>
          <w:sz w:val="24"/>
          <w:szCs w:val="24"/>
          <w:lang w:val="en-US" w:eastAsia="zh-CN" w:bidi="ar-SA"/>
        </w:rPr>
      </w:pPr>
      <w:r>
        <w:rPr>
          <w:rFonts w:ascii="Calibri" w:hAnsi="Calibri"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3</w:t>
      </w:r>
      <w:r>
        <w:rPr>
          <w:rFonts w:ascii="Calibri" w:hAnsi="Calibri" w:eastAsia="宋体" w:cs="Times New Roman"/>
          <w:color w:val="auto"/>
          <w:kern w:val="2"/>
          <w:sz w:val="24"/>
          <w:szCs w:val="24"/>
          <w:lang w:val="en-US" w:eastAsia="zh-CN" w:bidi="ar-SA"/>
        </w:rPr>
        <w:t>）加强固废的综合利用管理工作，对临时暂存场所作好防渗、防雨等工作，并及时包装蓬盖，避免二次污</w:t>
      </w:r>
      <w:r>
        <w:rPr>
          <w:rFonts w:hint="eastAsia" w:ascii="Calibri" w:hAnsi="Calibri" w:eastAsia="宋体" w:cs="Times New Roman"/>
          <w:color w:val="auto"/>
          <w:kern w:val="2"/>
          <w:sz w:val="24"/>
          <w:szCs w:val="24"/>
          <w:lang w:val="en-US" w:eastAsia="zh-CN" w:bidi="ar-SA"/>
        </w:rPr>
        <w:t>染。</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p>
    <w:p>
      <w:pPr>
        <w:pStyle w:val="2"/>
        <w:rPr>
          <w:rFonts w:hint="default"/>
          <w:lang w:val="en-US" w:eastAsia="zh-CN"/>
        </w:rPr>
        <w:sectPr>
          <w:headerReference r:id="rId66" w:type="default"/>
          <w:footerReference r:id="rId67" w:type="default"/>
          <w:pgSz w:w="11906" w:h="16838"/>
          <w:pgMar w:top="1440" w:right="1800" w:bottom="1440" w:left="1800" w:header="851" w:footer="737" w:gutter="0"/>
          <w:pgBorders>
            <w:top w:val="none" w:sz="0" w:space="0"/>
            <w:left w:val="none" w:sz="0" w:space="0"/>
            <w:bottom w:val="none" w:sz="0" w:space="0"/>
            <w:right w:val="none" w:sz="0" w:space="0"/>
          </w:pgBorders>
          <w:pgNumType w:fmt="decimal"/>
          <w:cols w:space="425" w:num="1"/>
          <w:docGrid w:type="lines" w:linePitch="312" w:charSpace="0"/>
        </w:sectPr>
      </w:pPr>
    </w:p>
    <w:p>
      <w:pPr>
        <w:pStyle w:val="7"/>
        <w:bidi w:val="0"/>
        <w:jc w:val="center"/>
        <w:rPr>
          <w:rFonts w:hint="default"/>
          <w:lang w:val="en-US" w:eastAsia="zh-CN"/>
        </w:rPr>
      </w:pPr>
      <w:bookmarkStart w:id="63" w:name="_Toc2339"/>
      <w:bookmarkStart w:id="64" w:name="_Toc20289"/>
      <w:r>
        <w:rPr>
          <w:rFonts w:hint="eastAsia" w:ascii="Times New Roman" w:hAnsi="Times New Roman" w:cs="Times New Roman"/>
          <w:lang w:val="en-US" w:eastAsia="zh-CN"/>
        </w:rPr>
        <w:t>8</w:t>
      </w:r>
      <w:r>
        <w:rPr>
          <w:rFonts w:hint="eastAsia"/>
          <w:lang w:val="en-US" w:eastAsia="zh-CN"/>
        </w:rPr>
        <w:t>项目产业政策符合性及选址合理性分析</w:t>
      </w:r>
      <w:bookmarkEnd w:id="63"/>
      <w:bookmarkEnd w:id="64"/>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65" w:name="_Toc23188"/>
      <w:bookmarkStart w:id="66" w:name="_Toc32697"/>
      <w:r>
        <w:rPr>
          <w:rFonts w:hint="eastAsia" w:ascii="Times New Roman" w:hAnsi="Times New Roman" w:eastAsia="宋体" w:cs="Times New Roman"/>
          <w:lang w:val="en-US" w:eastAsia="zh-CN"/>
        </w:rPr>
        <w:t>8</w:t>
      </w:r>
      <w:r>
        <w:rPr>
          <w:rFonts w:hint="default" w:ascii="Times New Roman" w:hAnsi="Times New Roman" w:eastAsia="宋体" w:cs="Times New Roman"/>
          <w:lang w:val="en-US" w:eastAsia="zh-CN"/>
        </w:rPr>
        <w:t>.1</w:t>
      </w:r>
      <w:r>
        <w:rPr>
          <w:rFonts w:hint="eastAsia" w:ascii="宋体" w:hAnsi="宋体" w:eastAsia="宋体" w:cs="宋体"/>
          <w:lang w:val="en-US" w:eastAsia="zh-CN"/>
        </w:rPr>
        <w:t>相关政策、规划符合性</w:t>
      </w:r>
      <w:bookmarkEnd w:id="65"/>
      <w:bookmarkEnd w:id="66"/>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b/>
          <w:bCs/>
          <w:color w:val="auto"/>
          <w:sz w:val="28"/>
          <w:szCs w:val="28"/>
          <w:lang w:val="en-US" w:eastAsia="zh-CN"/>
        </w:rPr>
        <w:t>8.1</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1</w:t>
      </w:r>
      <w:r>
        <w:rPr>
          <w:rFonts w:ascii="Times New Roman" w:hAnsi="Times New Roman"/>
          <w:b/>
          <w:bCs/>
          <w:color w:val="auto"/>
          <w:sz w:val="28"/>
          <w:szCs w:val="28"/>
        </w:rPr>
        <w:t xml:space="preserve"> </w:t>
      </w:r>
      <w:r>
        <w:rPr>
          <w:rFonts w:hint="eastAsia" w:ascii="Times New Roman" w:hAnsi="Times New Roman"/>
          <w:b/>
          <w:bCs/>
          <w:color w:val="auto"/>
          <w:sz w:val="28"/>
          <w:szCs w:val="28"/>
        </w:rPr>
        <w:t>产业政策符合性分析</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8.1.1.1</w:t>
      </w:r>
      <w:r>
        <w:rPr>
          <w:rFonts w:hint="eastAsia" w:ascii="Times New Roman" w:hAnsi="Times New Roman"/>
          <w:b/>
          <w:bCs/>
          <w:color w:val="auto"/>
          <w:sz w:val="24"/>
          <w:szCs w:val="24"/>
          <w:highlight w:val="none"/>
          <w:lang w:val="en-US" w:eastAsia="zh-CN"/>
        </w:rPr>
        <w:t>与《产业结构调整指导目录（2019 年本）》符合性分析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b/>
          <w:bCs/>
          <w:sz w:val="24"/>
          <w:szCs w:val="24"/>
        </w:rPr>
      </w:pPr>
      <w:r>
        <w:rPr>
          <w:rFonts w:hint="eastAsia" w:ascii="Times New Roman" w:hAnsi="Times New Roman"/>
          <w:sz w:val="24"/>
          <w:szCs w:val="24"/>
        </w:rPr>
        <w:t>根据中华人民共和国国家发展和改革委员会令《产业结构调整指导目录（2019年本）》，</w:t>
      </w:r>
      <w:r>
        <w:rPr>
          <w:rFonts w:hint="eastAsia" w:ascii="Times New Roman" w:hAnsi="Times New Roman"/>
          <w:sz w:val="24"/>
          <w:szCs w:val="24"/>
          <w:lang w:val="en-US" w:eastAsia="zh-CN"/>
        </w:rPr>
        <w:t>本</w:t>
      </w:r>
      <w:r>
        <w:rPr>
          <w:rFonts w:hint="eastAsia" w:ascii="Times New Roman" w:hAnsi="Times New Roman"/>
          <w:sz w:val="24"/>
          <w:szCs w:val="24"/>
        </w:rPr>
        <w:t>项目属于《产业结构调整指导目录（2019年本）》鼓励类中“十</w:t>
      </w:r>
      <w:r>
        <w:rPr>
          <w:rFonts w:hint="eastAsia" w:ascii="Times New Roman" w:hAnsi="Times New Roman"/>
          <w:sz w:val="24"/>
          <w:szCs w:val="24"/>
          <w:lang w:val="en-US" w:eastAsia="zh-CN"/>
        </w:rPr>
        <w:t>九</w:t>
      </w:r>
      <w:r>
        <w:rPr>
          <w:rFonts w:hint="eastAsia" w:ascii="Times New Roman" w:hAnsi="Times New Roman"/>
          <w:sz w:val="24"/>
          <w:szCs w:val="24"/>
        </w:rPr>
        <w:t>、</w:t>
      </w:r>
      <w:r>
        <w:rPr>
          <w:rFonts w:hint="eastAsia" w:ascii="Times New Roman" w:hAnsi="Times New Roman"/>
          <w:sz w:val="24"/>
          <w:szCs w:val="24"/>
          <w:lang w:val="en-US" w:eastAsia="zh-CN"/>
        </w:rPr>
        <w:t>轻工</w:t>
      </w:r>
      <w:r>
        <w:rPr>
          <w:rFonts w:hint="eastAsia" w:ascii="Times New Roman" w:hAnsi="Times New Roman"/>
          <w:sz w:val="24"/>
          <w:szCs w:val="24"/>
        </w:rPr>
        <w:t>”“</w:t>
      </w:r>
      <w:r>
        <w:rPr>
          <w:rFonts w:hint="eastAsia" w:ascii="Times New Roman" w:hAnsi="Times New Roman"/>
          <w:sz w:val="24"/>
          <w:szCs w:val="24"/>
          <w:lang w:val="en-US" w:eastAsia="zh-CN"/>
        </w:rPr>
        <w:t>1</w:t>
      </w:r>
      <w:r>
        <w:rPr>
          <w:rFonts w:hint="eastAsia" w:ascii="Times New Roman" w:hAnsi="Times New Roman"/>
          <w:sz w:val="24"/>
          <w:szCs w:val="24"/>
        </w:rPr>
        <w:t>、化学机械木浆10万吨/年及以上”，符合国家产业政策要求。</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8.1.1.2</w:t>
      </w:r>
      <w:r>
        <w:rPr>
          <w:rFonts w:hint="eastAsia" w:ascii="Times New Roman" w:hAnsi="Times New Roman"/>
          <w:b/>
          <w:bCs/>
          <w:color w:val="auto"/>
          <w:sz w:val="24"/>
          <w:szCs w:val="24"/>
          <w:highlight w:val="none"/>
          <w:lang w:val="en-US" w:eastAsia="zh-CN"/>
        </w:rPr>
        <w:t>与《淄博市产业结构调整指导意见和指导目录》符合性分析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sz w:val="24"/>
          <w:szCs w:val="24"/>
          <w:lang w:eastAsia="zh-CN"/>
        </w:rPr>
      </w:pPr>
      <w:r>
        <w:rPr>
          <w:rFonts w:hint="eastAsia" w:ascii="Times New Roman" w:hAnsi="Times New Roman"/>
          <w:sz w:val="24"/>
          <w:szCs w:val="24"/>
        </w:rPr>
        <w:t>根据《淄博市人民政府办公厅关于印发&lt;淄博市产业结构调整指导意见和指导目录&gt;的通知》，本项目属于允许类建设项目，符合淄博市产业政策要求</w:t>
      </w:r>
      <w:r>
        <w:rPr>
          <w:rFonts w:hint="eastAsia" w:ascii="Times New Roman" w:hAnsi="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b/>
          <w:bCs/>
          <w:color w:val="auto"/>
          <w:sz w:val="28"/>
          <w:szCs w:val="28"/>
          <w:lang w:val="en-US" w:eastAsia="zh-CN"/>
        </w:rPr>
        <w:t>8.1</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2</w:t>
      </w:r>
      <w:r>
        <w:rPr>
          <w:rFonts w:ascii="Times New Roman" w:hAnsi="Times New Roman"/>
          <w:b/>
          <w:bCs/>
          <w:color w:val="auto"/>
          <w:sz w:val="28"/>
          <w:szCs w:val="28"/>
        </w:rPr>
        <w:t xml:space="preserve"> </w:t>
      </w:r>
      <w:r>
        <w:rPr>
          <w:rFonts w:hint="eastAsia" w:ascii="Times New Roman" w:hAnsi="Times New Roman"/>
          <w:b/>
          <w:bCs/>
          <w:color w:val="auto"/>
          <w:sz w:val="28"/>
          <w:szCs w:val="28"/>
          <w:lang w:val="en-US" w:eastAsia="zh-CN"/>
        </w:rPr>
        <w:t>行业</w:t>
      </w:r>
      <w:r>
        <w:rPr>
          <w:rFonts w:hint="eastAsia" w:ascii="Times New Roman" w:hAnsi="Times New Roman"/>
          <w:b/>
          <w:bCs/>
          <w:color w:val="auto"/>
          <w:sz w:val="28"/>
          <w:szCs w:val="28"/>
        </w:rPr>
        <w:t>政策符合性分析</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8.1.2.1</w:t>
      </w:r>
      <w:r>
        <w:rPr>
          <w:rFonts w:hint="eastAsia" w:ascii="Times New Roman" w:hAnsi="Times New Roman"/>
          <w:b/>
          <w:bCs/>
          <w:color w:val="auto"/>
          <w:sz w:val="24"/>
          <w:szCs w:val="24"/>
          <w:highlight w:val="none"/>
          <w:lang w:val="en-US" w:eastAsia="zh-CN"/>
        </w:rPr>
        <w:t>与《造纸产业发展政策》符合性分析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本项目与《造纸产业发展政策》的相符性分析如表</w:t>
      </w:r>
      <w:r>
        <w:rPr>
          <w:rFonts w:hint="eastAsia" w:ascii="Times New Roman" w:hAnsi="Times New Roman"/>
          <w:sz w:val="24"/>
          <w:szCs w:val="24"/>
          <w:lang w:val="en-US" w:eastAsia="zh-CN"/>
        </w:rPr>
        <w:t>8.1-</w:t>
      </w:r>
      <w:r>
        <w:rPr>
          <w:rFonts w:hint="eastAsia" w:ascii="Times New Roman" w:hAnsi="Times New Roman"/>
          <w:sz w:val="24"/>
          <w:szCs w:val="24"/>
        </w:rPr>
        <w:t>1。</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8.1</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eastAsia="宋体"/>
          <w:b/>
          <w:bCs/>
          <w:sz w:val="24"/>
          <w:szCs w:val="24"/>
          <w:lang w:val="en-US" w:eastAsia="zh-CN"/>
        </w:rPr>
        <w:t xml:space="preserve">  项目与《造纸产业发展政策》的符合性分析</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7"/>
        <w:gridCol w:w="3888"/>
        <w:gridCol w:w="2875"/>
        <w:gridCol w:w="1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4575"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b/>
                <w:bCs/>
                <w:sz w:val="21"/>
                <w:szCs w:val="21"/>
                <w:vertAlign w:val="baseline"/>
              </w:rPr>
            </w:pPr>
            <w:r>
              <w:rPr>
                <w:rFonts w:hint="eastAsia" w:ascii="Times New Roman" w:hAnsi="Times New Roman"/>
                <w:b/>
                <w:bCs/>
                <w:sz w:val="21"/>
                <w:szCs w:val="21"/>
                <w:vertAlign w:val="baseline"/>
              </w:rPr>
              <w:t>《造纸产业发展政策》要求</w:t>
            </w:r>
          </w:p>
        </w:tc>
        <w:tc>
          <w:tcPr>
            <w:tcW w:w="28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b/>
                <w:bCs/>
                <w:sz w:val="21"/>
                <w:szCs w:val="21"/>
                <w:vertAlign w:val="baseline"/>
                <w:lang w:val="en-US" w:eastAsia="zh-CN"/>
              </w:rPr>
            </w:pPr>
            <w:r>
              <w:rPr>
                <w:rFonts w:hint="eastAsia" w:ascii="Times New Roman" w:hAnsi="Times New Roman"/>
                <w:b/>
                <w:bCs/>
                <w:sz w:val="21"/>
                <w:szCs w:val="21"/>
                <w:vertAlign w:val="baseline"/>
                <w:lang w:val="en-US" w:eastAsia="zh-CN"/>
              </w:rPr>
              <w:t>本项目情况</w:t>
            </w:r>
          </w:p>
        </w:tc>
        <w:tc>
          <w:tcPr>
            <w:tcW w:w="10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b/>
                <w:bCs/>
                <w:sz w:val="21"/>
                <w:szCs w:val="21"/>
                <w:vertAlign w:val="baseline"/>
                <w:lang w:val="en-US" w:eastAsia="zh-CN"/>
              </w:rPr>
            </w:pPr>
            <w:r>
              <w:rPr>
                <w:rFonts w:hint="eastAsia" w:ascii="Times New Roman" w:hAnsi="Times New Roman"/>
                <w:b/>
                <w:bCs/>
                <w:sz w:val="21"/>
                <w:szCs w:val="21"/>
                <w:vertAlign w:val="baseline"/>
                <w:lang w:val="en-US" w:eastAsia="zh-CN"/>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1" w:hRule="atLeast"/>
        </w:trPr>
        <w:tc>
          <w:tcPr>
            <w:tcW w:w="6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产业布局</w:t>
            </w:r>
          </w:p>
        </w:tc>
        <w:tc>
          <w:tcPr>
            <w:tcW w:w="38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rPr>
              <w:t>黄淮海地区要淘汰落后草浆产能，增加商品木浆和废纸的利用，适度发展林纸一体化，控制大量耗水的纸浆项目，加快区域产业升级，确保在发展造纸产业的同时不增加或减少水资源消耗和污染物排放。</w:t>
            </w:r>
          </w:p>
        </w:tc>
        <w:tc>
          <w:tcPr>
            <w:tcW w:w="28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本项目为年产20万吨化机浆，本项目配备MVR系统及碱液回收系统，生产废水处理后全部回用，不排放。</w:t>
            </w:r>
          </w:p>
        </w:tc>
        <w:tc>
          <w:tcPr>
            <w:tcW w:w="10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0" w:hRule="atLeast"/>
        </w:trPr>
        <w:tc>
          <w:tcPr>
            <w:tcW w:w="687"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行业准入</w:t>
            </w:r>
          </w:p>
        </w:tc>
        <w:tc>
          <w:tcPr>
            <w:tcW w:w="38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rPr>
              <w:t>新建、扩建制浆项目单条生产线起始规模要求达到：化学木浆年产30万吨、化学机械木浆年产10万吨、化学竹浆年产10万吨、非木浆年产5万吨。</w:t>
            </w:r>
          </w:p>
        </w:tc>
        <w:tc>
          <w:tcPr>
            <w:tcW w:w="28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lang w:val="en-US" w:eastAsia="zh-CN"/>
              </w:rPr>
              <w:t>本</w:t>
            </w:r>
            <w:r>
              <w:rPr>
                <w:rFonts w:hint="eastAsia" w:ascii="Times New Roman" w:hAnsi="Times New Roman"/>
                <w:sz w:val="21"/>
                <w:szCs w:val="21"/>
                <w:vertAlign w:val="baseline"/>
              </w:rPr>
              <w:t>项目为年产</w:t>
            </w:r>
            <w:r>
              <w:rPr>
                <w:rFonts w:hint="eastAsia" w:ascii="Times New Roman" w:hAnsi="Times New Roman"/>
                <w:sz w:val="21"/>
                <w:szCs w:val="21"/>
                <w:vertAlign w:val="baseline"/>
                <w:lang w:val="en-US" w:eastAsia="zh-CN"/>
              </w:rPr>
              <w:t>20万吨化机浆</w:t>
            </w:r>
            <w:r>
              <w:rPr>
                <w:rFonts w:hint="eastAsia" w:ascii="Times New Roman" w:hAnsi="Times New Roman"/>
                <w:sz w:val="21"/>
                <w:szCs w:val="21"/>
                <w:vertAlign w:val="baseline"/>
              </w:rPr>
              <w:t>，满足化学机械木浆年产10万吨的起始规模。</w:t>
            </w:r>
          </w:p>
        </w:tc>
        <w:tc>
          <w:tcPr>
            <w:tcW w:w="10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687"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p>
        </w:tc>
        <w:tc>
          <w:tcPr>
            <w:tcW w:w="38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rPr>
              <w:t>新建项目吨产品在COD排放量、取水量和综合能耗（标煤）等方面要达到先进水平。其中漂白化学木浆为10千克、45立方米和500千克。</w:t>
            </w:r>
          </w:p>
        </w:tc>
        <w:tc>
          <w:tcPr>
            <w:tcW w:w="28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lang w:val="en-US" w:eastAsia="zh-CN"/>
              </w:rPr>
              <w:t>根据工程数据核算，本项目吨产品的COD排放量、取水量及综合能耗分别</w:t>
            </w:r>
            <w:r>
              <w:rPr>
                <w:rFonts w:hint="eastAsia" w:ascii="Times New Roman" w:hAnsi="Times New Roman"/>
                <w:color w:val="000000" w:themeColor="text1"/>
                <w:sz w:val="21"/>
                <w:szCs w:val="21"/>
                <w:highlight w:val="none"/>
                <w:vertAlign w:val="baseline"/>
                <w:lang w:val="en-US" w:eastAsia="zh-CN"/>
                <w14:textFill>
                  <w14:solidFill>
                    <w14:schemeClr w14:val="tx1"/>
                  </w14:solidFill>
                </w14:textFill>
              </w:rPr>
              <w:t>为1.28千克、8.506立方米和10.96千克，</w:t>
            </w:r>
            <w:r>
              <w:rPr>
                <w:rFonts w:hint="eastAsia" w:ascii="Times New Roman" w:hAnsi="Times New Roman"/>
                <w:sz w:val="21"/>
                <w:szCs w:val="21"/>
                <w:vertAlign w:val="baseline"/>
                <w:lang w:val="en-US" w:eastAsia="zh-CN"/>
              </w:rPr>
              <w:t>满足产业政策的要求。</w:t>
            </w:r>
          </w:p>
        </w:tc>
        <w:tc>
          <w:tcPr>
            <w:tcW w:w="10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7450" w:type="dxa"/>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评价结果</w:t>
            </w:r>
          </w:p>
        </w:tc>
        <w:tc>
          <w:tcPr>
            <w:tcW w:w="107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根据上述分析，本项目的建设符合《造纸产业发展政策》的相关要求。</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8.1.2.2</w:t>
      </w:r>
      <w:r>
        <w:rPr>
          <w:rFonts w:hint="eastAsia" w:ascii="Times New Roman" w:hAnsi="Times New Roman"/>
          <w:b/>
          <w:bCs/>
          <w:color w:val="auto"/>
          <w:sz w:val="24"/>
          <w:szCs w:val="24"/>
          <w:highlight w:val="none"/>
          <w:lang w:val="en-US" w:eastAsia="zh-CN"/>
        </w:rPr>
        <w:t>与造纸工业“十三五”发展意见的符合性分析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sz w:val="24"/>
          <w:szCs w:val="24"/>
          <w:lang w:val="en-US" w:eastAsia="zh-CN"/>
        </w:rPr>
      </w:pPr>
      <w:r>
        <w:rPr>
          <w:rFonts w:hint="eastAsia" w:ascii="Times New Roman" w:hAnsi="Times New Roman"/>
          <w:sz w:val="24"/>
          <w:szCs w:val="24"/>
          <w:lang w:val="en-US" w:eastAsia="zh-CN"/>
        </w:rPr>
        <w:t>本</w:t>
      </w:r>
      <w:r>
        <w:rPr>
          <w:rFonts w:hint="eastAsia" w:ascii="Times New Roman" w:hAnsi="Times New Roman"/>
          <w:sz w:val="24"/>
          <w:szCs w:val="24"/>
        </w:rPr>
        <w:t>项目与《中国造纸协会关于造纸工业“十三五”发展的意见》的符合性</w:t>
      </w:r>
      <w:r>
        <w:rPr>
          <w:rFonts w:hint="eastAsia" w:ascii="Times New Roman" w:hAnsi="Times New Roman"/>
          <w:sz w:val="24"/>
          <w:szCs w:val="24"/>
          <w:lang w:val="en-US" w:eastAsia="zh-CN"/>
        </w:rPr>
        <w:t>分析见表8.1-2。</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8.1</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ascii="Times New Roman" w:hAnsi="Times New Roman" w:eastAsia="宋体"/>
          <w:b/>
          <w:bCs/>
          <w:sz w:val="24"/>
          <w:szCs w:val="24"/>
          <w:lang w:val="en-US" w:eastAsia="zh-CN"/>
        </w:rPr>
        <w:t xml:space="preserve">  项目与《造纸工业“十三五”发展的意见》的符合性分析</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7"/>
        <w:gridCol w:w="3850"/>
        <w:gridCol w:w="2950"/>
        <w:gridCol w:w="7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4837"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b/>
                <w:bCs/>
                <w:sz w:val="21"/>
                <w:szCs w:val="21"/>
                <w:vertAlign w:val="baseline"/>
              </w:rPr>
            </w:pPr>
            <w:r>
              <w:rPr>
                <w:rFonts w:hint="eastAsia" w:ascii="Times New Roman" w:hAnsi="Times New Roman"/>
                <w:b/>
                <w:bCs/>
                <w:sz w:val="21"/>
                <w:szCs w:val="21"/>
                <w:vertAlign w:val="baseline"/>
              </w:rPr>
              <w:t>《造纸工业“十三五”发展的意见》要求</w:t>
            </w:r>
          </w:p>
        </w:tc>
        <w:tc>
          <w:tcPr>
            <w:tcW w:w="29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b/>
                <w:bCs/>
                <w:sz w:val="21"/>
                <w:szCs w:val="21"/>
                <w:vertAlign w:val="baseline"/>
                <w:lang w:val="en-US" w:eastAsia="zh-CN"/>
              </w:rPr>
            </w:pPr>
            <w:r>
              <w:rPr>
                <w:rFonts w:hint="eastAsia" w:ascii="Times New Roman" w:hAnsi="Times New Roman"/>
                <w:b/>
                <w:bCs/>
                <w:sz w:val="21"/>
                <w:szCs w:val="21"/>
                <w:vertAlign w:val="baseline"/>
                <w:lang w:val="en-US" w:eastAsia="zh-CN"/>
              </w:rPr>
              <w:t>本项目情况</w:t>
            </w:r>
          </w:p>
        </w:tc>
        <w:tc>
          <w:tcPr>
            <w:tcW w:w="73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b/>
                <w:bCs/>
                <w:sz w:val="21"/>
                <w:szCs w:val="21"/>
                <w:vertAlign w:val="baseline"/>
                <w:lang w:val="en-US" w:eastAsia="zh-CN"/>
              </w:rPr>
            </w:pPr>
            <w:r>
              <w:rPr>
                <w:rFonts w:hint="eastAsia" w:ascii="Times New Roman" w:hAnsi="Times New Roman"/>
                <w:b/>
                <w:bCs/>
                <w:sz w:val="21"/>
                <w:szCs w:val="21"/>
                <w:vertAlign w:val="baseline"/>
                <w:lang w:val="en-US" w:eastAsia="zh-CN"/>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9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产业布局</w:t>
            </w:r>
          </w:p>
        </w:tc>
        <w:tc>
          <w:tcPr>
            <w:tcW w:w="38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rPr>
              <w:t>黄淮海地区：要加大区域内产业结构调整力度，控制总量、优化存量，加强节能节水，严格控制造纸工业的用水总量和主要污染物排放总量。</w:t>
            </w:r>
          </w:p>
        </w:tc>
        <w:tc>
          <w:tcPr>
            <w:tcW w:w="29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lang w:val="en-US" w:eastAsia="zh-CN"/>
              </w:rPr>
              <w:t>本项目为年产20</w:t>
            </w:r>
            <w:r>
              <w:rPr>
                <w:rFonts w:hint="eastAsia" w:ascii="Times New Roman" w:hAnsi="Times New Roman"/>
                <w:sz w:val="21"/>
                <w:szCs w:val="21"/>
                <w:vertAlign w:val="baseline"/>
              </w:rPr>
              <w:t>万</w:t>
            </w:r>
            <w:r>
              <w:rPr>
                <w:rFonts w:hint="eastAsia" w:ascii="Times New Roman" w:hAnsi="Times New Roman"/>
                <w:sz w:val="21"/>
                <w:szCs w:val="21"/>
                <w:vertAlign w:val="baseline"/>
                <w:lang w:val="en-US" w:eastAsia="zh-CN"/>
              </w:rPr>
              <w:t>化机浆项目</w:t>
            </w:r>
            <w:r>
              <w:rPr>
                <w:rFonts w:hint="eastAsia" w:ascii="Times New Roman" w:hAnsi="Times New Roman"/>
                <w:sz w:val="21"/>
                <w:szCs w:val="21"/>
                <w:vertAlign w:val="baseline"/>
              </w:rPr>
              <w:t>，</w:t>
            </w:r>
            <w:r>
              <w:rPr>
                <w:rFonts w:hint="eastAsia" w:ascii="Times New Roman" w:hAnsi="Times New Roman"/>
                <w:sz w:val="21"/>
                <w:szCs w:val="21"/>
                <w:vertAlign w:val="baseline"/>
                <w:lang w:val="en-US" w:eastAsia="zh-CN"/>
              </w:rPr>
              <w:t>本项目配备MVR系统及碱液回收系统，生产废水处理后全部回用，不排放</w:t>
            </w:r>
            <w:r>
              <w:rPr>
                <w:rFonts w:hint="eastAsia" w:ascii="Times New Roman" w:hAnsi="Times New Roman"/>
                <w:sz w:val="21"/>
                <w:szCs w:val="21"/>
                <w:vertAlign w:val="baseline"/>
              </w:rPr>
              <w:t>，</w:t>
            </w:r>
            <w:r>
              <w:rPr>
                <w:rFonts w:hint="eastAsia" w:ascii="Times New Roman" w:hAnsi="Times New Roman"/>
                <w:sz w:val="21"/>
                <w:szCs w:val="21"/>
                <w:vertAlign w:val="baseline"/>
                <w:lang w:val="en-US" w:eastAsia="zh-CN"/>
              </w:rPr>
              <w:t>拟增加RTO设备，</w:t>
            </w:r>
            <w:r>
              <w:rPr>
                <w:rFonts w:hint="eastAsia" w:ascii="Times New Roman" w:hAnsi="Times New Roman"/>
                <w:sz w:val="21"/>
                <w:szCs w:val="21"/>
                <w:vertAlign w:val="baseline"/>
              </w:rPr>
              <w:t>可实现降低全厂</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rPr>
              <w:t>用水总量和主要污染物排放总量。</w:t>
            </w:r>
          </w:p>
        </w:tc>
        <w:tc>
          <w:tcPr>
            <w:tcW w:w="73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trPr>
        <w:tc>
          <w:tcPr>
            <w:tcW w:w="9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原料结构</w:t>
            </w:r>
          </w:p>
        </w:tc>
        <w:tc>
          <w:tcPr>
            <w:tcW w:w="38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rPr>
              <w:t>鼓励境内企业使用进口木片原料，在国内适宜地区建设大型商品纸浆及造纸项目，或改造提升现有木浆生产线规模。</w:t>
            </w:r>
          </w:p>
        </w:tc>
        <w:tc>
          <w:tcPr>
            <w:tcW w:w="29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rPr>
              <w:t>建项目原料</w:t>
            </w:r>
            <w:r>
              <w:rPr>
                <w:rFonts w:hint="eastAsia" w:ascii="Times New Roman" w:hAnsi="Times New Roman"/>
                <w:sz w:val="21"/>
                <w:szCs w:val="21"/>
                <w:vertAlign w:val="baseline"/>
                <w:lang w:val="en-US" w:eastAsia="zh-CN"/>
              </w:rPr>
              <w:t>均</w:t>
            </w:r>
            <w:r>
              <w:rPr>
                <w:rFonts w:hint="eastAsia" w:ascii="Times New Roman" w:hAnsi="Times New Roman"/>
                <w:sz w:val="21"/>
                <w:szCs w:val="21"/>
                <w:vertAlign w:val="baseline"/>
              </w:rPr>
              <w:t>采用进口木片，并与相关企业签订了木片供应协议。</w:t>
            </w:r>
          </w:p>
        </w:tc>
        <w:tc>
          <w:tcPr>
            <w:tcW w:w="73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6" w:hRule="atLeast"/>
        </w:trPr>
        <w:tc>
          <w:tcPr>
            <w:tcW w:w="9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清洁生产</w:t>
            </w:r>
          </w:p>
        </w:tc>
        <w:tc>
          <w:tcPr>
            <w:tcW w:w="3850" w:type="dxa"/>
            <w:vAlign w:val="center"/>
          </w:tcPr>
          <w:p>
            <w:pPr>
              <w:keepNext w:val="0"/>
              <w:keepLines w:val="0"/>
              <w:widowControl/>
              <w:suppressLineNumbers w:val="0"/>
              <w:jc w:val="center"/>
              <w:rPr>
                <w:rFonts w:hint="eastAsia" w:ascii="Times New Roman" w:hAnsi="Times New Roman"/>
                <w:sz w:val="21"/>
                <w:szCs w:val="21"/>
                <w:vertAlign w:val="baseline"/>
              </w:rPr>
            </w:pPr>
            <w:r>
              <w:rPr>
                <w:rFonts w:hint="eastAsia" w:ascii="宋体" w:hAnsi="宋体" w:eastAsia="宋体" w:cs="宋体"/>
                <w:color w:val="000000"/>
                <w:kern w:val="0"/>
                <w:sz w:val="21"/>
                <w:szCs w:val="21"/>
                <w:lang w:val="en-US" w:eastAsia="zh-CN" w:bidi="ar"/>
              </w:rPr>
              <w:t>提高资源综合利用水平。充分利用好黑液、废渣、污泥、生物质气体等典型生物质能源，提高热电联产水平，对生产环节产生的余压、余热等能源，以及废气（沼气及其他废气）、废液（纸浆黑液及其他废水）及其他废弃物进行回收利用，最大限度实现资源化。</w:t>
            </w:r>
          </w:p>
        </w:tc>
        <w:tc>
          <w:tcPr>
            <w:tcW w:w="29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rPr>
              <w:t>碱回收炉焚烧黑液产生大量的高温高压蒸汽可以驱动汽轮机发电机供热，</w:t>
            </w:r>
            <w:r>
              <w:rPr>
                <w:rFonts w:hint="eastAsia" w:ascii="Times New Roman" w:hAnsi="Times New Roman"/>
                <w:sz w:val="21"/>
                <w:szCs w:val="21"/>
                <w:vertAlign w:val="baseline"/>
                <w:lang w:val="en-US" w:eastAsia="zh-CN"/>
              </w:rPr>
              <w:t>本</w:t>
            </w:r>
            <w:r>
              <w:rPr>
                <w:rFonts w:hint="eastAsia" w:ascii="Times New Roman" w:hAnsi="Times New Roman"/>
                <w:sz w:val="21"/>
                <w:szCs w:val="21"/>
                <w:vertAlign w:val="baseline"/>
              </w:rPr>
              <w:t>项目采用热电联产方案向生产系统提供蒸汽和电力。木屑经气化炉气化后进入石灰窑做燃料，回收热能，减少化石燃料用量。</w:t>
            </w:r>
          </w:p>
        </w:tc>
        <w:tc>
          <w:tcPr>
            <w:tcW w:w="73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98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准入规模</w:t>
            </w:r>
          </w:p>
        </w:tc>
        <w:tc>
          <w:tcPr>
            <w:tcW w:w="38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lang w:val="en-US" w:eastAsia="zh-CN"/>
              </w:rPr>
              <w:t>化学机械浆</w:t>
            </w:r>
            <w:r>
              <w:rPr>
                <w:rFonts w:hint="eastAsia" w:ascii="Times New Roman" w:hAnsi="Times New Roman"/>
                <w:sz w:val="21"/>
                <w:szCs w:val="21"/>
                <w:vertAlign w:val="baseline"/>
              </w:rPr>
              <w:t>单条生产线</w:t>
            </w:r>
            <w:r>
              <w:rPr>
                <w:rFonts w:hint="eastAsia" w:ascii="Times New Roman" w:hAnsi="Times New Roman"/>
                <w:sz w:val="21"/>
                <w:szCs w:val="21"/>
                <w:vertAlign w:val="baseline"/>
                <w:lang w:val="en-US" w:eastAsia="zh-CN"/>
              </w:rPr>
              <w:t>20</w:t>
            </w:r>
            <w:r>
              <w:rPr>
                <w:rFonts w:hint="eastAsia" w:ascii="Times New Roman" w:hAnsi="Times New Roman"/>
                <w:sz w:val="21"/>
                <w:szCs w:val="21"/>
                <w:vertAlign w:val="baseline"/>
              </w:rPr>
              <w:t>万吨/年及以上。</w:t>
            </w:r>
          </w:p>
        </w:tc>
        <w:tc>
          <w:tcPr>
            <w:tcW w:w="29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lang w:val="en-US" w:eastAsia="zh-CN"/>
              </w:rPr>
              <w:t>本</w:t>
            </w:r>
            <w:r>
              <w:rPr>
                <w:rFonts w:hint="eastAsia" w:ascii="Times New Roman" w:hAnsi="Times New Roman"/>
                <w:sz w:val="21"/>
                <w:szCs w:val="21"/>
                <w:vertAlign w:val="baseline"/>
              </w:rPr>
              <w:t>项目为年产</w:t>
            </w:r>
            <w:r>
              <w:rPr>
                <w:rFonts w:hint="eastAsia" w:ascii="Times New Roman" w:hAnsi="Times New Roman"/>
                <w:sz w:val="21"/>
                <w:szCs w:val="21"/>
                <w:vertAlign w:val="baseline"/>
                <w:lang w:val="en-US" w:eastAsia="zh-CN"/>
              </w:rPr>
              <w:t>20万吨化机浆</w:t>
            </w:r>
            <w:r>
              <w:rPr>
                <w:rFonts w:hint="eastAsia" w:ascii="Times New Roman" w:hAnsi="Times New Roman"/>
                <w:sz w:val="21"/>
                <w:szCs w:val="21"/>
                <w:vertAlign w:val="baseline"/>
              </w:rPr>
              <w:t>，满足化学机械木浆年产10万吨的起始规模。</w:t>
            </w:r>
          </w:p>
        </w:tc>
        <w:tc>
          <w:tcPr>
            <w:tcW w:w="73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7787" w:type="dxa"/>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评价结果</w:t>
            </w:r>
          </w:p>
        </w:tc>
        <w:tc>
          <w:tcPr>
            <w:tcW w:w="73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eastAsia="宋体"/>
                <w:sz w:val="21"/>
                <w:szCs w:val="21"/>
                <w:vertAlign w:val="baseline"/>
                <w:lang w:val="en-US" w:eastAsia="zh-CN"/>
              </w:rPr>
            </w:pPr>
            <w:r>
              <w:rPr>
                <w:rFonts w:hint="eastAsia" w:ascii="Times New Roman" w:hAnsi="Times New Roman"/>
                <w:sz w:val="21"/>
                <w:szCs w:val="21"/>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根据上述分析，本项目的建设符合《中国造纸协会关于造纸工业“十三五”发展的意见》的相关要求。</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cs="Times New Roman"/>
          <w:b/>
          <w:bCs/>
          <w:color w:val="auto"/>
          <w:sz w:val="24"/>
          <w:szCs w:val="24"/>
          <w:highlight w:val="none"/>
          <w:lang w:val="en-US" w:eastAsia="zh-CN"/>
        </w:rPr>
        <w:t>8.1.2.3</w:t>
      </w:r>
      <w:r>
        <w:rPr>
          <w:rFonts w:hint="eastAsia" w:ascii="Times New Roman" w:hAnsi="Times New Roman"/>
          <w:b/>
          <w:bCs/>
          <w:color w:val="auto"/>
          <w:sz w:val="24"/>
          <w:szCs w:val="24"/>
          <w:highlight w:val="none"/>
          <w:lang w:val="en-US" w:eastAsia="zh-CN"/>
        </w:rPr>
        <w:t>与环办[2015]112号文的符合性分析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本项目与环办[2015]112号文的相符性分析如表</w:t>
      </w:r>
      <w:r>
        <w:rPr>
          <w:rFonts w:hint="eastAsia" w:ascii="Times New Roman" w:hAnsi="Times New Roman"/>
          <w:sz w:val="24"/>
          <w:szCs w:val="24"/>
          <w:lang w:val="en-US" w:eastAsia="zh-CN"/>
        </w:rPr>
        <w:t>8.1-3</w:t>
      </w:r>
      <w:r>
        <w:rPr>
          <w:rFonts w:hint="eastAsia" w:ascii="Times New Roman" w:hAnsi="Times New Roman"/>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8.1</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eastAsia" w:ascii="Times New Roman" w:hAnsi="Times New Roman" w:eastAsia="宋体"/>
          <w:b/>
          <w:bCs/>
          <w:sz w:val="24"/>
          <w:szCs w:val="24"/>
          <w:lang w:val="en-US" w:eastAsia="zh-CN"/>
        </w:rPr>
        <w:t xml:space="preserve">  项目与环办[2015]112号文的符合性分析</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0"/>
        <w:gridCol w:w="4000"/>
        <w:gridCol w:w="3175"/>
        <w:gridCol w:w="6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b/>
                <w:bCs/>
                <w:vertAlign w:val="baseline"/>
                <w:lang w:val="en-US" w:eastAsia="zh-CN"/>
              </w:rPr>
            </w:pPr>
            <w:r>
              <w:rPr>
                <w:rFonts w:hint="eastAsia" w:ascii="Times New Roman" w:hAnsi="Times New Roman" w:eastAsia="宋体"/>
                <w:b/>
                <w:bCs/>
                <w:vertAlign w:val="baseline"/>
                <w:lang w:val="en-US" w:eastAsia="zh-CN"/>
              </w:rPr>
              <w:t>序号</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b/>
                <w:bCs/>
                <w:vertAlign w:val="baseline"/>
                <w:lang w:val="en-US" w:eastAsia="zh-CN"/>
              </w:rPr>
            </w:pPr>
            <w:r>
              <w:rPr>
                <w:rFonts w:hint="default" w:ascii="Times New Roman" w:hAnsi="Times New Roman" w:eastAsia="宋体"/>
                <w:b/>
                <w:bCs/>
                <w:vertAlign w:val="baseline"/>
                <w:lang w:val="en-US" w:eastAsia="zh-CN"/>
              </w:rPr>
              <w:t>环办[2015]112号文</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b/>
                <w:bCs/>
                <w:lang w:val="en-US" w:eastAsia="zh-CN"/>
              </w:rPr>
            </w:pPr>
            <w:r>
              <w:rPr>
                <w:rFonts w:hint="eastAsia"/>
                <w:b/>
                <w:bCs/>
                <w:lang w:val="en-US" w:eastAsia="zh-CN"/>
              </w:rPr>
              <w:t>本项目情况</w:t>
            </w:r>
          </w:p>
        </w:tc>
        <w:tc>
          <w:tcPr>
            <w:tcW w:w="697"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b/>
                <w:bCs/>
                <w:vertAlign w:val="baseline"/>
                <w:lang w:val="en-US" w:eastAsia="zh-CN"/>
              </w:rPr>
            </w:pPr>
            <w:r>
              <w:rPr>
                <w:rFonts w:hint="eastAsia" w:ascii="Times New Roman" w:hAnsi="Times New Roman" w:eastAsia="宋体"/>
                <w:b/>
                <w:bCs/>
                <w:vertAlign w:val="baseline"/>
                <w:lang w:val="en-US" w:eastAsia="zh-CN"/>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1"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本原则适用于以植物（木材、其他</w:t>
            </w:r>
          </w:p>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植物）或废纸等为原料生产纸浆和以纸浆为原料生产纸张、纸板等产品的制浆造纸建设项目及其配套的原料林基地工程环境影响评价文件的审批。</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本项目以桉木片为原料生产制浆，适用于该文件。</w:t>
            </w:r>
          </w:p>
        </w:tc>
        <w:tc>
          <w:tcPr>
            <w:tcW w:w="697"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2</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项目符合国家环境保护相关法律法规和政策要求，符合造纸行业相关产业结构调整、落后产能淘汰要求。</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根据前文分析，项目符合国家法律法规政策要求，符合造纸政策。</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4"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3</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项目选址符合主体功能区规划、环境保护规划、造纸发展规划、城市总体规划、土地利用规划、环境功能区划及其他相关规划要求，涉海项目符合近岸海域环境功能区划及海洋功能区划要求。</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项目位于</w:t>
            </w:r>
            <w:r>
              <w:rPr>
                <w:rFonts w:hint="eastAsia" w:ascii="Times New Roman" w:hAnsi="Times New Roman" w:eastAsia="宋体"/>
                <w:vertAlign w:val="baseline"/>
                <w:lang w:val="en-US" w:eastAsia="zh-CN"/>
              </w:rPr>
              <w:t>山东省淄博市桓台县马桥化工产业园</w:t>
            </w:r>
            <w:r>
              <w:rPr>
                <w:rFonts w:hint="default" w:ascii="Times New Roman" w:hAnsi="Times New Roman" w:eastAsia="宋体"/>
                <w:vertAlign w:val="baseline"/>
                <w:lang w:val="en-US" w:eastAsia="zh-CN"/>
              </w:rPr>
              <w:t>，符合体功能区规划、环境保护规划、造纸发展规划、城市总体规划、土地利用规划、环境功能区划及其他相关规划要求，不属于涉海项目。</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4</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并符合园区规划及规划环境影响评价要求；原则上避开居民集中区、医院、学校等环境敏感区。不予批准位于自然保护区、风景名胜区、饮用水水源保护区、永久基本农田等环境敏感区的项目和严重缺水地区、城市建成区内的新建、扩建项目。</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项目位于</w:t>
            </w:r>
            <w:r>
              <w:rPr>
                <w:rFonts w:hint="eastAsia" w:ascii="Times New Roman" w:hAnsi="Times New Roman" w:eastAsia="宋体"/>
                <w:vertAlign w:val="baseline"/>
                <w:lang w:val="en-US" w:eastAsia="zh-CN"/>
              </w:rPr>
              <w:t>山东省淄博市桓台县马桥化工产业园</w:t>
            </w:r>
            <w:r>
              <w:rPr>
                <w:rFonts w:hint="default" w:ascii="Times New Roman" w:hAnsi="Times New Roman" w:eastAsia="宋体"/>
                <w:vertAlign w:val="baseline"/>
                <w:lang w:val="en-US" w:eastAsia="zh-CN"/>
              </w:rPr>
              <w:t>，避开了居民集中区、医院、学校等环境敏感区，符合</w:t>
            </w:r>
            <w:r>
              <w:rPr>
                <w:rFonts w:hint="eastAsia" w:ascii="Times New Roman" w:hAnsi="Times New Roman" w:eastAsia="宋体"/>
                <w:vertAlign w:val="baseline"/>
                <w:lang w:val="en-US" w:eastAsia="zh-CN"/>
              </w:rPr>
              <w:t>马桥化工产业园</w:t>
            </w:r>
            <w:r>
              <w:rPr>
                <w:rFonts w:hint="default" w:ascii="Times New Roman" w:hAnsi="Times New Roman" w:eastAsia="宋体"/>
                <w:vertAlign w:val="baseline"/>
                <w:lang w:val="en-US" w:eastAsia="zh-CN"/>
              </w:rPr>
              <w:t>环境影响报告及审查意见的要求。</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5"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5</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采用先进适用的技术、工艺和装备，清洁生产水平达到国内同行业清洁生产先进水平。</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本</w:t>
            </w:r>
            <w:r>
              <w:rPr>
                <w:rFonts w:hint="default" w:ascii="Times New Roman" w:hAnsi="Times New Roman" w:eastAsia="宋体"/>
                <w:vertAlign w:val="baseline"/>
                <w:lang w:val="en-US" w:eastAsia="zh-CN"/>
              </w:rPr>
              <w:t>项目的各项指标均达到国际清洁生产领先水平。</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4"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6</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污染物排放总量满足国家和地方相关要求，有明确的总量来源及具体的平衡方案。</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本项目主要污染物排放总量满足当地总量控制要求，已取得总量确认书。</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9"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7</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强化节水措施，减少新鲜水用量。取用地表水不得挤占生态用水、生活用水、农业用水等。</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本项目</w:t>
            </w:r>
            <w:r>
              <w:rPr>
                <w:rFonts w:hint="default" w:ascii="Times New Roman" w:hAnsi="Times New Roman" w:eastAsia="宋体"/>
                <w:highlight w:val="none"/>
                <w:vertAlign w:val="baseline"/>
                <w:lang w:val="en-US" w:eastAsia="zh-CN"/>
              </w:rPr>
              <w:t>总耗水</w:t>
            </w:r>
            <w:r>
              <w:rPr>
                <w:rFonts w:hint="eastAsia" w:ascii="Times New Roman" w:hAnsi="Times New Roman"/>
                <w:highlight w:val="none"/>
                <w:vertAlign w:val="baseline"/>
                <w:lang w:val="en-US" w:eastAsia="zh-CN"/>
              </w:rPr>
              <w:t>17957.86</w:t>
            </w:r>
            <w:r>
              <w:rPr>
                <w:rFonts w:hint="default" w:ascii="Times New Roman" w:hAnsi="Times New Roman" w:eastAsia="宋体"/>
                <w:highlight w:val="none"/>
                <w:vertAlign w:val="baseline"/>
                <w:lang w:val="en-US" w:eastAsia="zh-CN"/>
              </w:rPr>
              <w:t>m</w:t>
            </w:r>
            <w:r>
              <w:rPr>
                <w:rFonts w:hint="default" w:ascii="Times New Roman" w:hAnsi="Times New Roman" w:eastAsia="宋体"/>
                <w:highlight w:val="none"/>
                <w:vertAlign w:val="superscript"/>
                <w:lang w:val="en-US" w:eastAsia="zh-CN"/>
              </w:rPr>
              <w:t>3</w:t>
            </w:r>
            <w:r>
              <w:rPr>
                <w:rFonts w:hint="default" w:ascii="Times New Roman" w:hAnsi="Times New Roman" w:eastAsia="宋体"/>
                <w:highlight w:val="none"/>
                <w:vertAlign w:val="baseline"/>
                <w:lang w:val="en-US" w:eastAsia="zh-CN"/>
              </w:rPr>
              <w:t>/d，其中新鲜水量</w:t>
            </w:r>
            <w:r>
              <w:rPr>
                <w:rFonts w:hint="eastAsia" w:ascii="Times New Roman" w:hAnsi="Times New Roman"/>
                <w:highlight w:val="none"/>
                <w:vertAlign w:val="baseline"/>
                <w:lang w:val="en-US" w:eastAsia="zh-CN"/>
              </w:rPr>
              <w:t>642.36</w:t>
            </w:r>
            <w:r>
              <w:rPr>
                <w:rFonts w:hint="default" w:ascii="Times New Roman" w:hAnsi="Times New Roman" w:eastAsia="宋体"/>
                <w:highlight w:val="none"/>
                <w:vertAlign w:val="baseline"/>
                <w:lang w:val="en-US" w:eastAsia="zh-CN"/>
              </w:rPr>
              <w:t>m</w:t>
            </w:r>
            <w:r>
              <w:rPr>
                <w:rFonts w:hint="default" w:ascii="Times New Roman" w:hAnsi="Times New Roman" w:eastAsia="宋体"/>
                <w:highlight w:val="none"/>
                <w:vertAlign w:val="superscript"/>
                <w:lang w:val="en-US" w:eastAsia="zh-CN"/>
              </w:rPr>
              <w:t>3</w:t>
            </w:r>
            <w:r>
              <w:rPr>
                <w:rFonts w:hint="default" w:ascii="Times New Roman" w:hAnsi="Times New Roman" w:eastAsia="宋体"/>
                <w:highlight w:val="none"/>
                <w:vertAlign w:val="baseline"/>
                <w:lang w:val="en-US" w:eastAsia="zh-CN"/>
              </w:rPr>
              <w:t>/d 、中水用量</w:t>
            </w:r>
            <w:r>
              <w:rPr>
                <w:rFonts w:hint="eastAsia" w:ascii="Times New Roman" w:hAnsi="Times New Roman"/>
                <w:highlight w:val="none"/>
                <w:vertAlign w:val="baseline"/>
                <w:lang w:val="en-US" w:eastAsia="zh-CN"/>
              </w:rPr>
              <w:t>5293.9</w:t>
            </w:r>
            <w:r>
              <w:rPr>
                <w:rFonts w:hint="default" w:ascii="Times New Roman" w:hAnsi="Times New Roman" w:eastAsia="宋体"/>
                <w:highlight w:val="none"/>
                <w:vertAlign w:val="baseline"/>
                <w:lang w:val="en-US" w:eastAsia="zh-CN"/>
              </w:rPr>
              <w:t>m</w:t>
            </w:r>
            <w:r>
              <w:rPr>
                <w:rFonts w:hint="default" w:ascii="Times New Roman" w:hAnsi="Times New Roman" w:eastAsia="宋体"/>
                <w:highlight w:val="none"/>
                <w:vertAlign w:val="superscript"/>
                <w:lang w:val="en-US" w:eastAsia="zh-CN"/>
              </w:rPr>
              <w:t>3</w:t>
            </w:r>
            <w:r>
              <w:rPr>
                <w:rFonts w:hint="default" w:ascii="Times New Roman" w:hAnsi="Times New Roman" w:eastAsia="宋体"/>
                <w:highlight w:val="none"/>
                <w:vertAlign w:val="baseline"/>
                <w:lang w:val="en-US" w:eastAsia="zh-CN"/>
              </w:rPr>
              <w:t>/d，取</w:t>
            </w:r>
            <w:r>
              <w:rPr>
                <w:rFonts w:hint="default" w:ascii="Times New Roman" w:hAnsi="Times New Roman" w:eastAsia="宋体"/>
                <w:vertAlign w:val="baseline"/>
                <w:lang w:val="en-US" w:eastAsia="zh-CN"/>
              </w:rPr>
              <w:t>用地表水未挤占生态用水、生活用水、农业用水等。</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1"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8</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废水分类收集、分质处理、优先回用采取分区防渗等措施，有效防范对地下水环境的不利影响。</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本</w:t>
            </w:r>
            <w:r>
              <w:rPr>
                <w:rFonts w:hint="default" w:ascii="Times New Roman" w:hAnsi="Times New Roman" w:eastAsia="宋体"/>
                <w:vertAlign w:val="baseline"/>
                <w:lang w:val="en-US" w:eastAsia="zh-CN"/>
              </w:rPr>
              <w:t>项目废水排入</w:t>
            </w:r>
            <w:r>
              <w:rPr>
                <w:rFonts w:hint="eastAsia" w:ascii="Times New Roman" w:hAnsi="Times New Roman"/>
              </w:rPr>
              <w:t>博汇纸业博汇纸业绿色环保能源综合利用之废水处理项目</w:t>
            </w:r>
            <w:r>
              <w:rPr>
                <w:rFonts w:hint="default" w:ascii="Times New Roman" w:hAnsi="Times New Roman" w:eastAsia="宋体"/>
                <w:vertAlign w:val="baseline"/>
                <w:lang w:val="en-US" w:eastAsia="zh-CN"/>
              </w:rPr>
              <w:t>，并按照“清污分流、雨污分流、分类收集、分质处理”原则对全厂废水进行处理，厂区采取了分区防渗措施。</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9</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按照“减量化、资源化、无害化”的原则，对固体废物进行处理处置。固体废物贮存和处置满足相关污染控制技术规范和标准要求。</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本</w:t>
            </w:r>
            <w:r>
              <w:rPr>
                <w:rFonts w:hint="default" w:ascii="Times New Roman" w:hAnsi="Times New Roman" w:eastAsia="宋体"/>
                <w:vertAlign w:val="baseline"/>
                <w:lang w:val="en-US" w:eastAsia="zh-CN"/>
              </w:rPr>
              <w:t>项目按照固废性质进行分类处理，一般固废进行外售或者环卫部门处理，危险废物则委托有资质的单位进行运输处置。</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6"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10</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优化平面布置，优先选用低噪声设备，对高噪声设备采取降噪措施，厂界噪声满足《工业企业厂界环境噪声排放标准》（GB12348）要求。</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本</w:t>
            </w:r>
            <w:r>
              <w:rPr>
                <w:rFonts w:hint="default" w:ascii="Times New Roman" w:hAnsi="Times New Roman" w:eastAsia="宋体"/>
                <w:vertAlign w:val="baseline"/>
                <w:lang w:val="en-US" w:eastAsia="zh-CN"/>
              </w:rPr>
              <w:t>项目在设备采购时，选用了低噪声设备，针对高噪声源采取了基础减振，厂房隔声等措施，</w:t>
            </w:r>
            <w:r>
              <w:rPr>
                <w:rFonts w:hint="eastAsia" w:ascii="Times New Roman" w:hAnsi="Times New Roman"/>
                <w:vertAlign w:val="baseline"/>
                <w:lang w:val="en-US" w:eastAsia="zh-CN"/>
              </w:rPr>
              <w:t>本项目重新投产后</w:t>
            </w:r>
            <w:r>
              <w:rPr>
                <w:rFonts w:hint="default" w:ascii="Times New Roman" w:hAnsi="Times New Roman" w:eastAsia="宋体"/>
                <w:vertAlign w:val="baseline"/>
                <w:lang w:val="en-US" w:eastAsia="zh-CN"/>
              </w:rPr>
              <w:t>，厂界噪声达标。</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3"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11</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厂区内重大危险源布局合理，提出有效的环境风险防范和应急措施。事故废水有效收集和妥善处理，不直接进入外环境。针对项目可能产生的环境风险制定有效的风险防范和应急措施，建立项目及区域环境风险防范与应急管理体系，提出运行期环境风险应急预案编制要求。</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本次环评设置了专门的风险评价专章，并编制了风险应急预案，提出了本应急预案要与区域应急预案联动。</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12</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改、扩建项目全面梳理现有工程存在的环保问题，提出整改措施。</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本次环评对现有工程进行了梳理，并提出了整改方案。</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2"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13</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环境质量现状不能满足环境功能区要求的区域，进一步强化项目污染防治措施，并提出有效的区域削减措施，改善区域环境质量。</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本项目采取了合理可行的污染防治措施，项目实施后全厂污染物排放总量有所降低，有利于改善区域环境质量。</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14</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明确项目实施后的环境管理要求和环境监测计划。制定完善的环境质量、常规和特征污染物排放、生态等的监测计划。按照国家规定，提出污染物排放自动监控要求并与环保部门联网。</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本报告明确了项目实施后的环境管理要求和环境监测计划。并按照国家规定提出了污染物排放自动监控要求并与环保部门联网。</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65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15</w:t>
            </w:r>
          </w:p>
        </w:tc>
        <w:tc>
          <w:tcPr>
            <w:tcW w:w="4000"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按相关规定开展信息公开和公众参与。</w:t>
            </w:r>
          </w:p>
        </w:tc>
        <w:tc>
          <w:tcPr>
            <w:tcW w:w="3175"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default" w:ascii="Times New Roman" w:hAnsi="Times New Roman" w:eastAsia="宋体"/>
                <w:vertAlign w:val="baseline"/>
                <w:lang w:val="en-US" w:eastAsia="zh-CN"/>
              </w:rPr>
              <w:t>建设单位按照相关规定，进行了公众参与工作。</w:t>
            </w:r>
          </w:p>
        </w:tc>
        <w:tc>
          <w:tcPr>
            <w:tcW w:w="6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7825" w:type="dxa"/>
            <w:gridSpan w:val="3"/>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评价结果</w:t>
            </w:r>
          </w:p>
        </w:tc>
        <w:tc>
          <w:tcPr>
            <w:tcW w:w="697" w:type="dxa"/>
            <w:vAlign w:val="center"/>
          </w:tcPr>
          <w:p>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vertAlign w:val="baseline"/>
                <w:lang w:val="en-US" w:eastAsia="zh-CN"/>
              </w:rPr>
            </w:pPr>
            <w:r>
              <w:rPr>
                <w:rFonts w:hint="eastAsia" w:ascii="Times New Roman" w:hAnsi="Times New Roman" w:eastAsia="宋体"/>
                <w:vertAlign w:val="baseline"/>
                <w:lang w:val="en-US" w:eastAsia="zh-CN"/>
              </w:rPr>
              <w:t>符合</w:t>
            </w:r>
          </w:p>
        </w:tc>
      </w:tr>
    </w:tbl>
    <w:p>
      <w:pPr>
        <w:pStyle w:val="2"/>
        <w:keepNext w:val="0"/>
        <w:keepLines w:val="0"/>
        <w:pageBreakBefore w:val="0"/>
        <w:widowControl w:val="0"/>
        <w:kinsoku/>
        <w:wordWrap/>
        <w:overflowPunct/>
        <w:topLinePunct w:val="0"/>
        <w:autoSpaceDE/>
        <w:autoSpaceDN/>
        <w:bidi w:val="0"/>
        <w:adjustRightInd/>
        <w:snapToGrid w:val="0"/>
        <w:spacing w:before="157" w:beforeLines="50" w:line="360" w:lineRule="auto"/>
        <w:ind w:left="0" w:leftChars="0"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根据上述分析，本项目的建设符合《关于规范火电等七个行业建设项目环境影响评价文件审批的通知》的相关要求。</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cs="Times New Roman"/>
          <w:b/>
          <w:bCs/>
          <w:color w:val="auto"/>
          <w:sz w:val="24"/>
          <w:szCs w:val="24"/>
          <w:highlight w:val="none"/>
          <w:lang w:val="en-US" w:eastAsia="zh-CN"/>
        </w:rPr>
        <w:t>8.1.2.4</w:t>
      </w:r>
      <w:r>
        <w:rPr>
          <w:rFonts w:hint="eastAsia" w:ascii="Times New Roman" w:hAnsi="Times New Roman"/>
          <w:b/>
          <w:bCs/>
          <w:color w:val="auto"/>
          <w:sz w:val="24"/>
          <w:szCs w:val="24"/>
          <w:highlight w:val="none"/>
          <w:lang w:val="en-US" w:eastAsia="zh-CN"/>
        </w:rPr>
        <w:t>与鲁政发[2015]31号文的符合性分析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本项目与鲁政发[2015]31号文的相符性分析如表</w:t>
      </w:r>
      <w:r>
        <w:rPr>
          <w:rFonts w:hint="eastAsia" w:ascii="Times New Roman" w:hAnsi="Times New Roman"/>
          <w:sz w:val="24"/>
          <w:szCs w:val="24"/>
          <w:lang w:val="en-US" w:eastAsia="zh-CN"/>
        </w:rPr>
        <w:t>8.1-4</w:t>
      </w:r>
      <w:r>
        <w:rPr>
          <w:rFonts w:hint="eastAsia" w:ascii="Times New Roman" w:hAnsi="Times New Roman"/>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8.1</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eastAsia" w:ascii="Times New Roman" w:hAnsi="Times New Roman" w:eastAsia="宋体"/>
          <w:b/>
          <w:bCs/>
          <w:sz w:val="24"/>
          <w:szCs w:val="24"/>
          <w:lang w:val="en-US" w:eastAsia="zh-CN"/>
        </w:rPr>
        <w:t xml:space="preserve">  项目与鲁政发[2015]31号文的符合性分析</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4625"/>
        <w:gridCol w:w="2379"/>
        <w:gridCol w:w="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66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bCs/>
                <w:sz w:val="21"/>
                <w:szCs w:val="21"/>
                <w:vertAlign w:val="baseline"/>
                <w:lang w:val="en-US" w:eastAsia="zh-CN"/>
              </w:rPr>
            </w:pPr>
            <w:r>
              <w:rPr>
                <w:rFonts w:hint="eastAsia" w:ascii="Times New Roman" w:hAnsi="Times New Roman"/>
                <w:b/>
                <w:bCs/>
                <w:sz w:val="21"/>
                <w:szCs w:val="21"/>
                <w:vertAlign w:val="baseline"/>
                <w:lang w:val="en-US" w:eastAsia="zh-CN"/>
              </w:rPr>
              <w:t>序号</w:t>
            </w:r>
          </w:p>
        </w:tc>
        <w:tc>
          <w:tcPr>
            <w:tcW w:w="46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bCs/>
                <w:sz w:val="21"/>
                <w:szCs w:val="21"/>
                <w:vertAlign w:val="baseline"/>
                <w:lang w:val="en-US" w:eastAsia="zh-CN"/>
              </w:rPr>
            </w:pPr>
            <w:r>
              <w:rPr>
                <w:rFonts w:hint="default" w:ascii="Times New Roman" w:hAnsi="Times New Roman"/>
                <w:b/>
                <w:bCs/>
                <w:sz w:val="21"/>
                <w:szCs w:val="21"/>
                <w:vertAlign w:val="baseline"/>
                <w:lang w:val="en-US" w:eastAsia="zh-CN"/>
              </w:rPr>
              <w:t>鲁政发[2015]31号文</w:t>
            </w:r>
          </w:p>
        </w:tc>
        <w:tc>
          <w:tcPr>
            <w:tcW w:w="237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bCs/>
                <w:sz w:val="21"/>
                <w:szCs w:val="21"/>
                <w:vertAlign w:val="baseline"/>
                <w:lang w:val="en-US" w:eastAsia="zh-CN"/>
              </w:rPr>
            </w:pPr>
            <w:r>
              <w:rPr>
                <w:rFonts w:hint="eastAsia" w:ascii="Times New Roman" w:hAnsi="Times New Roman"/>
                <w:b/>
                <w:bCs/>
                <w:sz w:val="21"/>
                <w:szCs w:val="21"/>
                <w:vertAlign w:val="baseline"/>
                <w:lang w:val="en-US" w:eastAsia="zh-CN"/>
              </w:rPr>
              <w:t>本项目情况</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bCs/>
                <w:sz w:val="21"/>
                <w:szCs w:val="21"/>
                <w:vertAlign w:val="baseline"/>
                <w:lang w:val="en-US" w:eastAsia="zh-CN"/>
              </w:rPr>
            </w:pPr>
            <w:r>
              <w:rPr>
                <w:rFonts w:hint="eastAsia" w:ascii="Times New Roman" w:hAnsi="Times New Roman"/>
                <w:b/>
                <w:bCs/>
                <w:sz w:val="21"/>
                <w:szCs w:val="21"/>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6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c>
          <w:tcPr>
            <w:tcW w:w="7856" w:type="dxa"/>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加强工业污染防治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4" w:hRule="atLeast"/>
        </w:trPr>
        <w:tc>
          <w:tcPr>
            <w:tcW w:w="66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1.1</w:t>
            </w:r>
          </w:p>
        </w:tc>
        <w:tc>
          <w:tcPr>
            <w:tcW w:w="46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各市根据水质目标和主体功能区要求，制定实施差别化区域环境准入政策，从严审批高耗水、高污染物排放、产生有毒有害污染物的建设项目，对造纸、焦化、氮肥、有色金属、印染、农副食品加工、原料药制造、制革、农药、电镀等十大重点行业，实行新(改、扩)建项目主要污染物排放等量或减量置换，在南水北调重点保护区、集中式饮用水水源涵养区等敏感区域实行产能规模和主要污染物排放减量置换</w:t>
            </w:r>
            <w:r>
              <w:rPr>
                <w:rFonts w:hint="eastAsia" w:ascii="Times New Roman" w:hAnsi="Times New Roman"/>
                <w:sz w:val="21"/>
                <w:szCs w:val="21"/>
                <w:vertAlign w:val="baseline"/>
                <w:lang w:val="en-US" w:eastAsia="zh-CN"/>
              </w:rPr>
              <w:t>。</w:t>
            </w:r>
          </w:p>
        </w:tc>
        <w:tc>
          <w:tcPr>
            <w:tcW w:w="237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项目通过</w:t>
            </w:r>
            <w:r>
              <w:rPr>
                <w:rFonts w:hint="eastAsia" w:ascii="Times New Roman" w:hAnsi="Times New Roman"/>
                <w:sz w:val="21"/>
                <w:szCs w:val="21"/>
                <w:vertAlign w:val="baseline"/>
                <w:lang w:val="en-US" w:eastAsia="zh-CN"/>
              </w:rPr>
              <w:t>博汇纸业</w:t>
            </w:r>
            <w:r>
              <w:rPr>
                <w:rFonts w:hint="default" w:ascii="Times New Roman" w:hAnsi="Times New Roman"/>
                <w:sz w:val="21"/>
                <w:szCs w:val="21"/>
                <w:vertAlign w:val="baseline"/>
                <w:lang w:val="en-US" w:eastAsia="zh-CN"/>
              </w:rPr>
              <w:t>实现了三不增加，可以实现污染物等量或减量置换。</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2" w:hRule="atLeast"/>
        </w:trPr>
        <w:tc>
          <w:tcPr>
            <w:tcW w:w="66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1.2</w:t>
            </w:r>
          </w:p>
        </w:tc>
        <w:tc>
          <w:tcPr>
            <w:tcW w:w="46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各市制定分年度落后产能淘汰方案，对未完成淘汰任务的地区，实施相关行业新建项目“限批”。2016年年底前全部取缔不符合产业政策的小型造纸、制革、印染、染料、炼焦、炼硫、炼砷、炼油、电镀、农药、淀粉、鱼粉、石材加工等严重污染水环境的生产项目</w:t>
            </w:r>
            <w:r>
              <w:rPr>
                <w:rFonts w:hint="eastAsia" w:ascii="Times New Roman" w:hAnsi="Times New Roman"/>
                <w:sz w:val="21"/>
                <w:szCs w:val="21"/>
                <w:vertAlign w:val="baseline"/>
                <w:lang w:val="en-US" w:eastAsia="zh-CN"/>
              </w:rPr>
              <w:t>。</w:t>
            </w:r>
          </w:p>
        </w:tc>
        <w:tc>
          <w:tcPr>
            <w:tcW w:w="237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项目产品和工艺均符合产业政策要求</w:t>
            </w:r>
            <w:r>
              <w:rPr>
                <w:rFonts w:hint="eastAsia" w:ascii="Times New Roman" w:hAnsi="Times New Roman"/>
                <w:sz w:val="21"/>
                <w:szCs w:val="21"/>
                <w:vertAlign w:val="baseline"/>
                <w:lang w:val="en-US" w:eastAsia="zh-CN"/>
              </w:rPr>
              <w:t>。</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66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c>
          <w:tcPr>
            <w:tcW w:w="7856" w:type="dxa"/>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促进水资源节约和循环利用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0" w:hRule="atLeast"/>
        </w:trPr>
        <w:tc>
          <w:tcPr>
            <w:tcW w:w="66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2.1</w:t>
            </w:r>
          </w:p>
        </w:tc>
        <w:tc>
          <w:tcPr>
            <w:tcW w:w="46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禁止农业、工业建设项目和服务业新增取用地下水，并逐步压缩地下水开采量，在超采区内确需取用地下水的，要在现有地下水开采总量控制指标内调剂解决</w:t>
            </w:r>
            <w:r>
              <w:rPr>
                <w:rFonts w:hint="eastAsia" w:ascii="Times New Roman" w:hAnsi="Times New Roman"/>
                <w:sz w:val="21"/>
                <w:szCs w:val="21"/>
                <w:vertAlign w:val="baseline"/>
                <w:lang w:val="en-US" w:eastAsia="zh-CN"/>
              </w:rPr>
              <w:t>。</w:t>
            </w:r>
          </w:p>
        </w:tc>
        <w:tc>
          <w:tcPr>
            <w:tcW w:w="237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项目不开采地下水</w:t>
            </w:r>
            <w:r>
              <w:rPr>
                <w:rFonts w:hint="eastAsia" w:ascii="Times New Roman" w:hAnsi="Times New Roman"/>
                <w:sz w:val="21"/>
                <w:szCs w:val="21"/>
                <w:vertAlign w:val="baseline"/>
                <w:lang w:val="en-US" w:eastAsia="zh-CN"/>
              </w:rPr>
              <w:t>。</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6" w:hRule="atLeast"/>
        </w:trPr>
        <w:tc>
          <w:tcPr>
            <w:tcW w:w="66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2.2</w:t>
            </w:r>
          </w:p>
        </w:tc>
        <w:tc>
          <w:tcPr>
            <w:tcW w:w="46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重点推进钢铁、火电、化工、制浆造纸、印染等高耗水行业企业废水深度处理回用，对具备使用再生水条件但未充分利用的项目，不得新增取水许可。推广园区串联用水和企业中水回用、废污水“零排放”等循环利用技术</w:t>
            </w:r>
            <w:r>
              <w:rPr>
                <w:rFonts w:hint="eastAsia" w:ascii="Times New Roman" w:hAnsi="Times New Roman"/>
                <w:sz w:val="21"/>
                <w:szCs w:val="21"/>
                <w:vertAlign w:val="baseline"/>
                <w:lang w:val="en-US" w:eastAsia="zh-CN"/>
              </w:rPr>
              <w:t>。</w:t>
            </w:r>
          </w:p>
        </w:tc>
        <w:tc>
          <w:tcPr>
            <w:tcW w:w="237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项目属于制浆造纸行业，利用现有项目白水，整体不新增取水许可，生产废水可以实现“零排放”</w:t>
            </w:r>
            <w:r>
              <w:rPr>
                <w:rFonts w:hint="eastAsia" w:ascii="Times New Roman" w:hAnsi="Times New Roman"/>
                <w:sz w:val="21"/>
                <w:szCs w:val="21"/>
                <w:vertAlign w:val="baseline"/>
                <w:lang w:val="en-US" w:eastAsia="zh-CN"/>
              </w:rPr>
              <w:t>。</w:t>
            </w:r>
          </w:p>
        </w:tc>
        <w:tc>
          <w:tcPr>
            <w:tcW w:w="85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eastAsia" w:ascii="Times New Roman" w:hAnsi="Times New Roman"/>
          <w:sz w:val="24"/>
          <w:szCs w:val="24"/>
        </w:rPr>
      </w:pPr>
      <w:r>
        <w:rPr>
          <w:rFonts w:hint="eastAsia" w:ascii="Times New Roman" w:hAnsi="Times New Roman" w:cs="Times New Roman"/>
          <w:b/>
          <w:bCs/>
          <w:color w:val="auto"/>
          <w:sz w:val="24"/>
          <w:szCs w:val="24"/>
          <w:highlight w:val="none"/>
          <w:lang w:val="en-US" w:eastAsia="zh-CN"/>
        </w:rPr>
        <w:t>8.1.2.5</w:t>
      </w:r>
      <w:r>
        <w:rPr>
          <w:rFonts w:hint="eastAsia" w:ascii="Times New Roman" w:hAnsi="Times New Roman"/>
          <w:b/>
          <w:bCs/>
          <w:color w:val="auto"/>
          <w:sz w:val="24"/>
          <w:szCs w:val="24"/>
          <w:highlight w:val="none"/>
          <w:lang w:val="en-US" w:eastAsia="zh-CN"/>
        </w:rPr>
        <w:t>与《关于以改善环境质量为核心加强环境影响评价管理的通知》（环环评[2016]150号）的符合性分析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本项目与《关于以改善环境质量为核心加强环境影响评价管理的通知》（环环评[2016]150号）的相符性分析如表</w:t>
      </w:r>
      <w:r>
        <w:rPr>
          <w:rFonts w:hint="eastAsia" w:ascii="Times New Roman" w:hAnsi="Times New Roman"/>
          <w:sz w:val="24"/>
          <w:szCs w:val="24"/>
          <w:lang w:val="en-US" w:eastAsia="zh-CN"/>
        </w:rPr>
        <w:t>8.1-5</w:t>
      </w:r>
      <w:r>
        <w:rPr>
          <w:rFonts w:hint="eastAsia" w:ascii="Times New Roman" w:hAnsi="Times New Roman"/>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8.1</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eastAsia" w:ascii="Times New Roman" w:hAnsi="Times New Roman" w:eastAsia="宋体"/>
          <w:b/>
          <w:bCs/>
          <w:sz w:val="24"/>
          <w:szCs w:val="24"/>
          <w:lang w:val="en-US" w:eastAsia="zh-CN"/>
        </w:rPr>
        <w:t xml:space="preserve">  项目与《关于以改善环境质量为核心加强环境影响评价管理的通知》（环环评[2016]150号）的符合性分析</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9"/>
        <w:gridCol w:w="5274"/>
        <w:gridCol w:w="2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noWrap w:val="0"/>
            <w:vAlign w:val="center"/>
          </w:tcPr>
          <w:p>
            <w:pPr>
              <w:jc w:val="center"/>
              <w:rPr>
                <w:rFonts w:hint="default"/>
                <w:b/>
                <w:bCs/>
                <w:vertAlign w:val="baseline"/>
                <w:lang w:val="en-US" w:eastAsia="zh-CN"/>
              </w:rPr>
            </w:pPr>
            <w:r>
              <w:rPr>
                <w:rFonts w:hint="eastAsia"/>
                <w:b/>
                <w:bCs/>
                <w:vertAlign w:val="baseline"/>
                <w:lang w:val="en-US" w:eastAsia="zh-CN"/>
              </w:rPr>
              <w:t>分类</w:t>
            </w:r>
          </w:p>
        </w:tc>
        <w:tc>
          <w:tcPr>
            <w:tcW w:w="5274" w:type="dxa"/>
            <w:noWrap w:val="0"/>
            <w:vAlign w:val="center"/>
          </w:tcPr>
          <w:p>
            <w:pPr>
              <w:jc w:val="center"/>
              <w:rPr>
                <w:rFonts w:hint="default"/>
                <w:b/>
                <w:bCs/>
                <w:vertAlign w:val="baseline"/>
                <w:lang w:val="en-US" w:eastAsia="zh-CN"/>
              </w:rPr>
            </w:pPr>
            <w:r>
              <w:rPr>
                <w:rFonts w:hint="eastAsia"/>
                <w:b/>
                <w:bCs/>
                <w:vertAlign w:val="baseline"/>
                <w:lang w:val="en-US" w:eastAsia="zh-CN"/>
              </w:rPr>
              <w:t>具体要求</w:t>
            </w:r>
          </w:p>
        </w:tc>
        <w:tc>
          <w:tcPr>
            <w:tcW w:w="2265" w:type="dxa"/>
            <w:noWrap w:val="0"/>
            <w:vAlign w:val="center"/>
          </w:tcPr>
          <w:p>
            <w:pPr>
              <w:jc w:val="center"/>
              <w:rPr>
                <w:rFonts w:hint="default"/>
                <w:b/>
                <w:bCs/>
                <w:vertAlign w:val="baseline"/>
                <w:lang w:val="en-US" w:eastAsia="zh-CN"/>
              </w:rPr>
            </w:pPr>
            <w:r>
              <w:rPr>
                <w:rFonts w:hint="eastAsia"/>
                <w:b/>
                <w:bCs/>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restart"/>
            <w:noWrap w:val="0"/>
            <w:vAlign w:val="center"/>
          </w:tcPr>
          <w:p>
            <w:pPr>
              <w:jc w:val="center"/>
              <w:rPr>
                <w:rFonts w:hint="default"/>
                <w:vertAlign w:val="baseline"/>
                <w:lang w:val="en-US" w:eastAsia="zh-CN"/>
              </w:rPr>
            </w:pPr>
            <w:r>
              <w:rPr>
                <w:rFonts w:hint="eastAsia"/>
                <w:vertAlign w:val="baseline"/>
                <w:lang w:val="en-US" w:eastAsia="zh-CN"/>
              </w:rPr>
              <w:t>强化“三线一单约束作用”</w:t>
            </w:r>
          </w:p>
        </w:tc>
        <w:tc>
          <w:tcPr>
            <w:tcW w:w="5274" w:type="dxa"/>
            <w:noWrap w:val="0"/>
            <w:vAlign w:val="center"/>
          </w:tcPr>
          <w:p>
            <w:pPr>
              <w:jc w:val="center"/>
              <w:rPr>
                <w:rFonts w:hint="default"/>
                <w:vertAlign w:val="baseline"/>
                <w:lang w:val="en-US" w:eastAsia="zh-CN"/>
              </w:rPr>
            </w:pPr>
            <w:r>
              <w:rPr>
                <w:rFonts w:hint="default"/>
                <w:vertAlign w:val="baseline"/>
                <w:lang w:val="en-US" w:eastAsia="zh-CN"/>
              </w:rPr>
              <w:t>（一）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2265" w:type="dxa"/>
            <w:noWrap w:val="0"/>
            <w:vAlign w:val="center"/>
          </w:tcPr>
          <w:p>
            <w:pPr>
              <w:jc w:val="center"/>
              <w:rPr>
                <w:rFonts w:hint="default"/>
                <w:vertAlign w:val="baseline"/>
                <w:lang w:val="en-US" w:eastAsia="zh-CN"/>
              </w:rPr>
            </w:pPr>
            <w:r>
              <w:rPr>
                <w:rFonts w:hint="default"/>
                <w:vertAlign w:val="baseline"/>
                <w:lang w:val="en-US" w:eastAsia="zh-CN"/>
              </w:rPr>
              <w:t>本项目位于马桥化工产业园区，不在山东省生态红线规划范围内。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continue"/>
            <w:noWrap w:val="0"/>
            <w:vAlign w:val="center"/>
          </w:tcPr>
          <w:p>
            <w:pPr>
              <w:jc w:val="center"/>
              <w:rPr>
                <w:rFonts w:hint="default"/>
                <w:vertAlign w:val="baseline"/>
                <w:lang w:val="en-US" w:eastAsia="zh-CN"/>
              </w:rPr>
            </w:pPr>
          </w:p>
        </w:tc>
        <w:tc>
          <w:tcPr>
            <w:tcW w:w="5274" w:type="dxa"/>
            <w:noWrap w:val="0"/>
            <w:vAlign w:val="center"/>
          </w:tcPr>
          <w:p>
            <w:pPr>
              <w:jc w:val="center"/>
              <w:rPr>
                <w:rFonts w:hint="default"/>
                <w:vertAlign w:val="baseline"/>
                <w:lang w:val="en-US" w:eastAsia="zh-CN"/>
              </w:rPr>
            </w:pPr>
            <w:r>
              <w:rPr>
                <w:rFonts w:hint="default"/>
                <w:vertAlign w:val="baseline"/>
                <w:lang w:val="en-US" w:eastAsia="zh-CN"/>
              </w:rPr>
              <w:t>（二）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2265" w:type="dxa"/>
            <w:noWrap w:val="0"/>
            <w:vAlign w:val="center"/>
          </w:tcPr>
          <w:p>
            <w:pPr>
              <w:jc w:val="center"/>
              <w:rPr>
                <w:rFonts w:hint="default"/>
                <w:vertAlign w:val="baseline"/>
                <w:lang w:val="en-US" w:eastAsia="zh-CN"/>
              </w:rPr>
            </w:pPr>
            <w:r>
              <w:rPr>
                <w:rFonts w:hint="default"/>
                <w:vertAlign w:val="baseline"/>
                <w:lang w:val="en-US" w:eastAsia="zh-CN"/>
              </w:rPr>
              <w:t>针对区域环境质量问题，桓台县已提出区域治理方案。本项目对可能存在的废气、废水、固废污染因素采取了严格的污染防治措施，严格落实污染物排放总量管控制度。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continue"/>
            <w:noWrap w:val="0"/>
            <w:vAlign w:val="center"/>
          </w:tcPr>
          <w:p>
            <w:pPr>
              <w:jc w:val="center"/>
              <w:rPr>
                <w:rFonts w:hint="default"/>
                <w:vertAlign w:val="baseline"/>
                <w:lang w:val="en-US" w:eastAsia="zh-CN"/>
              </w:rPr>
            </w:pPr>
          </w:p>
        </w:tc>
        <w:tc>
          <w:tcPr>
            <w:tcW w:w="5274" w:type="dxa"/>
            <w:noWrap w:val="0"/>
            <w:vAlign w:val="center"/>
          </w:tcPr>
          <w:p>
            <w:pPr>
              <w:jc w:val="center"/>
              <w:rPr>
                <w:rFonts w:hint="default"/>
                <w:vertAlign w:val="baseline"/>
                <w:lang w:val="en-US" w:eastAsia="zh-CN"/>
              </w:rPr>
            </w:pPr>
            <w:r>
              <w:rPr>
                <w:rFonts w:hint="default" w:ascii="Times New Roman" w:hAnsi="Times New Roman" w:cs="Times New Roman"/>
                <w:vertAlign w:val="baseline"/>
                <w:lang w:val="en-US" w:eastAsia="zh-CN"/>
              </w:rPr>
              <w:t>（三</w:t>
            </w:r>
            <w:r>
              <w:rPr>
                <w:rFonts w:hint="eastAsia" w:ascii="Times New Roman" w:hAnsi="Times New Roman" w:cs="Times New Roman"/>
                <w:vertAlign w:val="baseline"/>
                <w:lang w:val="en-US" w:eastAsia="zh-CN"/>
              </w:rPr>
              <w:t>）</w:t>
            </w:r>
            <w:r>
              <w:rPr>
                <w:rFonts w:hint="default"/>
                <w:vertAlign w:val="baseline"/>
                <w:lang w:val="en-US" w:eastAsia="zh-CN"/>
              </w:rPr>
              <w:t>资源是环境的载体，资源利用上线是各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2265" w:type="dxa"/>
            <w:noWrap w:val="0"/>
            <w:vAlign w:val="center"/>
          </w:tcPr>
          <w:p>
            <w:pPr>
              <w:jc w:val="center"/>
              <w:rPr>
                <w:rFonts w:hint="default"/>
                <w:vertAlign w:val="baseline"/>
                <w:lang w:val="en-US" w:eastAsia="zh-CN"/>
              </w:rPr>
            </w:pPr>
            <w:r>
              <w:rPr>
                <w:rFonts w:hint="default"/>
                <w:vertAlign w:val="baseline"/>
                <w:lang w:val="en-US" w:eastAsia="zh-CN"/>
              </w:rPr>
              <w:t>本项目采用集中供汽为生产线使用，选择合理的能源利用方式。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continue"/>
            <w:noWrap w:val="0"/>
            <w:vAlign w:val="center"/>
          </w:tcPr>
          <w:p>
            <w:pPr>
              <w:jc w:val="center"/>
              <w:rPr>
                <w:rFonts w:hint="default"/>
                <w:vertAlign w:val="baseline"/>
                <w:lang w:val="en-US" w:eastAsia="zh-CN"/>
              </w:rPr>
            </w:pPr>
          </w:p>
        </w:tc>
        <w:tc>
          <w:tcPr>
            <w:tcW w:w="5274" w:type="dxa"/>
            <w:noWrap w:val="0"/>
            <w:vAlign w:val="center"/>
          </w:tcPr>
          <w:p>
            <w:pPr>
              <w:jc w:val="center"/>
              <w:rPr>
                <w:rFonts w:hint="default"/>
                <w:vertAlign w:val="baseline"/>
                <w:lang w:val="en-US" w:eastAsia="zh-CN"/>
              </w:rPr>
            </w:pPr>
            <w:r>
              <w:rPr>
                <w:rFonts w:hint="default"/>
                <w:vertAlign w:val="baseline"/>
                <w:lang w:val="en-US" w:eastAsia="zh-CN"/>
              </w:rPr>
              <w:t>（四）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2265" w:type="dxa"/>
            <w:noWrap w:val="0"/>
            <w:vAlign w:val="center"/>
          </w:tcPr>
          <w:p>
            <w:pPr>
              <w:jc w:val="center"/>
              <w:rPr>
                <w:rFonts w:hint="default"/>
                <w:vertAlign w:val="baseline"/>
                <w:lang w:val="en-US" w:eastAsia="zh-CN"/>
              </w:rPr>
            </w:pPr>
            <w:r>
              <w:rPr>
                <w:rFonts w:hint="default"/>
                <w:vertAlign w:val="baseline"/>
                <w:lang w:val="en-US" w:eastAsia="zh-CN"/>
              </w:rPr>
              <w:t>本项目不在园区行业准入</w:t>
            </w:r>
          </w:p>
          <w:p>
            <w:pPr>
              <w:jc w:val="center"/>
              <w:rPr>
                <w:rFonts w:hint="default"/>
                <w:vertAlign w:val="baseline"/>
                <w:lang w:val="en-US" w:eastAsia="zh-CN"/>
              </w:rPr>
            </w:pPr>
            <w:r>
              <w:rPr>
                <w:rFonts w:hint="default"/>
                <w:vertAlign w:val="baseline"/>
                <w:lang w:val="en-US" w:eastAsia="zh-CN"/>
              </w:rPr>
              <w:t>负面清单范围内，属于园区</w:t>
            </w:r>
          </w:p>
          <w:p>
            <w:pPr>
              <w:jc w:val="center"/>
              <w:rPr>
                <w:rFonts w:hint="default"/>
                <w:vertAlign w:val="baseline"/>
                <w:lang w:val="en-US" w:eastAsia="zh-CN"/>
              </w:rPr>
            </w:pPr>
            <w:r>
              <w:rPr>
                <w:rFonts w:hint="default"/>
                <w:vertAlign w:val="baseline"/>
                <w:lang w:val="en-US" w:eastAsia="zh-CN"/>
              </w:rPr>
              <w:t>允许建设项目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restart"/>
            <w:noWrap w:val="0"/>
            <w:vAlign w:val="center"/>
          </w:tcPr>
          <w:p>
            <w:pPr>
              <w:jc w:val="center"/>
              <w:rPr>
                <w:rFonts w:hint="default"/>
                <w:vertAlign w:val="baseline"/>
                <w:lang w:val="en-US" w:eastAsia="zh-CN"/>
              </w:rPr>
            </w:pPr>
            <w:r>
              <w:rPr>
                <w:rFonts w:hint="eastAsia"/>
                <w:vertAlign w:val="baseline"/>
                <w:lang w:val="en-US" w:eastAsia="zh-CN"/>
              </w:rPr>
              <w:t>建立“三挂钩”机制</w:t>
            </w:r>
          </w:p>
        </w:tc>
        <w:tc>
          <w:tcPr>
            <w:tcW w:w="5274" w:type="dxa"/>
            <w:noWrap w:val="0"/>
            <w:vAlign w:val="center"/>
          </w:tcPr>
          <w:p>
            <w:pPr>
              <w:jc w:val="center"/>
              <w:rPr>
                <w:rFonts w:hint="default"/>
                <w:vertAlign w:val="baseline"/>
                <w:lang w:val="en-US" w:eastAsia="zh-CN"/>
              </w:rPr>
            </w:pPr>
            <w:r>
              <w:rPr>
                <w:rFonts w:hint="default"/>
                <w:vertAlign w:val="baseline"/>
                <w:lang w:val="en-US" w:eastAsia="zh-CN"/>
              </w:rPr>
              <w:t>（五）加强规划环评与建设项目环评联动。规划环评要探索清单式管理，在结论和审查意见中明确“三线一单”相关管控要求，并推动将管控要求纳入规划。规划环评要作为规划所包含项目环评的重要依据，对于不符合规划环评结论及审查意见的项目环评， 依法不予审批。规划所包含项目的环评内容，应当根据规划环评结论和审查意见予以简化。</w:t>
            </w:r>
          </w:p>
        </w:tc>
        <w:tc>
          <w:tcPr>
            <w:tcW w:w="2265" w:type="dxa"/>
            <w:noWrap w:val="0"/>
            <w:vAlign w:val="center"/>
          </w:tcPr>
          <w:p>
            <w:pPr>
              <w:jc w:val="center"/>
              <w:rPr>
                <w:rFonts w:hint="default"/>
                <w:vertAlign w:val="baseline"/>
                <w:lang w:val="en-US" w:eastAsia="zh-CN"/>
              </w:rPr>
            </w:pPr>
            <w:r>
              <w:rPr>
                <w:rFonts w:hint="eastAsia"/>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continue"/>
            <w:noWrap w:val="0"/>
            <w:vAlign w:val="center"/>
          </w:tcPr>
          <w:p>
            <w:pPr>
              <w:jc w:val="center"/>
              <w:rPr>
                <w:rFonts w:hint="default"/>
                <w:vertAlign w:val="baseline"/>
                <w:lang w:val="en-US" w:eastAsia="zh-CN"/>
              </w:rPr>
            </w:pPr>
          </w:p>
        </w:tc>
        <w:tc>
          <w:tcPr>
            <w:tcW w:w="5274" w:type="dxa"/>
            <w:noWrap w:val="0"/>
            <w:vAlign w:val="center"/>
          </w:tcPr>
          <w:p>
            <w:pPr>
              <w:jc w:val="center"/>
              <w:rPr>
                <w:rFonts w:hint="default"/>
                <w:vertAlign w:val="baseline"/>
                <w:lang w:val="en-US" w:eastAsia="zh-CN"/>
              </w:rPr>
            </w:pPr>
            <w:r>
              <w:rPr>
                <w:rFonts w:hint="default"/>
                <w:vertAlign w:val="baseline"/>
                <w:lang w:val="en-US" w:eastAsia="zh-CN"/>
              </w:rPr>
              <w:t>（六）建立项目环评审批与现有项目环境管理联动机制。对于现有同类型项目环境污染或生态破坏严重、环境违法违规现象多发， 致使环境容量接近或超过承载能力的地区，在现有问题整改到位前，依法暂停审批该地区同类行业的项目环评文件。改建、扩建和技术改造项目，应对现有工程的环境保护措施及效果进行全面梳理；如现有工程已经造成明显环境问题，应提出有效的整改方案和“以新带老”措施。</w:t>
            </w:r>
          </w:p>
        </w:tc>
        <w:tc>
          <w:tcPr>
            <w:tcW w:w="2265" w:type="dxa"/>
            <w:noWrap w:val="0"/>
            <w:vAlign w:val="center"/>
          </w:tcPr>
          <w:p>
            <w:pPr>
              <w:jc w:val="center"/>
              <w:rPr>
                <w:rFonts w:hint="default"/>
                <w:vertAlign w:val="baseline"/>
                <w:lang w:val="en-US" w:eastAsia="zh-CN"/>
              </w:rPr>
            </w:pPr>
            <w:r>
              <w:rPr>
                <w:rFonts w:hint="eastAsia"/>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continue"/>
            <w:noWrap w:val="0"/>
            <w:vAlign w:val="center"/>
          </w:tcPr>
          <w:p>
            <w:pPr>
              <w:jc w:val="center"/>
              <w:rPr>
                <w:rFonts w:hint="default"/>
                <w:vertAlign w:val="baseline"/>
                <w:lang w:val="en-US" w:eastAsia="zh-CN"/>
              </w:rPr>
            </w:pPr>
          </w:p>
        </w:tc>
        <w:tc>
          <w:tcPr>
            <w:tcW w:w="5274" w:type="dxa"/>
            <w:noWrap w:val="0"/>
            <w:vAlign w:val="center"/>
          </w:tcPr>
          <w:p>
            <w:pPr>
              <w:jc w:val="center"/>
              <w:rPr>
                <w:rFonts w:hint="default"/>
                <w:vertAlign w:val="baseline"/>
                <w:lang w:val="en-US" w:eastAsia="zh-CN"/>
              </w:rPr>
            </w:pPr>
            <w:r>
              <w:rPr>
                <w:rFonts w:hint="default"/>
                <w:vertAlign w:val="baseline"/>
                <w:lang w:val="en-US" w:eastAsia="zh-CN"/>
              </w:rPr>
              <w:t>（七）建立项目环评审批与区域环境质量联动机制。对环境质量现状超标的地区，项目拟采取的措施不能满足区域环境质量改善目标管理要求的，依法不予审批其环评文件。对未达到环境质量目标考核要求的地区，除民生项目与节能减排项目外，依法暂停审批该地区新增排放相应重点污染物的项目环评文件。严格控制在优先保护类耕地集中区域新建有色金属冶炼、石油加工、化工、焦化、电镀、制革等项目。</w:t>
            </w:r>
          </w:p>
        </w:tc>
        <w:tc>
          <w:tcPr>
            <w:tcW w:w="2265" w:type="dxa"/>
            <w:noWrap w:val="0"/>
            <w:vAlign w:val="center"/>
          </w:tcPr>
          <w:p>
            <w:pPr>
              <w:jc w:val="center"/>
              <w:rPr>
                <w:rFonts w:hint="default"/>
                <w:vertAlign w:val="baseline"/>
                <w:lang w:val="en-US" w:eastAsia="zh-CN"/>
              </w:rPr>
            </w:pPr>
            <w:r>
              <w:rPr>
                <w:rFonts w:hint="eastAsia"/>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restart"/>
            <w:noWrap w:val="0"/>
            <w:vAlign w:val="center"/>
          </w:tcPr>
          <w:p>
            <w:pPr>
              <w:jc w:val="center"/>
              <w:rPr>
                <w:rFonts w:hint="default"/>
                <w:vertAlign w:val="baseline"/>
                <w:lang w:val="en-US" w:eastAsia="zh-CN"/>
              </w:rPr>
            </w:pPr>
            <w:r>
              <w:rPr>
                <w:rFonts w:hint="default"/>
                <w:vertAlign w:val="baseline"/>
                <w:lang w:val="en-US" w:eastAsia="zh-CN"/>
              </w:rPr>
              <w:t>“三管齐下” 切实维护群众的环境权益</w:t>
            </w:r>
          </w:p>
        </w:tc>
        <w:tc>
          <w:tcPr>
            <w:tcW w:w="5274" w:type="dxa"/>
            <w:noWrap w:val="0"/>
            <w:vAlign w:val="center"/>
          </w:tcPr>
          <w:p>
            <w:pPr>
              <w:jc w:val="center"/>
              <w:rPr>
                <w:rFonts w:hint="default"/>
                <w:vertAlign w:val="baseline"/>
                <w:lang w:val="en-US" w:eastAsia="zh-CN"/>
              </w:rPr>
            </w:pPr>
            <w:r>
              <w:rPr>
                <w:rFonts w:hint="default"/>
                <w:vertAlign w:val="baseline"/>
                <w:lang w:val="en-US" w:eastAsia="zh-CN"/>
              </w:rPr>
              <w:t>（</w:t>
            </w:r>
            <w:r>
              <w:rPr>
                <w:rFonts w:hint="eastAsia"/>
                <w:vertAlign w:val="baseline"/>
                <w:lang w:val="en-US" w:eastAsia="zh-CN"/>
              </w:rPr>
              <w:t>八</w:t>
            </w:r>
            <w:r>
              <w:rPr>
                <w:rFonts w:hint="default"/>
                <w:vertAlign w:val="baseline"/>
                <w:lang w:val="en-US" w:eastAsia="zh-CN"/>
              </w:rPr>
              <w:t>）严格建设项目全过程管理。加强对在建和已建重点项目的事中事后监管，严格依法查处和纠正建设项目违法违规行为，督促建设单位认真执行环保“三同时” 制度。对建设项目环境保护监督管理信息和处罚信息要及时公开，强化对环保严重失信企业的惩戒机制，建立健全建设单位环保诚信档案和黑名单制度。</w:t>
            </w:r>
          </w:p>
        </w:tc>
        <w:tc>
          <w:tcPr>
            <w:tcW w:w="2265" w:type="dxa"/>
            <w:noWrap w:val="0"/>
            <w:vAlign w:val="center"/>
          </w:tcPr>
          <w:p>
            <w:pPr>
              <w:jc w:val="center"/>
              <w:rPr>
                <w:rFonts w:hint="default"/>
                <w:vertAlign w:val="baseline"/>
                <w:lang w:val="en-US" w:eastAsia="zh-CN"/>
              </w:rPr>
            </w:pPr>
            <w:r>
              <w:rPr>
                <w:rFonts w:hint="eastAsia"/>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continue"/>
            <w:noWrap w:val="0"/>
            <w:vAlign w:val="center"/>
          </w:tcPr>
          <w:p>
            <w:pPr>
              <w:jc w:val="center"/>
              <w:rPr>
                <w:rFonts w:hint="default"/>
                <w:vertAlign w:val="baseline"/>
                <w:lang w:val="en-US" w:eastAsia="zh-CN"/>
              </w:rPr>
            </w:pPr>
          </w:p>
        </w:tc>
        <w:tc>
          <w:tcPr>
            <w:tcW w:w="5274" w:type="dxa"/>
            <w:noWrap w:val="0"/>
            <w:vAlign w:val="center"/>
          </w:tcPr>
          <w:p>
            <w:pPr>
              <w:jc w:val="center"/>
              <w:rPr>
                <w:rFonts w:hint="default"/>
                <w:vertAlign w:val="baseline"/>
                <w:lang w:val="en-US" w:eastAsia="zh-CN"/>
              </w:rPr>
            </w:pPr>
            <w:r>
              <w:rPr>
                <w:rFonts w:hint="default"/>
                <w:vertAlign w:val="baseline"/>
                <w:lang w:val="en-US" w:eastAsia="zh-CN"/>
              </w:rPr>
              <w:t>（</w:t>
            </w:r>
            <w:r>
              <w:rPr>
                <w:rFonts w:hint="eastAsia"/>
                <w:vertAlign w:val="baseline"/>
                <w:lang w:val="en-US" w:eastAsia="zh-CN"/>
              </w:rPr>
              <w:t>九</w:t>
            </w:r>
            <w:r>
              <w:rPr>
                <w:rFonts w:hint="default"/>
                <w:vertAlign w:val="baseline"/>
                <w:lang w:val="en-US" w:eastAsia="zh-CN"/>
              </w:rPr>
              <w:t>）深化信息公开和公众参与。推动地方政府及有关部门依法公开相关规划和项目选址等信息， 在项目前期工作阶段充分听取公众意见。督促建设单位认真履行信息公开主体责任，完整客观地公开建设项目环评和验收信息， 依法开展公众参与，建立公众意见收集、采纳和反馈机制。对建设单位在项目环评中未依法公开征求公众意见，或者对意见采纳情况未依法予以说明的，应当责</w:t>
            </w:r>
          </w:p>
          <w:p>
            <w:pPr>
              <w:jc w:val="center"/>
              <w:rPr>
                <w:rFonts w:hint="default"/>
                <w:vertAlign w:val="baseline"/>
                <w:lang w:val="en-US" w:eastAsia="zh-CN"/>
              </w:rPr>
            </w:pPr>
            <w:r>
              <w:rPr>
                <w:rFonts w:hint="default"/>
                <w:vertAlign w:val="baseline"/>
                <w:lang w:val="en-US" w:eastAsia="zh-CN"/>
              </w:rPr>
              <w:t>成建设单位改正。</w:t>
            </w:r>
          </w:p>
        </w:tc>
        <w:tc>
          <w:tcPr>
            <w:tcW w:w="2265" w:type="dxa"/>
            <w:noWrap w:val="0"/>
            <w:vAlign w:val="center"/>
          </w:tcPr>
          <w:p>
            <w:pPr>
              <w:jc w:val="center"/>
              <w:rPr>
                <w:rFonts w:hint="default"/>
                <w:vertAlign w:val="baseline"/>
                <w:lang w:val="en-US" w:eastAsia="zh-CN"/>
              </w:rPr>
            </w:pPr>
            <w:r>
              <w:rPr>
                <w:rFonts w:hint="eastAsia"/>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continue"/>
            <w:noWrap w:val="0"/>
            <w:vAlign w:val="center"/>
          </w:tcPr>
          <w:p>
            <w:pPr>
              <w:jc w:val="center"/>
              <w:rPr>
                <w:rFonts w:hint="default"/>
                <w:vertAlign w:val="baseline"/>
                <w:lang w:val="en-US" w:eastAsia="zh-CN"/>
              </w:rPr>
            </w:pPr>
          </w:p>
        </w:tc>
        <w:tc>
          <w:tcPr>
            <w:tcW w:w="5274" w:type="dxa"/>
            <w:noWrap w:val="0"/>
            <w:vAlign w:val="center"/>
          </w:tcPr>
          <w:p>
            <w:pPr>
              <w:jc w:val="center"/>
              <w:rPr>
                <w:rFonts w:hint="default"/>
                <w:vertAlign w:val="baseline"/>
                <w:lang w:val="en-US" w:eastAsia="zh-CN"/>
              </w:rPr>
            </w:pPr>
            <w:r>
              <w:rPr>
                <w:rFonts w:hint="default"/>
                <w:vertAlign w:val="baseline"/>
                <w:lang w:val="en-US" w:eastAsia="zh-CN"/>
              </w:rPr>
              <w:t>（十）加强建设项目环境保护相关科普宣传。推动地方政府及有关部门、建设单位创新宣传方式，让建设项目环境保护知识进学校、进社区、进家庭。鼓励建设单位用“请进来、走出去”的方式，让广大人民群众切身感受建设项目环境保护的成功范例，增进了解和信任。对本地区出现的建设项目相关环境敏感突发事件，要协同有关部门主动发声，及时回应社会关切。</w:t>
            </w:r>
          </w:p>
        </w:tc>
        <w:tc>
          <w:tcPr>
            <w:tcW w:w="2265" w:type="dxa"/>
            <w:noWrap w:val="0"/>
            <w:vAlign w:val="center"/>
          </w:tcPr>
          <w:p>
            <w:pPr>
              <w:jc w:val="center"/>
              <w:rPr>
                <w:rFonts w:hint="default"/>
                <w:vertAlign w:val="baseline"/>
                <w:lang w:val="en-US" w:eastAsia="zh-CN"/>
              </w:rPr>
            </w:pPr>
            <w:r>
              <w:rPr>
                <w:rFonts w:hint="eastAsia"/>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eastAsia" w:ascii="Times New Roman" w:hAnsi="Times New Roman"/>
          <w:sz w:val="24"/>
          <w:szCs w:val="24"/>
        </w:rPr>
      </w:pPr>
      <w:r>
        <w:rPr>
          <w:rFonts w:hint="eastAsia" w:ascii="Times New Roman" w:hAnsi="Times New Roman" w:cs="Times New Roman"/>
          <w:b/>
          <w:bCs/>
          <w:color w:val="auto"/>
          <w:sz w:val="24"/>
          <w:szCs w:val="24"/>
          <w:highlight w:val="none"/>
          <w:lang w:val="en-US" w:eastAsia="zh-CN"/>
        </w:rPr>
        <w:t>8.1.2.6</w:t>
      </w:r>
      <w:r>
        <w:rPr>
          <w:rFonts w:hint="eastAsia" w:ascii="Times New Roman" w:hAnsi="Times New Roman"/>
          <w:b/>
          <w:bCs/>
          <w:color w:val="auto"/>
          <w:sz w:val="24"/>
          <w:szCs w:val="24"/>
          <w:highlight w:val="none"/>
          <w:lang w:val="en-US" w:eastAsia="zh-CN"/>
        </w:rPr>
        <w:t>与《关于做好环境影响评价制度与排污许可衔接相关工作的通知》（环办环评[2017]84号）的符合性分析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本项目与《关于做好环境影响评价制度与排污许可衔接相关工作的通知》（环办环评[2017]84号）的相符性分析如表</w:t>
      </w:r>
      <w:r>
        <w:rPr>
          <w:rFonts w:hint="eastAsia" w:ascii="Times New Roman" w:hAnsi="Times New Roman"/>
          <w:sz w:val="24"/>
          <w:szCs w:val="24"/>
          <w:lang w:val="en-US" w:eastAsia="zh-CN"/>
        </w:rPr>
        <w:t>8.1-6</w:t>
      </w:r>
      <w:r>
        <w:rPr>
          <w:rFonts w:hint="eastAsia" w:ascii="Times New Roman" w:hAnsi="Times New Roman"/>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8.1</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eastAsia" w:ascii="Times New Roman" w:hAnsi="Times New Roman" w:eastAsia="宋体"/>
          <w:b/>
          <w:bCs/>
          <w:sz w:val="24"/>
          <w:szCs w:val="24"/>
          <w:lang w:val="en-US" w:eastAsia="zh-CN"/>
        </w:rPr>
        <w:t xml:space="preserve">  项目与《关于做好环境影响评价制度与排污许可衔接相关工作的通知》（环办环评[2017]84号）的符合性分析</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09"/>
        <w:gridCol w:w="2838"/>
        <w:gridCol w:w="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480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bCs/>
                <w:sz w:val="21"/>
                <w:szCs w:val="21"/>
                <w:vertAlign w:val="baseline"/>
                <w:lang w:val="en-US" w:eastAsia="zh-CN"/>
              </w:rPr>
            </w:pPr>
            <w:r>
              <w:rPr>
                <w:rFonts w:hint="eastAsia" w:ascii="Times New Roman" w:hAnsi="Times New Roman"/>
                <w:b/>
                <w:bCs/>
                <w:sz w:val="21"/>
                <w:szCs w:val="21"/>
                <w:vertAlign w:val="baseline"/>
                <w:lang w:val="en-US" w:eastAsia="zh-CN"/>
              </w:rPr>
              <w:t>文件相关规定</w:t>
            </w:r>
          </w:p>
        </w:tc>
        <w:tc>
          <w:tcPr>
            <w:tcW w:w="28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bCs/>
                <w:sz w:val="21"/>
                <w:szCs w:val="21"/>
                <w:vertAlign w:val="baseline"/>
                <w:lang w:val="en-US" w:eastAsia="zh-CN"/>
              </w:rPr>
            </w:pPr>
            <w:r>
              <w:rPr>
                <w:rFonts w:hint="eastAsia" w:ascii="Times New Roman" w:hAnsi="Times New Roman"/>
                <w:b/>
                <w:bCs/>
                <w:sz w:val="21"/>
                <w:szCs w:val="21"/>
                <w:vertAlign w:val="baseline"/>
                <w:lang w:val="en-US" w:eastAsia="zh-CN"/>
              </w:rPr>
              <w:t>项目情况</w:t>
            </w:r>
          </w:p>
        </w:tc>
        <w:tc>
          <w:tcPr>
            <w:tcW w:w="8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bCs/>
                <w:sz w:val="21"/>
                <w:szCs w:val="21"/>
                <w:vertAlign w:val="baseline"/>
                <w:lang w:val="en-US" w:eastAsia="zh-CN"/>
              </w:rPr>
            </w:pPr>
            <w:r>
              <w:rPr>
                <w:rFonts w:hint="eastAsia" w:ascii="Times New Roman" w:hAnsi="Times New Roman"/>
                <w:b/>
                <w:bCs/>
                <w:sz w:val="21"/>
                <w:szCs w:val="21"/>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3" w:hRule="atLeast"/>
        </w:trPr>
        <w:tc>
          <w:tcPr>
            <w:tcW w:w="480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三、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定，按照污染源源强核算技术指南、环境影响评价要素导则等技术文件，严格核定排放口数量、位置以及每个排放口的污染物种类、允许排放浓度和允许排放量、排放方式、排放去向、自行监测计划等与污染物</w:t>
            </w:r>
            <w:r>
              <w:rPr>
                <w:rFonts w:hint="eastAsia" w:ascii="Times New Roman" w:hAnsi="Times New Roman"/>
                <w:sz w:val="21"/>
                <w:szCs w:val="21"/>
                <w:vertAlign w:val="baseline"/>
                <w:lang w:val="en-US" w:eastAsia="zh-CN"/>
              </w:rPr>
              <w:t>排放相关的主要内容</w:t>
            </w:r>
          </w:p>
        </w:tc>
        <w:tc>
          <w:tcPr>
            <w:tcW w:w="28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本项目源强确定符合《制浆造纸工业污染防治可行技术指南》(HJ2302 -2018) 和《造纸行业排污许可证申请与核发技术规范》要求，本项目源强是根据设计院和企业原有实际情况提供，废水量和污染物排放量在合理范围内</w:t>
            </w:r>
            <w:r>
              <w:rPr>
                <w:rFonts w:hint="eastAsia" w:ascii="Times New Roman" w:hAnsi="Times New Roman"/>
                <w:sz w:val="21"/>
                <w:szCs w:val="21"/>
                <w:vertAlign w:val="baseline"/>
                <w:lang w:val="en-US" w:eastAsia="zh-CN"/>
              </w:rPr>
              <w:t>。</w:t>
            </w:r>
          </w:p>
        </w:tc>
        <w:tc>
          <w:tcPr>
            <w:tcW w:w="8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2" w:hRule="atLeast"/>
        </w:trPr>
        <w:tc>
          <w:tcPr>
            <w:tcW w:w="480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六、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完成当年排污许可证执行年报。排污许可证执行报告、台账记录以及自行监测执行情况等应作为开展建设项目环境影响后评价的重要依据。</w:t>
            </w:r>
          </w:p>
        </w:tc>
        <w:tc>
          <w:tcPr>
            <w:tcW w:w="28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建设单位将在发生实际排污行为之前，申请排污许可。</w:t>
            </w:r>
          </w:p>
        </w:tc>
        <w:tc>
          <w:tcPr>
            <w:tcW w:w="8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eastAsia" w:ascii="Times New Roman" w:hAnsi="Times New Roman"/>
          <w:sz w:val="24"/>
          <w:szCs w:val="24"/>
        </w:rPr>
      </w:pPr>
      <w:r>
        <w:rPr>
          <w:rFonts w:hint="eastAsia" w:ascii="Times New Roman" w:hAnsi="Times New Roman" w:cs="Times New Roman"/>
          <w:b/>
          <w:bCs/>
          <w:color w:val="auto"/>
          <w:sz w:val="24"/>
          <w:szCs w:val="24"/>
          <w:highlight w:val="none"/>
          <w:lang w:val="en-US" w:eastAsia="zh-CN"/>
        </w:rPr>
        <w:t>8.1.2.7</w:t>
      </w:r>
      <w:r>
        <w:rPr>
          <w:rFonts w:hint="eastAsia" w:ascii="Times New Roman" w:hAnsi="Times New Roman"/>
          <w:b/>
          <w:bCs/>
          <w:color w:val="auto"/>
          <w:sz w:val="24"/>
          <w:szCs w:val="24"/>
          <w:highlight w:val="none"/>
          <w:lang w:val="en-US" w:eastAsia="zh-CN"/>
        </w:rPr>
        <w:t>与《山东省产业技术创新“十三五”规划》（鲁经信技[2016]579号）的符合性分析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本项目与《山东省产业技术创新“十三五”规划》（鲁经信技[2016]579号）的相符性分析如表</w:t>
      </w:r>
      <w:r>
        <w:rPr>
          <w:rFonts w:hint="eastAsia" w:ascii="Times New Roman" w:hAnsi="Times New Roman"/>
          <w:sz w:val="24"/>
          <w:szCs w:val="24"/>
          <w:lang w:val="en-US" w:eastAsia="zh-CN"/>
        </w:rPr>
        <w:t>8.1-7</w:t>
      </w:r>
      <w:r>
        <w:rPr>
          <w:rFonts w:hint="eastAsia" w:ascii="Times New Roman" w:hAnsi="Times New Roman"/>
          <w:sz w:val="24"/>
          <w:szCs w:val="24"/>
        </w:rPr>
        <w:t>。</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8.1</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7</w:t>
      </w:r>
      <w:r>
        <w:rPr>
          <w:rFonts w:hint="eastAsia" w:ascii="Times New Roman" w:hAnsi="Times New Roman" w:eastAsia="宋体"/>
          <w:b/>
          <w:bCs/>
          <w:sz w:val="24"/>
          <w:szCs w:val="24"/>
          <w:lang w:val="en-US" w:eastAsia="zh-CN"/>
        </w:rPr>
        <w:t xml:space="preserve">  项目与《山东省产业技术创新“十三五”规划》（鲁经信技[2016]579号）的符合性分析</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09"/>
        <w:gridCol w:w="2838"/>
        <w:gridCol w:w="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480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bCs/>
                <w:sz w:val="21"/>
                <w:szCs w:val="21"/>
                <w:vertAlign w:val="baseline"/>
                <w:lang w:val="en-US" w:eastAsia="zh-CN"/>
              </w:rPr>
            </w:pPr>
            <w:r>
              <w:rPr>
                <w:rFonts w:hint="eastAsia" w:ascii="Times New Roman" w:hAnsi="Times New Roman"/>
                <w:b/>
                <w:bCs/>
                <w:sz w:val="21"/>
                <w:szCs w:val="21"/>
                <w:vertAlign w:val="baseline"/>
                <w:lang w:val="en-US" w:eastAsia="zh-CN"/>
              </w:rPr>
              <w:t>文件相关规定</w:t>
            </w:r>
          </w:p>
        </w:tc>
        <w:tc>
          <w:tcPr>
            <w:tcW w:w="28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bCs/>
                <w:sz w:val="21"/>
                <w:szCs w:val="21"/>
                <w:vertAlign w:val="baseline"/>
                <w:lang w:val="en-US" w:eastAsia="zh-CN"/>
              </w:rPr>
            </w:pPr>
            <w:r>
              <w:rPr>
                <w:rFonts w:hint="eastAsia" w:ascii="Times New Roman" w:hAnsi="Times New Roman"/>
                <w:b/>
                <w:bCs/>
                <w:sz w:val="21"/>
                <w:szCs w:val="21"/>
                <w:vertAlign w:val="baseline"/>
                <w:lang w:val="en-US" w:eastAsia="zh-CN"/>
              </w:rPr>
              <w:t>项目情况</w:t>
            </w:r>
          </w:p>
        </w:tc>
        <w:tc>
          <w:tcPr>
            <w:tcW w:w="8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b/>
                <w:bCs/>
                <w:sz w:val="21"/>
                <w:szCs w:val="21"/>
                <w:vertAlign w:val="baseline"/>
                <w:lang w:val="en-US" w:eastAsia="zh-CN"/>
              </w:rPr>
            </w:pPr>
            <w:r>
              <w:rPr>
                <w:rFonts w:hint="eastAsia" w:ascii="Times New Roman" w:hAnsi="Times New Roman"/>
                <w:b/>
                <w:bCs/>
                <w:sz w:val="21"/>
                <w:szCs w:val="21"/>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trPr>
        <w:tc>
          <w:tcPr>
            <w:tcW w:w="480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清洁制浆技术：置换蒸煮、生物酶促制浆、高得率制浆、中水回用等清洁节能制浆技术，制浆洗涤废水的封闭循环利用技术</w:t>
            </w:r>
            <w:r>
              <w:rPr>
                <w:rFonts w:hint="eastAsia" w:ascii="Times New Roman" w:hAnsi="Times New Roman"/>
                <w:sz w:val="21"/>
                <w:szCs w:val="21"/>
                <w:vertAlign w:val="baseline"/>
                <w:lang w:val="en-US" w:eastAsia="zh-CN"/>
              </w:rPr>
              <w:t>。</w:t>
            </w:r>
          </w:p>
        </w:tc>
        <w:tc>
          <w:tcPr>
            <w:tcW w:w="28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w:t>
            </w:r>
            <w:r>
              <w:rPr>
                <w:rFonts w:hint="default" w:ascii="Times New Roman" w:hAnsi="Times New Roman"/>
                <w:sz w:val="21"/>
                <w:szCs w:val="21"/>
                <w:vertAlign w:val="baseline"/>
                <w:lang w:val="en-US" w:eastAsia="zh-CN"/>
              </w:rPr>
              <w:t>项目为高得率制浆，产生的废水全部回用，不外排</w:t>
            </w:r>
            <w:r>
              <w:rPr>
                <w:rFonts w:hint="eastAsia" w:ascii="Times New Roman" w:hAnsi="Times New Roman"/>
                <w:sz w:val="21"/>
                <w:szCs w:val="21"/>
                <w:vertAlign w:val="baseline"/>
                <w:lang w:val="en-US" w:eastAsia="zh-CN"/>
              </w:rPr>
              <w:t>。</w:t>
            </w:r>
          </w:p>
        </w:tc>
        <w:tc>
          <w:tcPr>
            <w:tcW w:w="8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480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超效浮选系统：由多级筛（孔、缝）组成的超级筛选系统，高效、低耗、高得率废纸制浆新方法</w:t>
            </w:r>
            <w:r>
              <w:rPr>
                <w:rFonts w:hint="eastAsia" w:ascii="Times New Roman" w:hAnsi="Times New Roman"/>
                <w:sz w:val="21"/>
                <w:szCs w:val="21"/>
                <w:vertAlign w:val="baseline"/>
                <w:lang w:val="en-US" w:eastAsia="zh-CN"/>
              </w:rPr>
              <w:t>。</w:t>
            </w:r>
          </w:p>
        </w:tc>
        <w:tc>
          <w:tcPr>
            <w:tcW w:w="28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w:t>
            </w:r>
            <w:r>
              <w:rPr>
                <w:rFonts w:hint="default" w:ascii="Times New Roman" w:hAnsi="Times New Roman"/>
                <w:sz w:val="21"/>
                <w:szCs w:val="21"/>
                <w:vertAlign w:val="baseline"/>
                <w:lang w:val="en-US" w:eastAsia="zh-CN"/>
              </w:rPr>
              <w:t>项目不是废纸制浆项目</w:t>
            </w:r>
          </w:p>
        </w:tc>
        <w:tc>
          <w:tcPr>
            <w:tcW w:w="8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4809"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造纸“三废”治理资源化综合利用技术：热能回收用于制浆系统的技术，纤维原料制浆及废液资源化综合利用技术，节水、节能、减排技术</w:t>
            </w:r>
            <w:r>
              <w:rPr>
                <w:rFonts w:hint="eastAsia" w:ascii="Times New Roman" w:hAnsi="Times New Roman"/>
                <w:sz w:val="21"/>
                <w:szCs w:val="21"/>
                <w:vertAlign w:val="baseline"/>
                <w:lang w:val="en-US" w:eastAsia="zh-CN"/>
              </w:rPr>
              <w:t>。</w:t>
            </w:r>
          </w:p>
        </w:tc>
        <w:tc>
          <w:tcPr>
            <w:tcW w:w="283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w:t>
            </w:r>
            <w:r>
              <w:rPr>
                <w:rFonts w:hint="default" w:ascii="Times New Roman" w:hAnsi="Times New Roman"/>
                <w:sz w:val="21"/>
                <w:szCs w:val="21"/>
                <w:vertAlign w:val="baseline"/>
                <w:lang w:val="en-US" w:eastAsia="zh-CN"/>
              </w:rPr>
              <w:t>项目热能回收，并采用节水、节能、减排技术</w:t>
            </w:r>
          </w:p>
        </w:tc>
        <w:tc>
          <w:tcPr>
            <w:tcW w:w="8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ascii="Times New Roman" w:hAnsi="Times New Roman"/>
          <w:sz w:val="24"/>
          <w:szCs w:val="24"/>
          <w:lang w:val="en-US" w:eastAsia="zh-CN"/>
        </w:rPr>
      </w:pPr>
      <w:r>
        <w:rPr>
          <w:rFonts w:hint="eastAsia" w:ascii="Times New Roman" w:hAnsi="Times New Roman"/>
          <w:b/>
          <w:bCs/>
          <w:color w:val="auto"/>
          <w:sz w:val="28"/>
          <w:szCs w:val="28"/>
          <w:lang w:val="en-US" w:eastAsia="zh-CN"/>
        </w:rPr>
        <w:t>8.1</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3</w:t>
      </w:r>
      <w:r>
        <w:rPr>
          <w:rFonts w:ascii="Times New Roman" w:hAnsi="Times New Roman"/>
          <w:b/>
          <w:bCs/>
          <w:color w:val="auto"/>
          <w:sz w:val="28"/>
          <w:szCs w:val="28"/>
        </w:rPr>
        <w:t xml:space="preserve"> </w:t>
      </w:r>
      <w:r>
        <w:rPr>
          <w:rFonts w:hint="eastAsia" w:ascii="Times New Roman" w:hAnsi="Times New Roman"/>
          <w:b/>
          <w:bCs/>
          <w:color w:val="auto"/>
          <w:sz w:val="28"/>
          <w:szCs w:val="28"/>
        </w:rPr>
        <w:t>相关规划符合性</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rPr>
      </w:pPr>
      <w:r>
        <w:rPr>
          <w:rFonts w:hint="eastAsia" w:ascii="Times New Roman" w:hAnsi="Times New Roman" w:cs="Times New Roman"/>
          <w:b/>
          <w:bCs/>
          <w:color w:val="auto"/>
          <w:sz w:val="24"/>
          <w:szCs w:val="24"/>
          <w:highlight w:val="none"/>
          <w:lang w:val="en-US" w:eastAsia="zh-CN"/>
        </w:rPr>
        <w:t>8.1.3.1</w:t>
      </w:r>
      <w:r>
        <w:rPr>
          <w:rFonts w:hint="eastAsia" w:ascii="Times New Roman" w:hAnsi="Times New Roman"/>
          <w:b/>
          <w:bCs/>
          <w:color w:val="auto"/>
          <w:sz w:val="24"/>
          <w:szCs w:val="24"/>
          <w:highlight w:val="none"/>
          <w:lang w:val="en-US" w:eastAsia="zh-CN"/>
        </w:rPr>
        <w:t>桓台县城乡城市总体规划（2008-2030年）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桓台县城乡总体规划（2008-2030）中确定的桓台县定位为淄博市组群城市的北部城区，以新材料、化工、造纸、机械制造和现代服务业为主导的现代化生态型园林城市。发展总目标为把桓台建设成为经济充满活力、社会事业发达、基础设施完善、生态环境优良、城乡和谐发展的城乡一体化示范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规划产业总体发展战略：充分发挥桓台主导产业品牌、旅游资源及区位交通优势，以多元化、规模化、集群化、高技术化为导向，加强产业关联、加大技术投入，发展以氟硅材料、石油炼化、精细化工、造纸及包装印刷、机械制造产业为主导，以电子制造、皮革、物流、纺织业等为支撑，城乡一体化的产业体系</w:t>
      </w:r>
      <w:r>
        <w:rPr>
          <w:rFonts w:hint="eastAsia" w:ascii="Times New Roman" w:hAnsi="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规划产业空间布局：规划构筑“一个中心、四个片区”，打造六大特色产业集群。</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1、一个中心即县城中心城区。以发展城市经济、现代服务业的重点，有效整合各类资源，完善提升基础设施，扩大集聚扩散效应。建成发展活力充足、创新能力较强、产业素质较高、服务功能齐全、生态环境优美、社会和谐的城市经济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2、四个片区即桓台经济开发区、唐山氟硅材料产业园区、马桥产业区和马踏湖生态保护区。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3、六大特色产业集群即氟硅材料、石油炼化及精细化工、造纸及包装印刷、冶金机械、电子设备和现代服务业产业集群。</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项目位于马桥化工产业园内，用地类型为工业用地，属于园区企业配套环保设施，符合桓台县城乡总体规划（2008-2030）的要求。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桓台县城市总体规划图见图</w:t>
      </w:r>
      <w:r>
        <w:rPr>
          <w:rFonts w:hint="eastAsia" w:ascii="Times New Roman" w:hAnsi="Times New Roman"/>
          <w:sz w:val="24"/>
          <w:szCs w:val="24"/>
          <w:lang w:val="en-US" w:eastAsia="zh-CN"/>
        </w:rPr>
        <w:t>8</w:t>
      </w:r>
      <w:r>
        <w:rPr>
          <w:rFonts w:hint="default" w:ascii="Times New Roman" w:hAnsi="Times New Roman"/>
          <w:sz w:val="24"/>
          <w:szCs w:val="24"/>
          <w:lang w:val="en-US" w:eastAsia="zh-CN"/>
        </w:rPr>
        <w:t>.</w:t>
      </w:r>
      <w:r>
        <w:rPr>
          <w:rFonts w:hint="eastAsia" w:ascii="Times New Roman" w:hAnsi="Times New Roman"/>
          <w:sz w:val="24"/>
          <w:szCs w:val="24"/>
          <w:lang w:val="en-US" w:eastAsia="zh-CN"/>
        </w:rPr>
        <w:t>1</w:t>
      </w:r>
      <w:r>
        <w:rPr>
          <w:rFonts w:hint="default" w:ascii="Times New Roman" w:hAnsi="Times New Roman"/>
          <w:sz w:val="24"/>
          <w:szCs w:val="24"/>
          <w:lang w:val="en-US" w:eastAsia="zh-CN"/>
        </w:rPr>
        <w:t>-1。</w:t>
      </w:r>
    </w:p>
    <w:p>
      <w:pPr>
        <w:rPr>
          <w:rFonts w:hint="default"/>
          <w:lang w:val="en-US" w:eastAsia="zh-CN"/>
        </w:rPr>
        <w:sectPr>
          <w:headerReference r:id="rId68" w:type="default"/>
          <w:footerReference r:id="rId69"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rPr>
          <w:rFonts w:hint="default"/>
          <w:lang w:val="en-US" w:eastAsia="zh-CN"/>
        </w:rPr>
      </w:pPr>
      <w:r>
        <w:drawing>
          <wp:anchor distT="0" distB="0" distL="0" distR="0" simplePos="0" relativeHeight="251805696" behindDoc="0" locked="0" layoutInCell="1" allowOverlap="1">
            <wp:simplePos x="0" y="0"/>
            <wp:positionH relativeFrom="column">
              <wp:posOffset>-302260</wp:posOffset>
            </wp:positionH>
            <wp:positionV relativeFrom="paragraph">
              <wp:posOffset>138430</wp:posOffset>
            </wp:positionV>
            <wp:extent cx="5882005" cy="7377430"/>
            <wp:effectExtent l="12700" t="12700" r="29845" b="20320"/>
            <wp:wrapNone/>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180" cstate="print">
                      <a:extLst>
                        <a:ext uri="{28A0092B-C50C-407E-A947-70E740481C1C}">
                          <a14:useLocalDpi xmlns:a14="http://schemas.microsoft.com/office/drawing/2010/main" val="0"/>
                        </a:ext>
                      </a:extLst>
                    </a:blip>
                    <a:srcRect l="3966" t="3282"/>
                    <a:stretch>
                      <a:fillRect/>
                    </a:stretch>
                  </pic:blipFill>
                  <pic:spPr>
                    <a:xfrm>
                      <a:off x="0" y="0"/>
                      <a:ext cx="5882005" cy="7377430"/>
                    </a:xfrm>
                    <a:prstGeom prst="rect">
                      <a:avLst/>
                    </a:prstGeom>
                    <a:ln w="12700" cap="flat" cmpd="sng" algn="ctr">
                      <a:solidFill>
                        <a:sysClr val="windowText" lastClr="000000"/>
                      </a:solidFill>
                      <a:prstDash val="solid"/>
                      <a:round/>
                      <a:headEnd type="none" w="med" len="med"/>
                      <a:tailEnd type="none" w="med" len="med"/>
                    </a:ln>
                  </pic:spPr>
                </pic:pic>
              </a:graphicData>
            </a:graphic>
          </wp:anchor>
        </w:drawing>
      </w:r>
    </w:p>
    <w:p>
      <w:pPr>
        <w:pStyle w:val="17"/>
        <w:ind w:left="0" w:leftChars="0" w:firstLine="0" w:firstLineChars="0"/>
        <w:jc w:val="center"/>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r>
        <w:rPr>
          <w:sz w:val="21"/>
        </w:rPr>
        <mc:AlternateContent>
          <mc:Choice Requires="wps">
            <w:drawing>
              <wp:anchor distT="0" distB="0" distL="114300" distR="114300" simplePos="0" relativeHeight="251807744" behindDoc="0" locked="0" layoutInCell="1" allowOverlap="1">
                <wp:simplePos x="0" y="0"/>
                <wp:positionH relativeFrom="column">
                  <wp:posOffset>178435</wp:posOffset>
                </wp:positionH>
                <wp:positionV relativeFrom="paragraph">
                  <wp:posOffset>140335</wp:posOffset>
                </wp:positionV>
                <wp:extent cx="793750" cy="309245"/>
                <wp:effectExtent l="6350" t="6350" r="19050" b="389255"/>
                <wp:wrapNone/>
                <wp:docPr id="291" name="圆角矩形标注 291"/>
                <wp:cNvGraphicFramePr/>
                <a:graphic xmlns:a="http://schemas.openxmlformats.org/drawingml/2006/main">
                  <a:graphicData uri="http://schemas.microsoft.com/office/word/2010/wordprocessingShape">
                    <wps:wsp>
                      <wps:cNvSpPr/>
                      <wps:spPr>
                        <a:xfrm>
                          <a:off x="1321435" y="2242820"/>
                          <a:ext cx="793750" cy="309245"/>
                        </a:xfrm>
                        <a:prstGeom prst="wedgeRoundRectCallout">
                          <a:avLst>
                            <a:gd name="adj1" fmla="val 11680"/>
                            <a:gd name="adj2" fmla="val 165400"/>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FF0000"/>
                                <w:sz w:val="20"/>
                                <w:szCs w:val="20"/>
                                <w:highlight w:val="yellow"/>
                                <w:lang w:val="en-US" w:eastAsia="zh-CN"/>
                              </w:rPr>
                            </w:pPr>
                            <w:r>
                              <w:rPr>
                                <w:rFonts w:hint="eastAsia"/>
                                <w:b/>
                                <w:bCs/>
                                <w:color w:val="FF0000"/>
                                <w:sz w:val="20"/>
                                <w:szCs w:val="20"/>
                                <w:highlight w:val="yellow"/>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05pt;margin-top:11.05pt;height:24.35pt;width:62.5pt;z-index:251807744;v-text-anchor:middle;mso-width-relative:page;mso-height-relative:page;" filled="f" stroked="t" coordsize="21600,21600" o:gfxdata="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lNx8k1wAAAAgBAAAPAAAAAAAAAAEAIAAAACIAAABkcnMv&#10;ZG93bnJldi54bWxQSwECFAAUAAAACACHTuJAuVQW7K8CAAAqBQAADgAAAAAAAAABACAAAAAmAQAA&#10;ZHJzL2Uyb0RvYy54bWxQSwUGAAAAAAYABgBZAQAARwYAAAAA&#10;" adj="13323,46526,14400">
                <v:fill on="f" focussize="0,0"/>
                <v:stroke weight="1pt" color="#FF0000 [3204]" miterlimit="8" joinstyle="miter"/>
                <v:imagedata o:title=""/>
                <o:lock v:ext="edit" aspectratio="f"/>
                <v:textbox>
                  <w:txbxContent>
                    <w:p>
                      <w:pPr>
                        <w:jc w:val="center"/>
                        <w:rPr>
                          <w:rFonts w:hint="eastAsia" w:eastAsia="宋体"/>
                          <w:b/>
                          <w:bCs/>
                          <w:color w:val="FF0000"/>
                          <w:sz w:val="20"/>
                          <w:szCs w:val="20"/>
                          <w:highlight w:val="yellow"/>
                          <w:lang w:val="en-US" w:eastAsia="zh-CN"/>
                        </w:rPr>
                      </w:pPr>
                      <w:r>
                        <w:rPr>
                          <w:rFonts w:hint="eastAsia"/>
                          <w:b/>
                          <w:bCs/>
                          <w:color w:val="FF0000"/>
                          <w:sz w:val="20"/>
                          <w:szCs w:val="20"/>
                          <w:highlight w:val="yellow"/>
                          <w:lang w:val="en-US" w:eastAsia="zh-CN"/>
                        </w:rPr>
                        <w:t>项目位置</w:t>
                      </w:r>
                    </w:p>
                  </w:txbxContent>
                </v:textbox>
              </v:shape>
            </w:pict>
          </mc:Fallback>
        </mc:AlternateContent>
      </w:r>
    </w:p>
    <w:p>
      <w:pPr>
        <w:rPr>
          <w:rFonts w:hint="default"/>
          <w:lang w:val="en-US" w:eastAsia="zh-CN"/>
        </w:rPr>
      </w:pPr>
    </w:p>
    <w:p>
      <w:pPr>
        <w:pStyle w:val="2"/>
        <w:rPr>
          <w:rFonts w:hint="default"/>
          <w:lang w:val="en-US" w:eastAsia="zh-CN"/>
        </w:rPr>
      </w:pPr>
    </w:p>
    <w:p>
      <w:pPr>
        <w:pStyle w:val="17"/>
        <w:rPr>
          <w:rFonts w:hint="default"/>
          <w:lang w:val="en-US" w:eastAsia="zh-CN"/>
        </w:rPr>
      </w:pPr>
      <w:r>
        <w:rPr>
          <w:sz w:val="21"/>
        </w:rPr>
        <mc:AlternateContent>
          <mc:Choice Requires="wps">
            <w:drawing>
              <wp:anchor distT="0" distB="0" distL="114300" distR="114300" simplePos="0" relativeHeight="251806720" behindDoc="0" locked="0" layoutInCell="1" allowOverlap="1">
                <wp:simplePos x="0" y="0"/>
                <wp:positionH relativeFrom="column">
                  <wp:posOffset>622935</wp:posOffset>
                </wp:positionH>
                <wp:positionV relativeFrom="paragraph">
                  <wp:posOffset>19050</wp:posOffset>
                </wp:positionV>
                <wp:extent cx="71120" cy="83820"/>
                <wp:effectExtent l="6350" t="6350" r="17780" b="24130"/>
                <wp:wrapNone/>
                <wp:docPr id="290" name="任意多边形 290"/>
                <wp:cNvGraphicFramePr/>
                <a:graphic xmlns:a="http://schemas.openxmlformats.org/drawingml/2006/main">
                  <a:graphicData uri="http://schemas.microsoft.com/office/word/2010/wordprocessingShape">
                    <wps:wsp>
                      <wps:cNvSpPr/>
                      <wps:spPr>
                        <a:xfrm>
                          <a:off x="1765935" y="2868930"/>
                          <a:ext cx="71120" cy="83820"/>
                        </a:xfrm>
                        <a:custGeom>
                          <a:avLst/>
                          <a:gdLst>
                            <a:gd name="connisteX0" fmla="*/ 3810 w 71120"/>
                            <a:gd name="connsiteY0" fmla="*/ 0 h 83820"/>
                            <a:gd name="connisteX1" fmla="*/ 0 w 71120"/>
                            <a:gd name="connsiteY1" fmla="*/ 83820 h 83820"/>
                            <a:gd name="connisteX2" fmla="*/ 67310 w 71120"/>
                            <a:gd name="connsiteY2" fmla="*/ 83820 h 83820"/>
                            <a:gd name="connisteX3" fmla="*/ 71120 w 71120"/>
                            <a:gd name="connsiteY3" fmla="*/ 0 h 83820"/>
                            <a:gd name="connisteX4" fmla="*/ 3810 w 71120"/>
                            <a:gd name="connsiteY4" fmla="*/ 0 h 8382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1120" h="83820">
                              <a:moveTo>
                                <a:pt x="3810" y="0"/>
                              </a:moveTo>
                              <a:lnTo>
                                <a:pt x="0" y="83820"/>
                              </a:lnTo>
                              <a:lnTo>
                                <a:pt x="67310" y="83820"/>
                              </a:lnTo>
                              <a:lnTo>
                                <a:pt x="71120" y="0"/>
                              </a:lnTo>
                              <a:lnTo>
                                <a:pt x="3810" y="0"/>
                              </a:lnTo>
                              <a:close/>
                            </a:path>
                          </a:pathLst>
                        </a:cu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9.05pt;margin-top:1.5pt;height:6.6pt;width:5.6pt;z-index:251806720;mso-width-relative:page;mso-height-relative:page;" fillcolor="#FF0000" filled="t" stroked="t" coordsize="71120,83820" o:gfxdata="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&#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A9nHja1wAAAAcBAAAPAAAAAAAAAAEAIAAAACIAAABk&#10;cnMvZG93bnJldi54bWxQSwECFAAUAAAACACHTuJAJW/SEesCAAADCAAADgAAAAAAAAABACAAAAAm&#10;AQAAZHJzL2Uyb0RvYy54bWxQSwUGAAAAAAYABgBZAQAAgwYAAAAA&#10;" path="m3810,0l0,83820,67310,83820,71120,0,3810,0xe">
                <v:path o:connectlocs="3810,0;0,83820;67310,83820;71120,0;3810,0" o:connectangles="0,0,0,0,0"/>
                <v:fill on="t" focussize="0,0"/>
                <v:stroke weight="1pt" color="#FF0000 [3204]" miterlimit="8" joinstyle="miter"/>
                <v:imagedata o:title=""/>
                <o:lock v:ext="edit" aspectratio="f"/>
              </v:shape>
            </w:pict>
          </mc:Fallback>
        </mc:AlternateContent>
      </w: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jc w:val="center"/>
        <w:rPr>
          <w:rFonts w:ascii="Times New Roman" w:hAnsi="Times New Roman" w:cs="Times New Roman"/>
          <w:b/>
          <w:sz w:val="24"/>
          <w:szCs w:val="24"/>
        </w:rPr>
      </w:pPr>
      <w:r>
        <w:rPr>
          <w:rFonts w:ascii="Times New Roman" w:cs="Times New Roman"/>
          <w:b/>
          <w:sz w:val="24"/>
          <w:szCs w:val="24"/>
        </w:rPr>
        <w:t>图</w:t>
      </w:r>
      <w:r>
        <w:rPr>
          <w:rFonts w:hint="eastAsia" w:ascii="Times New Roman" w:cs="Times New Roman"/>
          <w:b/>
          <w:sz w:val="24"/>
          <w:szCs w:val="24"/>
          <w:lang w:val="en-US" w:eastAsia="zh-CN"/>
        </w:rPr>
        <w:t>8.1-</w:t>
      </w:r>
      <w:r>
        <w:rPr>
          <w:rFonts w:hint="eastAsia" w:ascii="Times New Roman" w:hAnsi="Times New Roman" w:cs="Times New Roman"/>
          <w:b/>
          <w:sz w:val="24"/>
          <w:szCs w:val="24"/>
          <w:lang w:val="en-US" w:eastAsia="zh-CN"/>
        </w:rPr>
        <w:t>1</w:t>
      </w:r>
      <w:r>
        <w:rPr>
          <w:rFonts w:ascii="Times New Roman" w:hAnsi="Times New Roman" w:cs="Times New Roman"/>
          <w:b/>
          <w:sz w:val="24"/>
          <w:szCs w:val="24"/>
        </w:rPr>
        <w:t xml:space="preserve"> </w:t>
      </w:r>
      <w:r>
        <w:rPr>
          <w:rFonts w:ascii="Times New Roman" w:cs="Times New Roman"/>
          <w:b/>
          <w:sz w:val="24"/>
          <w:szCs w:val="24"/>
        </w:rPr>
        <w:t>桓台县城乡总体规划图</w:t>
      </w:r>
    </w:p>
    <w:p>
      <w:pPr>
        <w:pStyle w:val="2"/>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color w:val="auto"/>
          <w:sz w:val="24"/>
          <w:szCs w:val="24"/>
          <w:highlight w:val="none"/>
          <w:lang w:val="en-US" w:eastAsia="zh-CN"/>
        </w:rPr>
        <w:t>8.1.3.2</w:t>
      </w:r>
      <w:r>
        <w:rPr>
          <w:rFonts w:hint="eastAsia" w:ascii="Times New Roman" w:hAnsi="Times New Roman"/>
          <w:b/>
          <w:bCs/>
          <w:color w:val="auto"/>
          <w:sz w:val="24"/>
          <w:szCs w:val="24"/>
          <w:highlight w:val="none"/>
          <w:lang w:val="en-US" w:eastAsia="zh-CN"/>
        </w:rPr>
        <w:t>与《桓台县土地利用总体规划（2006-2020）》符合性分析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按照差别化分工、错位发展原则，科学合理确定城镇职能分工，以县城中心城区为重点发展地带，以重点镇为支撑，形成职能分工明确、规模结构合理、空间地域分布协调、社会经济联系紧密的“一心、三组团、两镇”的城镇空间结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一心”：即中心城区，包括索镇、果里、唐山；中心城区主要承担县域政治、经济、文化、科技中心，商贸物流和金融、科技等现代服务业中心，是氟硅新材料、电子信息、精细化工、现代机械制造基地。以向南与向西发展为主，形成“东接、北调、西延、南连、中提升”的发展格局。</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三组团”：马桥组团，主要职能是县域重要工业镇，石油炼化及精细化工、高端造纸及印刷包装基地；新城组团主要职能是历史人文旅游，都市农业基地；起凤组团主要职能是生态旅游，健康产业及休闲度假基地。</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“两镇”：田庄镇和荆家镇，主要职能是服务现代都市农业，建立特色高效农</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业基地。</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项目位于马桥化工产业园内，用地类型为工业用地，用地符合桓台县土地利用总体规划。</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color w:val="auto"/>
          <w:sz w:val="24"/>
          <w:szCs w:val="24"/>
          <w:highlight w:val="none"/>
          <w:lang w:val="en-US" w:eastAsia="zh-CN"/>
        </w:rPr>
        <w:t>8.1.3.3</w:t>
      </w:r>
      <w:r>
        <w:rPr>
          <w:rFonts w:hint="eastAsia" w:ascii="Times New Roman" w:hAnsi="Times New Roman"/>
          <w:b/>
          <w:bCs/>
          <w:color w:val="auto"/>
          <w:sz w:val="24"/>
          <w:szCs w:val="24"/>
          <w:highlight w:val="none"/>
          <w:lang w:val="en-US" w:eastAsia="zh-CN"/>
        </w:rPr>
        <w:t>与《桓台县马桥镇总体规划（2011-2030）》符合性分析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为落实科学发展观，统筹城乡发展，按照高起点规划、高标准建设、高水平管理的要求，依照《中华人民共和国城乡规划法》，马桥镇人民政府组织编制了《桓台县马桥镇总体规划（2011-2030）》，该规划于2011年12月29日桓政字[2011]63号通过了批复。《桓台县马桥镇总体规划（2011-2030年）》确定马桥镇的城镇性质为：以石油炼化及化工、纸业及包装印刷等产业为主导，生态和谐、宜居宜业的新型中心镇。</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马桥镇总体规划确定的总体布局结构可以概括为“一核、两轴、四组团”。“一核”：新兴综合核心；“两轴”：生态发展轴、城镇发展轴；“四组团”：综合服务组团、生态文化组团、石油炼化及精细化工组团、高档纸业及包装印刷组团。</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为更好的指导马桥镇发展，马桥镇人民政府委托山东省城乡规划规划设计研究院对马桥镇总体规划进行修编，目前《马桥镇总体规划（2017-2035年）》已修编完成。桓台县规划局已出具证明文件，明确调整后的《马桥化工产业园总体发展规划（2017-2035年）》符合调整后的《马桥镇总体规划（2017-2035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sz w:val="24"/>
          <w:szCs w:val="24"/>
          <w:lang w:val="en-US" w:eastAsia="zh-CN"/>
        </w:rPr>
        <w:t>桓台县土地利用总体规划图（2006-2020）见图</w:t>
      </w:r>
      <w:r>
        <w:rPr>
          <w:rFonts w:hint="eastAsia" w:ascii="Times New Roman" w:hAnsi="Times New Roman"/>
          <w:sz w:val="24"/>
          <w:szCs w:val="24"/>
          <w:lang w:val="en-US" w:eastAsia="zh-CN"/>
        </w:rPr>
        <w:t>8.1</w:t>
      </w:r>
      <w:r>
        <w:rPr>
          <w:rFonts w:hint="default" w:ascii="Times New Roman" w:hAnsi="Times New Roman"/>
          <w:sz w:val="24"/>
          <w:szCs w:val="24"/>
          <w:lang w:val="en-US" w:eastAsia="zh-CN"/>
        </w:rPr>
        <w:t>-</w:t>
      </w:r>
      <w:r>
        <w:rPr>
          <w:rFonts w:hint="eastAsia" w:ascii="Times New Roman" w:hAnsi="Times New Roman"/>
          <w:sz w:val="24"/>
          <w:szCs w:val="24"/>
          <w:lang w:val="en-US" w:eastAsia="zh-CN"/>
        </w:rPr>
        <w:t>2</w:t>
      </w:r>
      <w:r>
        <w:rPr>
          <w:rFonts w:hint="default" w:ascii="Times New Roman" w:hAnsi="Times New Roman"/>
          <w:sz w:val="24"/>
          <w:szCs w:val="24"/>
          <w:lang w:val="en-US" w:eastAsia="zh-CN"/>
        </w:rPr>
        <w:t>。</w:t>
      </w:r>
    </w:p>
    <w:p>
      <w:pPr>
        <w:rPr>
          <w:rFonts w:hint="default"/>
          <w:lang w:val="en-US" w:eastAsia="zh-CN"/>
        </w:rPr>
      </w:pPr>
      <w:r>
        <w:rPr>
          <w:sz w:val="21"/>
        </w:rPr>
        <mc:AlternateContent>
          <mc:Choice Requires="wps">
            <w:drawing>
              <wp:anchor distT="0" distB="0" distL="114300" distR="114300" simplePos="0" relativeHeight="251810816" behindDoc="0" locked="0" layoutInCell="1" allowOverlap="1">
                <wp:simplePos x="0" y="0"/>
                <wp:positionH relativeFrom="column">
                  <wp:posOffset>2379345</wp:posOffset>
                </wp:positionH>
                <wp:positionV relativeFrom="paragraph">
                  <wp:posOffset>-182880</wp:posOffset>
                </wp:positionV>
                <wp:extent cx="793750" cy="309245"/>
                <wp:effectExtent l="6350" t="6350" r="19050" b="579755"/>
                <wp:wrapNone/>
                <wp:docPr id="295" name="圆角矩形标注 295"/>
                <wp:cNvGraphicFramePr/>
                <a:graphic xmlns:a="http://schemas.openxmlformats.org/drawingml/2006/main">
                  <a:graphicData uri="http://schemas.microsoft.com/office/word/2010/wordprocessingShape">
                    <wps:wsp>
                      <wps:cNvSpPr/>
                      <wps:spPr>
                        <a:xfrm>
                          <a:off x="0" y="0"/>
                          <a:ext cx="793750" cy="309245"/>
                        </a:xfrm>
                        <a:prstGeom prst="wedgeRoundRectCallout">
                          <a:avLst>
                            <a:gd name="adj1" fmla="val 29360"/>
                            <a:gd name="adj2" fmla="val 223305"/>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FF0000"/>
                                <w:sz w:val="20"/>
                                <w:szCs w:val="20"/>
                                <w:highlight w:val="yellow"/>
                                <w:lang w:val="en-US" w:eastAsia="zh-CN"/>
                              </w:rPr>
                            </w:pPr>
                            <w:r>
                              <w:rPr>
                                <w:rFonts w:hint="eastAsia"/>
                                <w:b/>
                                <w:bCs/>
                                <w:color w:val="FF0000"/>
                                <w:sz w:val="20"/>
                                <w:szCs w:val="20"/>
                                <w:highlight w:val="yellow"/>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87.35pt;margin-top:-14.4pt;height:24.35pt;width:62.5pt;z-index:251810816;v-text-anchor:middle;mso-width-relative:page;mso-height-relative:page;" filled="f" stroked="t" coordsize="21600,21600" o:gfxdata="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4lAI+2gAAAAoBAAAPAAAAAAAAAAEAIAAAACIAAABkcnMvZG93&#10;bnJldi54bWxQSwECFAAUAAAACACHTuJA9Cd/vakCAAAeBQAADgAAAAAAAAABACAAAAApAQAAZHJz&#10;L2Uyb0RvYy54bWxQSwUGAAAAAAYABgBZAQAARAYAAAAA&#10;" adj="17142,59034,14400">
                <v:fill on="f" focussize="0,0"/>
                <v:stroke weight="1pt" color="#FF0000 [3204]" miterlimit="8" joinstyle="miter"/>
                <v:imagedata o:title=""/>
                <o:lock v:ext="edit" aspectratio="f"/>
                <v:textbox>
                  <w:txbxContent>
                    <w:p>
                      <w:pPr>
                        <w:jc w:val="center"/>
                        <w:rPr>
                          <w:rFonts w:hint="eastAsia" w:eastAsia="宋体"/>
                          <w:b/>
                          <w:bCs/>
                          <w:color w:val="FF0000"/>
                          <w:sz w:val="20"/>
                          <w:szCs w:val="20"/>
                          <w:highlight w:val="yellow"/>
                          <w:lang w:val="en-US" w:eastAsia="zh-CN"/>
                        </w:rPr>
                      </w:pPr>
                      <w:r>
                        <w:rPr>
                          <w:rFonts w:hint="eastAsia"/>
                          <w:b/>
                          <w:bCs/>
                          <w:color w:val="FF0000"/>
                          <w:sz w:val="20"/>
                          <w:szCs w:val="20"/>
                          <w:highlight w:val="yellow"/>
                          <w:lang w:val="en-US" w:eastAsia="zh-CN"/>
                        </w:rPr>
                        <w:t>项目位置</w:t>
                      </w:r>
                    </w:p>
                  </w:txbxContent>
                </v:textbox>
              </v:shape>
            </w:pict>
          </mc:Fallback>
        </mc:AlternateContent>
      </w:r>
      <w:r>
        <w:rPr>
          <w:color w:val="000000" w:themeColor="text1"/>
          <w14:textFill>
            <w14:solidFill>
              <w14:schemeClr w14:val="tx1"/>
            </w14:solidFill>
          </w14:textFill>
        </w:rPr>
        <w:drawing>
          <wp:anchor distT="0" distB="0" distL="0" distR="0" simplePos="0" relativeHeight="251808768" behindDoc="0" locked="0" layoutInCell="1" allowOverlap="1">
            <wp:simplePos x="0" y="0"/>
            <wp:positionH relativeFrom="column">
              <wp:posOffset>901700</wp:posOffset>
            </wp:positionH>
            <wp:positionV relativeFrom="paragraph">
              <wp:posOffset>-306070</wp:posOffset>
            </wp:positionV>
            <wp:extent cx="7031355" cy="4950460"/>
            <wp:effectExtent l="0" t="0" r="17145" b="2540"/>
            <wp:wrapNone/>
            <wp:docPr id="293" name="图片 293" descr="C:\Users\Administrator\Desktop\12.pn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C:\Users\Administrator\Desktop\12.png12"/>
                    <pic:cNvPicPr>
                      <a:picLocks noChangeAspect="1" noChangeArrowheads="1"/>
                    </pic:cNvPicPr>
                  </pic:nvPicPr>
                  <pic:blipFill>
                    <a:blip r:embed="rId181"/>
                    <a:srcRect/>
                    <a:stretch>
                      <a:fillRect/>
                    </a:stretch>
                  </pic:blipFill>
                  <pic:spPr>
                    <a:xfrm>
                      <a:off x="0" y="0"/>
                      <a:ext cx="7031507" cy="4950460"/>
                    </a:xfrm>
                    <a:prstGeom prst="rect">
                      <a:avLst/>
                    </a:prstGeom>
                    <a:noFill/>
                    <a:ln>
                      <a:noFill/>
                    </a:ln>
                  </pic:spPr>
                </pic:pic>
              </a:graphicData>
            </a:graphic>
          </wp:anchor>
        </w:drawing>
      </w:r>
    </w:p>
    <w:p>
      <w:pPr>
        <w:rPr>
          <w:rFonts w:hint="default"/>
          <w:lang w:val="en-US" w:eastAsia="zh-CN"/>
        </w:rPr>
      </w:pPr>
    </w:p>
    <w:p>
      <w:pPr>
        <w:rPr>
          <w:rFonts w:hint="default"/>
          <w:lang w:val="en-US" w:eastAsia="zh-CN"/>
        </w:rPr>
      </w:pPr>
    </w:p>
    <w:p>
      <w:pPr>
        <w:rPr>
          <w:rFonts w:hint="default"/>
          <w:lang w:val="en-US" w:eastAsia="zh-CN"/>
        </w:rPr>
      </w:pPr>
      <w:r>
        <w:rPr>
          <w:sz w:val="21"/>
        </w:rPr>
        <mc:AlternateContent>
          <mc:Choice Requires="wps">
            <w:drawing>
              <wp:anchor distT="0" distB="0" distL="114300" distR="114300" simplePos="0" relativeHeight="251809792" behindDoc="0" locked="0" layoutInCell="1" allowOverlap="1">
                <wp:simplePos x="0" y="0"/>
                <wp:positionH relativeFrom="column">
                  <wp:posOffset>2901315</wp:posOffset>
                </wp:positionH>
                <wp:positionV relativeFrom="paragraph">
                  <wp:posOffset>106680</wp:posOffset>
                </wp:positionV>
                <wp:extent cx="179070" cy="134620"/>
                <wp:effectExtent l="6350" t="6350" r="24130" b="11430"/>
                <wp:wrapNone/>
                <wp:docPr id="294" name="矩形 294"/>
                <wp:cNvGraphicFramePr/>
                <a:graphic xmlns:a="http://schemas.openxmlformats.org/drawingml/2006/main">
                  <a:graphicData uri="http://schemas.microsoft.com/office/word/2010/wordprocessingShape">
                    <wps:wsp>
                      <wps:cNvSpPr/>
                      <wps:spPr>
                        <a:xfrm>
                          <a:off x="3821430" y="1849755"/>
                          <a:ext cx="179070" cy="13462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8.45pt;margin-top:8.4pt;height:10.6pt;width:14.1pt;z-index:251809792;v-text-anchor:middle;mso-width-relative:page;mso-height-relative:page;" fillcolor="#FF0000" filled="t" stroked="t" coordsize="21600,21600" o:gfxdata="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vusyY1wAAAAkBAAAPAAAAAAAAAAEAIAAAACIAAABkcnMvZG93bnJldi54bWxQSwECFAAUAAAA&#10;CACHTuJASlExUGECAAC1BAAADgAAAAAAAAABACAAAAAmAQAAZHJzL2Uyb0RvYy54bWxQSwUGAAAA&#10;AAYABgBZAQAA+QUAAAAA&#10;">
                <v:fill on="t" focussize="0,0"/>
                <v:stroke weight="1pt" color="#FF0000 [3204]" miterlimit="8" joinstyle="miter"/>
                <v:imagedata o:title=""/>
                <o:lock v:ext="edit" aspectratio="f"/>
              </v:rect>
            </w:pict>
          </mc:Fallback>
        </mc:AlternateConten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jc w:val="center"/>
        <w:rPr>
          <w:rFonts w:ascii="Times New Roman" w:hAnsi="Times New Roman" w:cs="Times New Roman"/>
          <w:b/>
          <w:sz w:val="24"/>
          <w:szCs w:val="24"/>
        </w:rPr>
      </w:pPr>
      <w:r>
        <w:rPr>
          <w:rFonts w:ascii="Times New Roman" w:cs="Times New Roman"/>
          <w:b/>
          <w:sz w:val="24"/>
          <w:szCs w:val="24"/>
        </w:rPr>
        <w:t>图</w:t>
      </w:r>
      <w:r>
        <w:rPr>
          <w:rFonts w:hint="eastAsia" w:ascii="Times New Roman" w:cs="Times New Roman"/>
          <w:b/>
          <w:sz w:val="24"/>
          <w:szCs w:val="24"/>
          <w:lang w:val="en-US" w:eastAsia="zh-CN"/>
        </w:rPr>
        <w:t>8.1-</w:t>
      </w:r>
      <w:r>
        <w:rPr>
          <w:rFonts w:hint="eastAsia" w:ascii="Times New Roman" w:hAnsi="Times New Roman" w:cs="Times New Roman"/>
          <w:b/>
          <w:sz w:val="24"/>
          <w:szCs w:val="24"/>
          <w:lang w:val="en-US" w:eastAsia="zh-CN"/>
        </w:rPr>
        <w:t>2</w:t>
      </w:r>
      <w:r>
        <w:rPr>
          <w:rFonts w:ascii="Times New Roman" w:hAnsi="Times New Roman" w:cs="Times New Roman"/>
          <w:b/>
          <w:sz w:val="24"/>
          <w:szCs w:val="24"/>
        </w:rPr>
        <w:t xml:space="preserve"> </w:t>
      </w:r>
      <w:r>
        <w:rPr>
          <w:rFonts w:hint="eastAsia" w:ascii="Times New Roman" w:cs="Times New Roman"/>
          <w:b/>
          <w:sz w:val="24"/>
          <w:szCs w:val="24"/>
        </w:rPr>
        <w:t>桓台县土地利用总体规划</w:t>
      </w:r>
      <w:r>
        <w:rPr>
          <w:rFonts w:ascii="Times New Roman" w:cs="Times New Roman"/>
          <w:b/>
          <w:sz w:val="24"/>
          <w:szCs w:val="24"/>
        </w:rPr>
        <w:t>图</w:t>
      </w:r>
    </w:p>
    <w:p>
      <w:pPr>
        <w:pStyle w:val="17"/>
        <w:ind w:left="0" w:leftChars="0" w:firstLine="0" w:firstLineChars="0"/>
        <w:rPr>
          <w:rFonts w:hint="default"/>
          <w:lang w:val="en-US" w:eastAsia="zh-CN"/>
        </w:rPr>
        <w:sectPr>
          <w:headerReference r:id="rId70" w:type="default"/>
          <w:footerReference r:id="rId71"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color w:val="auto"/>
          <w:sz w:val="24"/>
          <w:szCs w:val="24"/>
          <w:highlight w:val="none"/>
          <w:lang w:val="en-US" w:eastAsia="zh-CN"/>
        </w:rPr>
        <w:t>8.1.3.4</w:t>
      </w:r>
      <w:r>
        <w:rPr>
          <w:rFonts w:hint="eastAsia" w:ascii="Times New Roman" w:hAnsi="Times New Roman"/>
          <w:b/>
          <w:bCs/>
          <w:color w:val="auto"/>
          <w:sz w:val="24"/>
          <w:szCs w:val="24"/>
          <w:highlight w:val="none"/>
          <w:lang w:val="en-US" w:eastAsia="zh-CN"/>
        </w:rPr>
        <w:t>与马桥化工产业园总体发展规划（2017-2035年）的符合性分析</w:t>
      </w:r>
    </w:p>
    <w:p>
      <w:pPr>
        <w:adjustRightInd w:val="0"/>
        <w:snapToGrid w:val="0"/>
        <w:spacing w:line="360" w:lineRule="auto"/>
        <w:ind w:firstLine="480" w:firstLineChars="200"/>
        <w:rPr>
          <w:rFonts w:ascii="Times New Roman" w:hAnsi="Times New Roman" w:eastAsia="宋体" w:cs="Times New Roman"/>
          <w:color w:val="000000" w:themeColor="text1"/>
          <w:sz w:val="24"/>
          <w:szCs w:val="24"/>
          <w:lang w:val="zh-CN" w:eastAsia="zh-CN"/>
          <w14:textFill>
            <w14:solidFill>
              <w14:schemeClr w14:val="tx1"/>
            </w14:solidFill>
          </w14:textFill>
        </w:rPr>
      </w:pPr>
      <w:r>
        <w:rPr>
          <w:rFonts w:ascii="Times New Roman" w:hAnsi="Times New Roman" w:eastAsia="宋体" w:cs="Times New Roman"/>
          <w:color w:val="000000" w:themeColor="text1"/>
          <w:sz w:val="24"/>
          <w:szCs w:val="24"/>
          <w:lang w:val="zh-CN" w:eastAsia="zh-CN"/>
          <w14:textFill>
            <w14:solidFill>
              <w14:schemeClr w14:val="tx1"/>
            </w14:solidFill>
          </w14:textFill>
        </w:rPr>
        <w:t>马桥化工产业园原为马桥工业集中区，根据《桓台县城市总体规划》和《桓台县马桥镇总体规划（2011-2030年）》中发展规划，桓台县人民政府于2011年4月以“桓政字[2011]48号”批准设立马桥工业集中区，马桥镇人民政府委托编制了《马桥工业集中区总体规划（2011-2030年）》。2012年7月30日，桓台县环境保护局以桓环许字[2012]113号出具了《关于马桥工业集中区环境影响报告书的审查意见》。</w:t>
      </w:r>
    </w:p>
    <w:p>
      <w:pPr>
        <w:adjustRightInd w:val="0"/>
        <w:snapToGrid w:val="0"/>
        <w:spacing w:line="360" w:lineRule="auto"/>
        <w:ind w:firstLine="480" w:firstLineChars="200"/>
        <w:rPr>
          <w:rFonts w:ascii="Times New Roman" w:hAnsi="Times New Roman" w:eastAsia="宋体" w:cs="Times New Roman"/>
          <w:color w:val="000000" w:themeColor="text1"/>
          <w:sz w:val="24"/>
          <w:szCs w:val="24"/>
          <w:lang w:val="zh-CN" w:eastAsia="zh-CN"/>
          <w14:textFill>
            <w14:solidFill>
              <w14:schemeClr w14:val="tx1"/>
            </w14:solidFill>
          </w14:textFill>
        </w:rPr>
      </w:pPr>
      <w:r>
        <w:rPr>
          <w:rFonts w:ascii="Times New Roman" w:hAnsi="Times New Roman" w:eastAsia="宋体" w:cs="Times New Roman"/>
          <w:color w:val="000000" w:themeColor="text1"/>
          <w:sz w:val="24"/>
          <w:szCs w:val="24"/>
          <w:lang w:val="zh-CN" w:eastAsia="zh-CN"/>
          <w14:textFill>
            <w14:solidFill>
              <w14:schemeClr w14:val="tx1"/>
            </w14:solidFill>
          </w14:textFill>
        </w:rPr>
        <w:t>2017年马桥镇人民政府委托修编了马桥镇总体规划《马桥镇总体规划（2017-2035年）》，为更好的与上位规划相协调，桓台县人民政府以</w:t>
      </w:r>
      <w:r>
        <w:rPr>
          <w:rFonts w:hint="eastAsia" w:ascii="Times New Roman" w:hAnsi="Times New Roman" w:eastAsia="宋体" w:cs="Times New Roman"/>
          <w:color w:val="000000" w:themeColor="text1"/>
          <w:sz w:val="24"/>
          <w:szCs w:val="24"/>
          <w:lang w:val="zh-CN"/>
          <w14:textFill>
            <w14:solidFill>
              <w14:schemeClr w14:val="tx1"/>
            </w14:solidFill>
          </w14:textFill>
        </w:rPr>
        <w:t>“</w:t>
      </w:r>
      <w:r>
        <w:rPr>
          <w:rFonts w:ascii="Times New Roman" w:hAnsi="Times New Roman" w:eastAsia="宋体" w:cs="Times New Roman"/>
          <w:color w:val="000000" w:themeColor="text1"/>
          <w:sz w:val="24"/>
          <w:szCs w:val="24"/>
          <w:lang w:val="zh-CN" w:eastAsia="zh-CN"/>
          <w14:textFill>
            <w14:solidFill>
              <w14:schemeClr w14:val="tx1"/>
            </w14:solidFill>
          </w14:textFill>
        </w:rPr>
        <w:t>桓政字[2017]107号</w:t>
      </w:r>
      <w:r>
        <w:rPr>
          <w:rFonts w:hint="eastAsia" w:ascii="Times New Roman" w:hAnsi="Times New Roman" w:eastAsia="宋体" w:cs="Times New Roman"/>
          <w:color w:val="000000" w:themeColor="text1"/>
          <w:sz w:val="24"/>
          <w:szCs w:val="24"/>
          <w:lang w:val="zh-CN"/>
          <w14:textFill>
            <w14:solidFill>
              <w14:schemeClr w14:val="tx1"/>
            </w14:solidFill>
          </w14:textFill>
        </w:rPr>
        <w:t>”</w:t>
      </w:r>
      <w:r>
        <w:rPr>
          <w:rFonts w:ascii="Times New Roman" w:hAnsi="Times New Roman" w:eastAsia="宋体" w:cs="Times New Roman"/>
          <w:color w:val="000000" w:themeColor="text1"/>
          <w:sz w:val="24"/>
          <w:szCs w:val="24"/>
          <w:lang w:val="zh-CN" w:eastAsia="zh-CN"/>
          <w14:textFill>
            <w14:solidFill>
              <w14:schemeClr w14:val="tx1"/>
            </w14:solidFill>
          </w14:textFill>
        </w:rPr>
        <w:t>对原马桥工业集中区进行了调整，同意成立马桥化工产业园，目前园区已于2017年12月24日取得规划环评批复（桓环许字[2017]822号）。园区规划范围东至高淄路、海力路，西至纵一路，北至横一路，南至S29连接线、镇界，规划面积16.65平方公里，产业发展方向为造纸、原油加工、化工新材料、专用化学品和医药产业。</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1、产业定位</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马桥化工产业园在现有工业基础上，重点发展原油加工、化工新材料、专用化学品、医药化工、纸业及印刷业，将园区建设为具有突出产业特色、品牌特色、技术特色和管理特色的循环经济园区。根据《国民经济行业分类》（GB/T4754-2017），主导产业涉及原油加工及石油制品制造（C2511）、基础化学原料制造（C261）、涂料油墨及类似品制造（C264）、专用化学品制造（C266）、医药制造业（C27）、造纸和纸制品业（C22）、印刷（C231）。</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2、规划布局与功能区划</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（1）规划布局</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结合现有工业基础，产业园规划共设置四个产业片区，分别为金诚石化区、海力化工区、博汇造纸区、医药化工区，配套热电中心、污水处理厂和仓储用地。</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（2）功能区划</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产业园规划范围内设置产业区、公用工程区、物流仓储区和预留发展区四大功能分区。各功能分区布局如下：</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①</w:t>
      </w:r>
      <w:r>
        <w:rPr>
          <w:rFonts w:ascii="Times New Roman" w:hAnsi="Times New Roman" w:cs="Times New Roman"/>
          <w:color w:val="000000" w:themeColor="text1"/>
          <w:sz w:val="24"/>
          <w:szCs w:val="24"/>
          <w14:textFill>
            <w14:solidFill>
              <w14:schemeClr w14:val="tx1"/>
            </w14:solidFill>
          </w14:textFill>
        </w:rPr>
        <w:t>产业区</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马桥化工产业园在产业上总体分为化工板块、造纸板块和医药化工板块，其中造纸产业区位于园区的东北部，化工板块分为海力化工区、金诚石化区，其中海力化工区和金诚石化区是在现有企业的基础上扩大规模发展，医药化工板块位于园区的西南部。</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②</w:t>
      </w:r>
      <w:r>
        <w:rPr>
          <w:rFonts w:ascii="Times New Roman" w:hAnsi="Times New Roman" w:cs="Times New Roman"/>
          <w:color w:val="000000" w:themeColor="text1"/>
          <w:sz w:val="24"/>
          <w:szCs w:val="24"/>
          <w14:textFill>
            <w14:solidFill>
              <w14:schemeClr w14:val="tx1"/>
            </w14:solidFill>
          </w14:textFill>
        </w:rPr>
        <w:t>公用工程</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热电中心：园区现有供热设施主要为山东天源热电有限公司，规划近期以现有热源点为集中热源。远期规划建设2×300MW级超临界供热发电机组，满足用热需求。</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变电站：园区在海力路以东、大成路以南现有一座110千伏变电站，规划近期在金诚石化区、海力化工区分别新建1座110千伏变电站，远期在北部预留发展用地内规划一座220千伏变电站。</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污水处理厂：园区现有污水处理设施包括博汇集团的三座污水处理厂和金诚石化一座污水处理厂。园区规划集中污水处理厂位于博汇污水处理厂西部，位于园区北部、地势较低处，处理达标的污水排至杏花河。</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消防站：园区近期依托园区大成路北面消防站，并规划在金诚石化区建设一座一级消防站，远期在园区管理服务区附近建设一座特勤消防站，消防站的位置可在下一步根据项目设施情况进行调整。</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③</w:t>
      </w:r>
      <w:r>
        <w:rPr>
          <w:rFonts w:ascii="Times New Roman" w:hAnsi="Times New Roman" w:cs="Times New Roman"/>
          <w:color w:val="000000" w:themeColor="text1"/>
          <w:sz w:val="24"/>
          <w:szCs w:val="24"/>
          <w14:textFill>
            <w14:solidFill>
              <w14:schemeClr w14:val="tx1"/>
            </w14:solidFill>
          </w14:textFill>
        </w:rPr>
        <w:t>物流仓储区</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物流仓储区根据外接铁路线的位置布局，马桥化工产业园规划一个物流仓储区，位于园区南部靠近桓台县货运站处，物流仓储区主要用于临时存放普通货物，禁止存放危险化学品。</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④</w:t>
      </w:r>
      <w:r>
        <w:rPr>
          <w:rFonts w:ascii="Times New Roman" w:hAnsi="Times New Roman" w:cs="Times New Roman"/>
          <w:color w:val="000000" w:themeColor="text1"/>
          <w:sz w:val="24"/>
          <w:szCs w:val="24"/>
          <w14:textFill>
            <w14:solidFill>
              <w14:schemeClr w14:val="tx1"/>
            </w14:solidFill>
          </w14:textFill>
        </w:rPr>
        <w:t>预留发展区</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园区为保持相应的发展弹性，将本次规划产业区之外的建设用地设置预留发展用地，其中，园区东和东部用地距离马桥镇的居民较近，适合布局环境友好的一、二类工业用地产业，南部可布局一般类化工项目，为今后发展储备多性质工业用地。同时，区内预留发展区可以承接符合园区发展定位的外部搬迁企业入园。区外预留发展区不纳入园区管理。</w:t>
      </w:r>
    </w:p>
    <w:p>
      <w:pPr>
        <w:adjustRightInd w:val="0"/>
        <w:snapToGrid w:val="0"/>
        <w:spacing w:line="360" w:lineRule="auto"/>
        <w:ind w:firstLine="480" w:firstLineChars="200"/>
        <w:rPr>
          <w:rFonts w:ascii="Times New Roman" w:hAnsi="Times New Roman" w:cs="Times New Roman"/>
          <w:color w:val="000000" w:themeColor="text1"/>
          <w:sz w:val="24"/>
          <w:szCs w:val="24"/>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本</w:t>
      </w:r>
      <w:r>
        <w:rPr>
          <w:rFonts w:ascii="Times New Roman" w:hAnsi="Times New Roman" w:cs="Times New Roman"/>
          <w:color w:val="000000" w:themeColor="text1"/>
          <w:sz w:val="24"/>
          <w:szCs w:val="24"/>
          <w14:textFill>
            <w14:solidFill>
              <w14:schemeClr w14:val="tx1"/>
            </w14:solidFill>
          </w14:textFill>
        </w:rPr>
        <w:t>项目位于马桥化工产业园</w:t>
      </w:r>
      <w:r>
        <w:rPr>
          <w:rFonts w:hint="eastAsia" w:ascii="Times New Roman" w:hAnsi="Times New Roman" w:cs="Times New Roman"/>
          <w:color w:val="000000" w:themeColor="text1"/>
          <w:sz w:val="24"/>
          <w:szCs w:val="24"/>
          <w14:textFill>
            <w14:solidFill>
              <w14:schemeClr w14:val="tx1"/>
            </w14:solidFill>
          </w14:textFill>
        </w:rPr>
        <w:t>博汇纸业厂区</w:t>
      </w:r>
      <w:r>
        <w:rPr>
          <w:rFonts w:ascii="Times New Roman" w:hAnsi="Times New Roman" w:cs="Times New Roman"/>
          <w:color w:val="000000" w:themeColor="text1"/>
          <w:sz w:val="24"/>
          <w:szCs w:val="24"/>
          <w14:textFill>
            <w14:solidFill>
              <w14:schemeClr w14:val="tx1"/>
            </w14:solidFill>
          </w14:textFill>
        </w:rPr>
        <w:t>内，</w:t>
      </w:r>
      <w:r>
        <w:rPr>
          <w:rFonts w:hint="eastAsia" w:ascii="Times New Roman" w:hAnsi="Times New Roman" w:cs="Times New Roman"/>
          <w:color w:val="000000" w:themeColor="text1"/>
          <w:sz w:val="24"/>
          <w:szCs w:val="24"/>
          <w14:textFill>
            <w14:solidFill>
              <w14:schemeClr w14:val="tx1"/>
            </w14:solidFill>
          </w14:textFill>
        </w:rPr>
        <w:t>位于</w:t>
      </w:r>
      <w:r>
        <w:rPr>
          <w:rFonts w:ascii="Times New Roman" w:hAnsi="Times New Roman" w:cs="Times New Roman"/>
          <w:color w:val="000000" w:themeColor="text1"/>
          <w:sz w:val="24"/>
          <w:szCs w:val="24"/>
          <w14:textFill>
            <w14:solidFill>
              <w14:schemeClr w14:val="tx1"/>
            </w14:solidFill>
          </w14:textFill>
        </w:rPr>
        <w:t>造纸</w:t>
      </w:r>
      <w:r>
        <w:rPr>
          <w:rFonts w:hint="eastAsia" w:ascii="Times New Roman" w:hAnsi="Times New Roman" w:cs="Times New Roman"/>
          <w:color w:val="000000" w:themeColor="text1"/>
          <w:sz w:val="24"/>
          <w:szCs w:val="24"/>
          <w14:textFill>
            <w14:solidFill>
              <w14:schemeClr w14:val="tx1"/>
            </w14:solidFill>
          </w14:textFill>
        </w:rPr>
        <w:t>产业区，</w:t>
      </w:r>
      <w:r>
        <w:rPr>
          <w:rFonts w:ascii="Times New Roman" w:hAnsi="Times New Roman" w:cs="Times New Roman"/>
          <w:color w:val="000000" w:themeColor="text1"/>
          <w:sz w:val="24"/>
          <w:szCs w:val="24"/>
          <w14:textFill>
            <w14:solidFill>
              <w14:schemeClr w14:val="tx1"/>
            </w14:solidFill>
          </w14:textFill>
        </w:rPr>
        <w:t>属于园区企业配套环保设施</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符合</w:t>
      </w:r>
      <w:r>
        <w:rPr>
          <w:rFonts w:hint="eastAsia" w:ascii="Times New Roman" w:hAnsi="Times New Roman" w:cs="Times New Roman"/>
          <w:color w:val="000000" w:themeColor="text1"/>
          <w:sz w:val="24"/>
          <w:szCs w:val="24"/>
          <w14:textFill>
            <w14:solidFill>
              <w14:schemeClr w14:val="tx1"/>
            </w14:solidFill>
          </w14:textFill>
        </w:rPr>
        <w:t>马桥化工产业园总体发展规划（2017-2035年）</w:t>
      </w:r>
      <w:r>
        <w:rPr>
          <w:rFonts w:ascii="Times New Roman" w:hAnsi="Times New Roman" w:cs="Times New Roman"/>
          <w:color w:val="000000" w:themeColor="text1"/>
          <w:sz w:val="24"/>
          <w:szCs w:val="24"/>
          <w14:textFill>
            <w14:solidFill>
              <w14:schemeClr w14:val="tx1"/>
            </w14:solidFill>
          </w14:textFill>
        </w:rPr>
        <w:t>的要求。</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cs="Times New Roman"/>
          <w:b/>
          <w:bCs/>
          <w:color w:val="auto"/>
          <w:sz w:val="24"/>
          <w:szCs w:val="24"/>
          <w:highlight w:val="none"/>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cs="Times New Roman"/>
          <w:b/>
          <w:bCs/>
          <w:color w:val="auto"/>
          <w:sz w:val="24"/>
          <w:szCs w:val="24"/>
          <w:highlight w:val="none"/>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color w:val="auto"/>
          <w:sz w:val="24"/>
          <w:szCs w:val="24"/>
          <w:highlight w:val="none"/>
          <w:lang w:val="en-US" w:eastAsia="zh-CN"/>
        </w:rPr>
        <w:t>8.1.3.5</w:t>
      </w:r>
      <w:r>
        <w:rPr>
          <w:rFonts w:hint="eastAsia" w:ascii="Times New Roman" w:hAnsi="Times New Roman"/>
          <w:b/>
          <w:bCs/>
          <w:color w:val="auto"/>
          <w:sz w:val="24"/>
          <w:szCs w:val="24"/>
          <w:highlight w:val="none"/>
          <w:lang w:val="en-US" w:eastAsia="zh-CN"/>
        </w:rPr>
        <w:t>与园区规划环评审批意见符合性分析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马桥化工产业园已完成区域总体发展规划，该环评报告书已于2017年12月14日由桓台县环境保护局批复，批复文件《关于马桥化工产业园总体发展规划环境影响报告书的审查意见》（桓环许字[2017]822号）见附件。项目建设与区域环评审查意见符合性分析详见下表。</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8.1</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8</w:t>
      </w:r>
      <w:r>
        <w:rPr>
          <w:rFonts w:hint="eastAsia" w:ascii="Times New Roman" w:hAnsi="Times New Roman" w:eastAsia="宋体"/>
          <w:b/>
          <w:bCs/>
          <w:sz w:val="24"/>
          <w:szCs w:val="24"/>
          <w:lang w:val="en-US" w:eastAsia="zh-CN"/>
        </w:rPr>
        <w:t xml:space="preserve">  项目建设与马桥化工产业园总体规划环评审查意见符合性分析</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937"/>
        <w:gridCol w:w="3688"/>
        <w:gridCol w:w="2112"/>
        <w:gridCol w:w="8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90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项目</w:t>
            </w:r>
          </w:p>
        </w:tc>
        <w:tc>
          <w:tcPr>
            <w:tcW w:w="4625"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集中区环评批复内容</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本项目概况</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2" w:hRule="atLeast"/>
        </w:trPr>
        <w:tc>
          <w:tcPr>
            <w:tcW w:w="905"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关于化 工产业园基本 情况</w:t>
            </w:r>
          </w:p>
        </w:tc>
        <w:tc>
          <w:tcPr>
            <w:tcW w:w="4625"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北至横一路，东至高淄路、海力路，西至纵一路，南至S29 连接线、镇界，规划面积约16.65km</w:t>
            </w:r>
            <w:r>
              <w:rPr>
                <w:rFonts w:hint="default" w:ascii="Times New Roman" w:hAnsi="Times New Roman"/>
                <w:sz w:val="21"/>
                <w:szCs w:val="21"/>
                <w:vertAlign w:val="superscript"/>
                <w:lang w:val="en-US" w:eastAsia="zh-CN"/>
              </w:rPr>
              <w:t>2</w:t>
            </w:r>
            <w:r>
              <w:rPr>
                <w:rFonts w:hint="default" w:ascii="Times New Roman" w:hAnsi="Times New Roman"/>
                <w:sz w:val="21"/>
                <w:szCs w:val="21"/>
                <w:vertAlign w:val="baseline"/>
                <w:lang w:val="en-US" w:eastAsia="zh-CN"/>
              </w:rPr>
              <w:t>。</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w:t>
            </w:r>
            <w:r>
              <w:rPr>
                <w:rFonts w:hint="default" w:ascii="Times New Roman" w:hAnsi="Times New Roman"/>
                <w:sz w:val="21"/>
                <w:szCs w:val="21"/>
                <w:vertAlign w:val="baseline"/>
                <w:lang w:val="en-US" w:eastAsia="zh-CN"/>
              </w:rPr>
              <w:t>项目位于山东博汇</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纸业股份有限公司现有厂区内，属于环评审核意见中明确的范围内。</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1" w:hRule="atLeast"/>
        </w:trPr>
        <w:tc>
          <w:tcPr>
            <w:tcW w:w="90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4625"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产业定位：以石油炼化及化工、纸业及包装印刷等产业为主导，重点发展原油加工、化工新材料、专用化学品、医药化工、纸业及印刷业，同时引进医药化工、专用化学品产业，将园区发展为油头提升、化尾拓展的新材料特色园。</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本项目属山东博汇纸</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业股份有限公司建设项目，为企业配套环保设施，符合区域产业定位。</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4" w:hRule="atLeast"/>
        </w:trPr>
        <w:tc>
          <w:tcPr>
            <w:tcW w:w="905"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关于基础设施</w:t>
            </w:r>
          </w:p>
        </w:tc>
        <w:tc>
          <w:tcPr>
            <w:tcW w:w="93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水资源</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开发及</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供给</w:t>
            </w:r>
          </w:p>
        </w:tc>
        <w:tc>
          <w:tcPr>
            <w:tcW w:w="36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马桥化工园区生活用水依托桓台县供水系统，水源为桓台县深层地下水；工业用水由新城水库和大芦湖水库提供，水源为黄河水。化工产业园开发建设过程中用控制开采地下水，节约使用地表水，要合理利用污水处理厂中水等非传统水源。</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本项目以中水为生产</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水源，新鲜水取用新城水库的水源。生产废水及生活污水经厂区现有污水处理厂处置后达标外排小清河。</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2" w:hRule="atLeast"/>
        </w:trPr>
        <w:tc>
          <w:tcPr>
            <w:tcW w:w="90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93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排水及污水处理</w:t>
            </w:r>
          </w:p>
        </w:tc>
        <w:tc>
          <w:tcPr>
            <w:tcW w:w="36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化工产业园要按照“雨污分流、清污分流”的原则合理设计和建设排水系统，逐步提高水的重复利用率。化工产业园内博汇集团、金城集团、海力化工依托自身污水处理厂；化工产业园规划建设3万m</w:t>
            </w:r>
            <w:r>
              <w:rPr>
                <w:rFonts w:hint="default" w:ascii="Times New Roman" w:hAnsi="Times New Roman"/>
                <w:sz w:val="21"/>
                <w:szCs w:val="21"/>
                <w:vertAlign w:val="superscript"/>
                <w:lang w:val="en-US" w:eastAsia="zh-CN"/>
              </w:rPr>
              <w:t>3</w:t>
            </w:r>
            <w:r>
              <w:rPr>
                <w:rFonts w:hint="default" w:ascii="Times New Roman" w:hAnsi="Times New Roman"/>
                <w:sz w:val="21"/>
                <w:szCs w:val="21"/>
                <w:vertAlign w:val="baseline"/>
                <w:lang w:val="en-US" w:eastAsia="zh-CN"/>
              </w:rPr>
              <w:t>/d 污水处理厂，污水经处理达到《城镇污水处理厂污染物排放标准》</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（GB18918-2002）一级 A、《地表</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水环境质量标准》（GB3838-2002）Ⅴ类标准后排放；制定并实施化工产业园中水回用规划，减少污水排放量。</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项目按照“雨污分流、清污分流”的原则设计排水系统，生产废水及生活污水经厂区现有污水处理厂处置后达标外排</w:t>
            </w:r>
            <w:r>
              <w:rPr>
                <w:rFonts w:hint="eastAsia" w:ascii="Times New Roman" w:hAnsi="Times New Roman"/>
                <w:sz w:val="21"/>
                <w:szCs w:val="21"/>
                <w:vertAlign w:val="baseline"/>
                <w:lang w:val="en-US" w:eastAsia="zh-CN"/>
              </w:rPr>
              <w:t>杏花河，汇入</w:t>
            </w:r>
            <w:r>
              <w:rPr>
                <w:rFonts w:hint="default" w:ascii="Times New Roman" w:hAnsi="Times New Roman"/>
                <w:sz w:val="21"/>
                <w:szCs w:val="21"/>
                <w:vertAlign w:val="baseline"/>
                <w:lang w:val="en-US" w:eastAsia="zh-CN"/>
              </w:rPr>
              <w:t>小清河。</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4" w:hRule="atLeast"/>
        </w:trPr>
        <w:tc>
          <w:tcPr>
            <w:tcW w:w="90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93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集中供热与燃气</w:t>
            </w:r>
          </w:p>
        </w:tc>
        <w:tc>
          <w:tcPr>
            <w:tcW w:w="36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化工产业园内供热热源为山东天源热电有限公司，供热管网建设要与开发建设同步建设，禁止区内其他企业新建燃煤设施。马桥镇域天然气来自马桥门站，其气源来自沧淄输气管道。</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本项目使用蒸汽由天源热电提供，</w:t>
            </w:r>
            <w:r>
              <w:rPr>
                <w:rFonts w:hint="default" w:ascii="Times New Roman" w:hAnsi="Times New Roman"/>
                <w:sz w:val="21"/>
                <w:szCs w:val="21"/>
                <w:vertAlign w:val="baseline"/>
                <w:lang w:val="en-US" w:eastAsia="zh-CN"/>
              </w:rPr>
              <w:t>RTO装置使用的天然气由厂区现有管网接入。</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9" w:hRule="atLeast"/>
        </w:trPr>
        <w:tc>
          <w:tcPr>
            <w:tcW w:w="90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937" w:type="dxa"/>
            <w:vAlign w:val="center"/>
          </w:tcPr>
          <w:p>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固体废 </w:t>
            </w:r>
          </w:p>
          <w:p>
            <w:pPr>
              <w:keepNext w:val="0"/>
              <w:keepLines w:val="0"/>
              <w:widowControl/>
              <w:suppressLineNumbers w:val="0"/>
              <w:jc w:val="center"/>
              <w:rPr>
                <w:rFonts w:hint="default" w:ascii="Times New Roman" w:hAnsi="Times New Roman"/>
                <w:sz w:val="21"/>
                <w:szCs w:val="21"/>
                <w:vertAlign w:val="baseline"/>
                <w:lang w:val="en-US" w:eastAsia="zh-CN"/>
              </w:rPr>
            </w:pPr>
            <w:r>
              <w:rPr>
                <w:rFonts w:hint="eastAsia" w:ascii="宋体" w:hAnsi="宋体" w:eastAsia="宋体" w:cs="宋体"/>
                <w:color w:val="000000"/>
                <w:kern w:val="0"/>
                <w:sz w:val="21"/>
                <w:szCs w:val="21"/>
                <w:lang w:val="en-US" w:eastAsia="zh-CN" w:bidi="ar"/>
              </w:rPr>
              <w:t>物</w:t>
            </w:r>
          </w:p>
        </w:tc>
        <w:tc>
          <w:tcPr>
            <w:tcW w:w="36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严格按照有关规定，对固体废物实施分类处理、处置等方式，立足于综合利用。结合化工产业园发展，制定危险废物就地处理、处置计划并逐步实施。</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项目一般固废送博汇纸业固废焚烧处置项</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目焚烧</w:t>
            </w:r>
            <w:r>
              <w:rPr>
                <w:rFonts w:hint="eastAsia" w:ascii="Times New Roman" w:hAnsi="Times New Roman"/>
                <w:sz w:val="21"/>
                <w:szCs w:val="21"/>
                <w:vertAlign w:val="baseline"/>
                <w:lang w:val="en-US" w:eastAsia="zh-CN"/>
              </w:rPr>
              <w:t>、</w:t>
            </w:r>
            <w:r>
              <w:rPr>
                <w:rFonts w:hint="default" w:ascii="Times New Roman" w:hAnsi="Times New Roman"/>
                <w:sz w:val="21"/>
                <w:szCs w:val="21"/>
                <w:vertAlign w:val="baseline"/>
                <w:lang w:val="en-US" w:eastAsia="zh-CN"/>
              </w:rPr>
              <w:t>外卖综合利用</w:t>
            </w:r>
            <w:r>
              <w:rPr>
                <w:rFonts w:hint="eastAsia" w:ascii="Times New Roman" w:hAnsi="Times New Roman"/>
                <w:sz w:val="21"/>
                <w:szCs w:val="21"/>
                <w:vertAlign w:val="baseline"/>
                <w:lang w:val="en-US" w:eastAsia="zh-CN"/>
              </w:rPr>
              <w:t>和环卫部门定期清运</w:t>
            </w:r>
            <w:r>
              <w:rPr>
                <w:rFonts w:hint="default" w:ascii="Times New Roman" w:hAnsi="Times New Roman"/>
                <w:sz w:val="21"/>
                <w:szCs w:val="21"/>
                <w:vertAlign w:val="baseline"/>
                <w:lang w:val="en-US" w:eastAsia="zh-CN"/>
              </w:rPr>
              <w:t>，危废委托有资质企业处置。</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0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主要污染物排放总量控制</w:t>
            </w:r>
          </w:p>
        </w:tc>
        <w:tc>
          <w:tcPr>
            <w:tcW w:w="4625"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主要污染物总量控制指标由县总量办统一管理，从严控制。化工产业园污染物排放量应小于区域环境容量测算量，并满足我县“十二五”总量控制计划的相关要求</w:t>
            </w:r>
            <w:r>
              <w:rPr>
                <w:rFonts w:hint="eastAsia" w:ascii="Times New Roman" w:hAnsi="Times New Roman"/>
                <w:sz w:val="21"/>
                <w:szCs w:val="21"/>
                <w:vertAlign w:val="baseline"/>
                <w:lang w:val="en-US" w:eastAsia="zh-CN"/>
              </w:rPr>
              <w:t>。</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w:t>
            </w:r>
            <w:r>
              <w:rPr>
                <w:rFonts w:hint="default" w:ascii="Times New Roman" w:hAnsi="Times New Roman"/>
                <w:sz w:val="21"/>
                <w:szCs w:val="21"/>
                <w:vertAlign w:val="baseline"/>
                <w:lang w:val="en-US" w:eastAsia="zh-CN"/>
              </w:rPr>
              <w:t>项目污染物总量根</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据相关要求实行倍量替代</w:t>
            </w:r>
            <w:r>
              <w:rPr>
                <w:rFonts w:hint="eastAsia" w:ascii="Times New Roman" w:hAnsi="Times New Roman"/>
                <w:sz w:val="21"/>
                <w:szCs w:val="21"/>
                <w:vertAlign w:val="baseline"/>
                <w:lang w:val="en-US" w:eastAsia="zh-CN"/>
              </w:rPr>
              <w:t>。</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2" w:hRule="atLeast"/>
        </w:trPr>
        <w:tc>
          <w:tcPr>
            <w:tcW w:w="90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关于拆迁案安置</w:t>
            </w:r>
          </w:p>
        </w:tc>
        <w:tc>
          <w:tcPr>
            <w:tcW w:w="4625"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化工产业园开发过程中切实做好区内村庄居民的安置工作，保障安置户的生活质量，维护社会安定</w:t>
            </w:r>
            <w:r>
              <w:rPr>
                <w:rFonts w:hint="eastAsia" w:ascii="Times New Roman" w:hAnsi="Times New Roman"/>
                <w:sz w:val="21"/>
                <w:szCs w:val="21"/>
                <w:vertAlign w:val="baseline"/>
                <w:lang w:val="en-US" w:eastAsia="zh-CN"/>
              </w:rPr>
              <w:t>。</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w:t>
            </w:r>
            <w:r>
              <w:rPr>
                <w:rFonts w:hint="default" w:ascii="Times New Roman" w:hAnsi="Times New Roman"/>
                <w:sz w:val="21"/>
                <w:szCs w:val="21"/>
                <w:vertAlign w:val="baseline"/>
                <w:lang w:val="en-US" w:eastAsia="zh-CN"/>
              </w:rPr>
              <w:t>项目不涉及拆迁安置问题</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8" w:hRule="atLeast"/>
        </w:trPr>
        <w:tc>
          <w:tcPr>
            <w:tcW w:w="905"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环境管理</w:t>
            </w:r>
          </w:p>
        </w:tc>
        <w:tc>
          <w:tcPr>
            <w:tcW w:w="4625"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要按规划方案实施开发，以循环经济和生态工业理念指导开发建设，在现有工业基础上，促进上下游产业链的延伸，促进能量梯级利用和资源化循环利用。</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w:t>
            </w:r>
            <w:r>
              <w:rPr>
                <w:rFonts w:hint="default" w:ascii="Times New Roman" w:hAnsi="Times New Roman"/>
                <w:sz w:val="21"/>
                <w:szCs w:val="21"/>
                <w:vertAlign w:val="baseline"/>
                <w:lang w:val="en-US" w:eastAsia="zh-CN"/>
              </w:rPr>
              <w:t>项目位于博汇纸业现有厂区，属于企业配套环保设施，符合马桥化工产业园的产业定位。</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2" w:hRule="atLeast"/>
        </w:trPr>
        <w:tc>
          <w:tcPr>
            <w:tcW w:w="90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4625"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按照马桥镇总体规划，通过旧村改造形式，将化工产业园中未改造的村庄搬迁至规划居住区，禁止建设防护距离不满足要求的项目，化工园区东侧应设置必要的隔离绿化带。</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本项目不涉及拆迁安</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置问题，企业现有环境防护距离内无敏感点。</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7" w:hRule="atLeast"/>
        </w:trPr>
        <w:tc>
          <w:tcPr>
            <w:tcW w:w="90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4625"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所有入园项目，要在规划功能区内建设，并符合国家产业政策，化工产业园的行业准入和环保准入条件，入区企业应做好污水处理设施、污水管网和事故水池建设</w:t>
            </w:r>
            <w:r>
              <w:rPr>
                <w:rFonts w:hint="eastAsia" w:ascii="Times New Roman" w:hAnsi="Times New Roman"/>
                <w:sz w:val="21"/>
                <w:szCs w:val="21"/>
                <w:vertAlign w:val="baseline"/>
                <w:lang w:val="en-US" w:eastAsia="zh-CN"/>
              </w:rPr>
              <w:t>。</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w:t>
            </w:r>
            <w:r>
              <w:rPr>
                <w:rFonts w:hint="default" w:ascii="Times New Roman" w:hAnsi="Times New Roman"/>
                <w:sz w:val="21"/>
                <w:szCs w:val="21"/>
                <w:vertAlign w:val="baseline"/>
                <w:lang w:val="en-US" w:eastAsia="zh-CN"/>
              </w:rPr>
              <w:t>项目不涉及拆迁安置问题，企业现有环境防护距离内无敏感点</w:t>
            </w:r>
            <w:r>
              <w:rPr>
                <w:rFonts w:hint="eastAsia" w:ascii="Times New Roman" w:hAnsi="Times New Roman"/>
                <w:sz w:val="21"/>
                <w:szCs w:val="21"/>
                <w:vertAlign w:val="baseline"/>
                <w:lang w:val="en-US" w:eastAsia="zh-CN"/>
              </w:rPr>
              <w:t>。</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905"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p>
        </w:tc>
        <w:tc>
          <w:tcPr>
            <w:tcW w:w="4625"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加强化工产业园环境风险防范，落实本项目环评报告提出的环境风险防范措施和应急处理措施，一旦发生事故，应立即启动事故应急预案。</w:t>
            </w:r>
          </w:p>
        </w:tc>
        <w:tc>
          <w:tcPr>
            <w:tcW w:w="21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default" w:ascii="Times New Roman" w:hAnsi="Times New Roman"/>
                <w:sz w:val="21"/>
                <w:szCs w:val="21"/>
                <w:vertAlign w:val="baseline"/>
                <w:lang w:val="en-US" w:eastAsia="zh-CN"/>
              </w:rPr>
              <w:t>针对环境风险事故，具有较为完善的风险防范措施和风险管理制度，事故状态下，建立完善的三级防控体系和事故应急响应体系，最大程度降低污染物排入外环境。</w:t>
            </w:r>
          </w:p>
        </w:tc>
        <w:tc>
          <w:tcPr>
            <w:tcW w:w="88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color w:val="auto"/>
          <w:sz w:val="24"/>
          <w:szCs w:val="24"/>
          <w:highlight w:val="none"/>
          <w:lang w:val="en-US" w:eastAsia="zh-CN"/>
        </w:rPr>
        <w:t>8.1.3.6</w:t>
      </w:r>
      <w:r>
        <w:rPr>
          <w:rFonts w:hint="eastAsia" w:ascii="Times New Roman" w:hAnsi="Times New Roman"/>
          <w:b/>
          <w:bCs/>
          <w:color w:val="auto"/>
          <w:sz w:val="24"/>
          <w:szCs w:val="24"/>
          <w:highlight w:val="none"/>
          <w:lang w:val="en-US" w:eastAsia="zh-CN"/>
        </w:rPr>
        <w:t>与园区行业准入的符合性分析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根据《马桥化工产业园总体发展规划环境影响报告书》（桓环许字[2017]822号），园区入区行业控制级别具体内容见表下表。</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8.1</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9</w:t>
      </w:r>
      <w:r>
        <w:rPr>
          <w:rFonts w:hint="eastAsia" w:ascii="Times New Roman" w:hAnsi="Times New Roman" w:eastAsia="宋体"/>
          <w:b/>
          <w:bCs/>
          <w:sz w:val="24"/>
          <w:szCs w:val="24"/>
          <w:lang w:val="en-US" w:eastAsia="zh-CN"/>
        </w:rPr>
        <w:t xml:space="preserve">  园区入区行业控制级别表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7"/>
        <w:gridCol w:w="2138"/>
        <w:gridCol w:w="4125"/>
        <w:gridCol w:w="10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167"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行业类别</w:t>
            </w:r>
          </w:p>
        </w:tc>
        <w:tc>
          <w:tcPr>
            <w:tcW w:w="2138"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行业小类</w:t>
            </w: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具体生产装置</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控制级别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restart"/>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石化化工</w:t>
            </w:r>
          </w:p>
        </w:tc>
        <w:tc>
          <w:tcPr>
            <w:tcW w:w="2138" w:type="dxa"/>
            <w:vMerge w:val="restart"/>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石油制品业（包括蜡油、渣油、石脑油、液化气、干气、沥青等为源头的生产工艺）</w:t>
            </w: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催裂化装置</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石油焦化装置</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催化重整装置</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加氢装置</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氧化沥青装置</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石油制品精制</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含硫含酸重质、劣质原油炼制装置</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新建80万吨/年以下石脑油裂解制乙烯</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6263" w:type="dxa"/>
            <w:gridSpan w:val="2"/>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200万吨/年及以下常减压装置</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b/>
                <w:bCs/>
                <w:sz w:val="21"/>
                <w:szCs w:val="21"/>
                <w:vertAlign w:val="baseline"/>
                <w:lang w:val="en-US" w:eastAsia="zh-CN"/>
              </w:rPr>
            </w:pPr>
            <w:r>
              <w:rPr>
                <w:rFonts w:hint="eastAsia" w:ascii="Times New Roman" w:hAnsi="Times New Roman"/>
                <w:b/>
                <w:bCs/>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6263" w:type="dxa"/>
            <w:gridSpan w:val="2"/>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人造原油生产业（包括页岩原油、煤炼油、合成液体燃料等的生产）</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b/>
                <w:bCs/>
                <w:sz w:val="21"/>
                <w:szCs w:val="21"/>
                <w:vertAlign w:val="baseline"/>
                <w:lang w:val="en-US" w:eastAsia="zh-CN"/>
              </w:rPr>
            </w:pPr>
            <w:r>
              <w:rPr>
                <w:rFonts w:hint="eastAsia" w:ascii="Times New Roman" w:hAnsi="Times New Roman"/>
                <w:b/>
                <w:bCs/>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6263" w:type="dxa"/>
            <w:gridSpan w:val="2"/>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炼焦业</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restart"/>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化工</w:t>
            </w: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直接氧化法环氧丙烷技术</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五大通用树脂高性能化技术、顺式和反式异戊橡胶合成及加工关键技术</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ABS本体法聚合大型成套技术</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零极距、氧阴极等离子膜烧碱电解槽节能技术</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合成橡胶化学改性技术开发与应用</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10万吨/年以下己内酰胺</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氯醇法环氧丙烷和皂化法环氧氯丙烷生产装置</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主产四氯化碳（CTC）、以四氯化碳（CTC）为加工助剂的所有产品</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b/>
                <w:bCs/>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专用化学品</w:t>
            </w: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造纸化学品、水处理化学品和油田化学品等与园区产业相关的专用化学品</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医药化工</w:t>
            </w: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生物医药、新特药、高端医疗器械</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6263" w:type="dxa"/>
            <w:gridSpan w:val="2"/>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符合产业政策和环保要求，废水生化性较好的化工项目</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restart"/>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造纸及包装印刷</w:t>
            </w:r>
          </w:p>
        </w:tc>
        <w:tc>
          <w:tcPr>
            <w:tcW w:w="2138" w:type="dxa"/>
            <w:vMerge w:val="restart"/>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造纸行业</w:t>
            </w: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单条化学木浆30万吨/年及以上、化学机械木10万吨/年及以上、化学竹浆10万吨/年及以上的林纸一体化生产线及相应配套的纸及纸板生产线</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采用清洁生产工艺、以非木纤维为原料、单条10万吨/年及以上的纸浆生产线建设</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5.1万吨/年以下的化学木浆生产线</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b/>
                <w:bCs/>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新型药用包装材料及其技术开发和生产</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67" w:type="dxa"/>
            <w:vMerge w:val="continue"/>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2138"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4125"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符合产业政策要求的印刷设备和印刷技术</w:t>
            </w:r>
          </w:p>
        </w:tc>
        <w:tc>
          <w:tcPr>
            <w:tcW w:w="1092"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8522" w:type="dxa"/>
            <w:gridSpan w:val="4"/>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18"/>
                <w:szCs w:val="18"/>
                <w:vertAlign w:val="baseline"/>
                <w:lang w:val="en-US" w:eastAsia="zh-CN"/>
              </w:rPr>
            </w:pPr>
            <w:r>
              <w:rPr>
                <w:rFonts w:hint="eastAsia" w:ascii="Times New Roman" w:hAnsi="Times New Roman"/>
                <w:sz w:val="21"/>
                <w:szCs w:val="21"/>
                <w:vertAlign w:val="baseline"/>
                <w:lang w:val="en-US" w:eastAsia="zh-CN"/>
              </w:rPr>
              <w:t>注：★—优先进入行业；</w:t>
            </w:r>
            <w:r>
              <w:rPr>
                <w:rFonts w:hint="eastAsia" w:ascii="Times New Roman" w:hAnsi="Times New Roman"/>
                <w:sz w:val="18"/>
                <w:szCs w:val="18"/>
                <w:vertAlign w:val="baseline"/>
                <w:lang w:val="en-US" w:eastAsia="zh-CN"/>
              </w:rPr>
              <w:t>●</w:t>
            </w:r>
            <w:r>
              <w:rPr>
                <w:rFonts w:hint="eastAsia" w:ascii="Times New Roman" w:hAnsi="Times New Roman"/>
                <w:sz w:val="21"/>
                <w:szCs w:val="21"/>
                <w:vertAlign w:val="baseline"/>
                <w:lang w:val="en-US" w:eastAsia="zh-CN"/>
              </w:rPr>
              <w:t>—准许进入行业；▲—控制进入行业；</w:t>
            </w:r>
            <w:r>
              <w:rPr>
                <w:rFonts w:hint="eastAsia" w:ascii="Times New Roman" w:hAnsi="Times New Roman"/>
                <w:b/>
                <w:bCs/>
                <w:sz w:val="21"/>
                <w:szCs w:val="21"/>
                <w:vertAlign w:val="baseline"/>
                <w:lang w:val="en-US" w:eastAsia="zh-CN"/>
              </w:rPr>
              <w:t>×</w:t>
            </w:r>
            <w:r>
              <w:rPr>
                <w:rFonts w:hint="eastAsia" w:ascii="Times New Roman" w:hAnsi="Times New Roman"/>
                <w:sz w:val="21"/>
                <w:szCs w:val="21"/>
                <w:vertAlign w:val="baseline"/>
                <w:lang w:val="en-US" w:eastAsia="zh-CN"/>
              </w:rPr>
              <w:t>—禁止进入行业。</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项目为</w:t>
      </w:r>
      <w:r>
        <w:rPr>
          <w:rFonts w:hint="eastAsia" w:ascii="Times New Roman" w:hAnsi="Times New Roman"/>
          <w:sz w:val="24"/>
          <w:szCs w:val="24"/>
          <w:lang w:val="en-US" w:eastAsia="zh-CN"/>
        </w:rPr>
        <w:t>化机浆生产</w:t>
      </w:r>
      <w:r>
        <w:rPr>
          <w:rFonts w:hint="default" w:ascii="Times New Roman" w:hAnsi="Times New Roman"/>
          <w:sz w:val="24"/>
          <w:szCs w:val="24"/>
          <w:lang w:val="en-US" w:eastAsia="zh-CN"/>
        </w:rPr>
        <w:t>项目，属于园区企业配套环保设施，符合园区准入条件；用地为博汇纸业三类工业用地，符合规划要求。马桥化工产业园规划见图</w:t>
      </w:r>
      <w:r>
        <w:rPr>
          <w:rFonts w:hint="eastAsia" w:ascii="Times New Roman" w:hAnsi="Times New Roman"/>
          <w:sz w:val="24"/>
          <w:szCs w:val="24"/>
          <w:lang w:val="en-US" w:eastAsia="zh-CN"/>
        </w:rPr>
        <w:t>8.1</w:t>
      </w:r>
      <w:r>
        <w:rPr>
          <w:rFonts w:hint="default" w:ascii="Times New Roman" w:hAnsi="Times New Roman"/>
          <w:sz w:val="24"/>
          <w:szCs w:val="24"/>
          <w:lang w:val="en-US" w:eastAsia="zh-CN"/>
        </w:rPr>
        <w:t>-3。</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sectPr>
          <w:headerReference r:id="rId72" w:type="default"/>
          <w:footerReference r:id="rId7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ind w:left="0" w:leftChars="0" w:firstLine="0" w:firstLineChars="0"/>
        <w:rPr>
          <w:rFonts w:hint="default"/>
          <w:lang w:val="en-US" w:eastAsia="zh-CN"/>
        </w:rPr>
      </w:pPr>
      <w:r>
        <w:drawing>
          <wp:anchor distT="0" distB="0" distL="114300" distR="114300" simplePos="0" relativeHeight="251811840" behindDoc="0" locked="0" layoutInCell="1" allowOverlap="1">
            <wp:simplePos x="0" y="0"/>
            <wp:positionH relativeFrom="column">
              <wp:posOffset>247650</wp:posOffset>
            </wp:positionH>
            <wp:positionV relativeFrom="paragraph">
              <wp:posOffset>-186690</wp:posOffset>
            </wp:positionV>
            <wp:extent cx="8220710" cy="4893310"/>
            <wp:effectExtent l="0" t="0" r="8890" b="2540"/>
            <wp:wrapNone/>
            <wp:docPr id="27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43"/>
                    <pic:cNvPicPr>
                      <a:picLocks noChangeAspect="1"/>
                    </pic:cNvPicPr>
                  </pic:nvPicPr>
                  <pic:blipFill>
                    <a:blip r:embed="rId182"/>
                    <a:srcRect t="2744" b="1463"/>
                    <a:stretch>
                      <a:fillRect/>
                    </a:stretch>
                  </pic:blipFill>
                  <pic:spPr>
                    <a:xfrm>
                      <a:off x="0" y="0"/>
                      <a:ext cx="8220710" cy="4893310"/>
                    </a:xfrm>
                    <a:prstGeom prst="rect">
                      <a:avLst/>
                    </a:prstGeom>
                    <a:noFill/>
                    <a:ln>
                      <a:noFill/>
                    </a:ln>
                  </pic:spPr>
                </pic:pic>
              </a:graphicData>
            </a:graphic>
          </wp:anchor>
        </w:drawing>
      </w:r>
    </w:p>
    <w:p>
      <w:pPr>
        <w:pStyle w:val="17"/>
        <w:rPr>
          <w:rFonts w:hint="default"/>
          <w:lang w:val="en-US" w:eastAsia="zh-CN"/>
        </w:rPr>
      </w:pPr>
      <w:r>
        <w:rPr>
          <w:sz w:val="21"/>
        </w:rPr>
        <mc:AlternateContent>
          <mc:Choice Requires="wps">
            <w:drawing>
              <wp:anchor distT="0" distB="0" distL="114300" distR="114300" simplePos="0" relativeHeight="251812864" behindDoc="0" locked="0" layoutInCell="1" allowOverlap="1">
                <wp:simplePos x="0" y="0"/>
                <wp:positionH relativeFrom="column">
                  <wp:posOffset>2471420</wp:posOffset>
                </wp:positionH>
                <wp:positionV relativeFrom="paragraph">
                  <wp:posOffset>93980</wp:posOffset>
                </wp:positionV>
                <wp:extent cx="793750" cy="309245"/>
                <wp:effectExtent l="6350" t="6350" r="57150" b="408305"/>
                <wp:wrapNone/>
                <wp:docPr id="301" name="圆角矩形标注 301"/>
                <wp:cNvGraphicFramePr/>
                <a:graphic xmlns:a="http://schemas.openxmlformats.org/drawingml/2006/main">
                  <a:graphicData uri="http://schemas.microsoft.com/office/word/2010/wordprocessingShape">
                    <wps:wsp>
                      <wps:cNvSpPr/>
                      <wps:spPr>
                        <a:xfrm>
                          <a:off x="0" y="0"/>
                          <a:ext cx="793750" cy="309245"/>
                        </a:xfrm>
                        <a:prstGeom prst="wedgeRoundRectCallout">
                          <a:avLst>
                            <a:gd name="adj1" fmla="val 52560"/>
                            <a:gd name="adj2" fmla="val 169507"/>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FF0000"/>
                                <w:sz w:val="20"/>
                                <w:szCs w:val="20"/>
                                <w:highlight w:val="yellow"/>
                                <w:lang w:val="en-US" w:eastAsia="zh-CN"/>
                              </w:rPr>
                            </w:pPr>
                            <w:r>
                              <w:rPr>
                                <w:rFonts w:hint="eastAsia"/>
                                <w:b/>
                                <w:bCs/>
                                <w:color w:val="FF0000"/>
                                <w:sz w:val="20"/>
                                <w:szCs w:val="20"/>
                                <w:highlight w:val="yellow"/>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94.6pt;margin-top:7.4pt;height:24.35pt;width:62.5pt;z-index:251812864;v-text-anchor:middle;mso-width-relative:page;mso-height-relative:page;" filled="f" stroked="t" coordsize="21600,21600" o:gfxdata="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DoEWOM1gAAAAkBAAAPAAAAAAAAAAEAIAAAACIAAABkcnMvZG93bnJldi54&#10;bWxQSwECFAAUAAAACACHTuJAp/F71KcCAAAeBQAADgAAAAAAAAABACAAAAAlAQAAZHJzL2Uyb0Rv&#10;Yy54bWxQSwUGAAAAAAYABgBZAQAAPgYAAAAA&#10;" adj="22153,47414,14400">
                <v:fill on="f" focussize="0,0"/>
                <v:stroke weight="1pt" color="#FF0000 [3204]" miterlimit="8" joinstyle="miter"/>
                <v:imagedata o:title=""/>
                <o:lock v:ext="edit" aspectratio="f"/>
                <v:textbox>
                  <w:txbxContent>
                    <w:p>
                      <w:pPr>
                        <w:jc w:val="center"/>
                        <w:rPr>
                          <w:rFonts w:hint="eastAsia" w:eastAsia="宋体"/>
                          <w:b/>
                          <w:bCs/>
                          <w:color w:val="FF0000"/>
                          <w:sz w:val="20"/>
                          <w:szCs w:val="20"/>
                          <w:highlight w:val="yellow"/>
                          <w:lang w:val="en-US" w:eastAsia="zh-CN"/>
                        </w:rPr>
                      </w:pPr>
                      <w:r>
                        <w:rPr>
                          <w:rFonts w:hint="eastAsia"/>
                          <w:b/>
                          <w:bCs/>
                          <w:color w:val="FF0000"/>
                          <w:sz w:val="20"/>
                          <w:szCs w:val="20"/>
                          <w:highlight w:val="yellow"/>
                          <w:lang w:val="en-US" w:eastAsia="zh-CN"/>
                        </w:rPr>
                        <w:t>项目位置</w:t>
                      </w:r>
                    </w:p>
                  </w:txbxContent>
                </v:textbox>
              </v:shape>
            </w:pict>
          </mc:Fallback>
        </mc:AlternateContent>
      </w:r>
    </w:p>
    <w:p>
      <w:pPr>
        <w:rPr>
          <w:rFonts w:hint="default"/>
          <w:lang w:val="en-US" w:eastAsia="zh-CN"/>
        </w:rPr>
      </w:pPr>
    </w:p>
    <w:p>
      <w:pPr>
        <w:pStyle w:val="2"/>
        <w:rPr>
          <w:rFonts w:hint="default"/>
          <w:lang w:val="en-US" w:eastAsia="zh-CN"/>
        </w:rPr>
      </w:pPr>
      <w:r>
        <w:rPr>
          <w:sz w:val="21"/>
        </w:rPr>
        <mc:AlternateContent>
          <mc:Choice Requires="wps">
            <w:drawing>
              <wp:anchor distT="0" distB="0" distL="114300" distR="114300" simplePos="0" relativeHeight="251813888" behindDoc="0" locked="0" layoutInCell="1" allowOverlap="1">
                <wp:simplePos x="0" y="0"/>
                <wp:positionH relativeFrom="column">
                  <wp:posOffset>3258185</wp:posOffset>
                </wp:positionH>
                <wp:positionV relativeFrom="paragraph">
                  <wp:posOffset>297180</wp:posOffset>
                </wp:positionV>
                <wp:extent cx="148590" cy="160655"/>
                <wp:effectExtent l="6350" t="6985" r="16510" b="22860"/>
                <wp:wrapNone/>
                <wp:docPr id="302" name="任意多边形 302"/>
                <wp:cNvGraphicFramePr/>
                <a:graphic xmlns:a="http://schemas.openxmlformats.org/drawingml/2006/main">
                  <a:graphicData uri="http://schemas.microsoft.com/office/word/2010/wordprocessingShape">
                    <wps:wsp>
                      <wps:cNvSpPr/>
                      <wps:spPr>
                        <a:xfrm>
                          <a:off x="4172585" y="2242820"/>
                          <a:ext cx="148590" cy="160655"/>
                        </a:xfrm>
                        <a:custGeom>
                          <a:avLst/>
                          <a:gdLst>
                            <a:gd name="connisteX0" fmla="*/ 5715 w 148590"/>
                            <a:gd name="connsiteY0" fmla="*/ 160655 h 160655"/>
                            <a:gd name="connisteX1" fmla="*/ 148590 w 148590"/>
                            <a:gd name="connsiteY1" fmla="*/ 154305 h 160655"/>
                            <a:gd name="connisteX2" fmla="*/ 142875 w 148590"/>
                            <a:gd name="connsiteY2" fmla="*/ 0 h 160655"/>
                            <a:gd name="connisteX3" fmla="*/ 0 w 148590"/>
                            <a:gd name="connsiteY3" fmla="*/ 11430 h 160655"/>
                            <a:gd name="connisteX4" fmla="*/ 5715 w 148590"/>
                            <a:gd name="connsiteY4" fmla="*/ 160655 h 16065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48590" h="160655">
                              <a:moveTo>
                                <a:pt x="5715" y="160655"/>
                              </a:moveTo>
                              <a:lnTo>
                                <a:pt x="148590" y="154305"/>
                              </a:lnTo>
                              <a:lnTo>
                                <a:pt x="142875" y="0"/>
                              </a:lnTo>
                              <a:lnTo>
                                <a:pt x="0" y="11430"/>
                              </a:lnTo>
                              <a:lnTo>
                                <a:pt x="5715" y="160655"/>
                              </a:lnTo>
                              <a:close/>
                            </a:path>
                          </a:pathLst>
                        </a:cu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56.55pt;margin-top:23.4pt;height:12.65pt;width:11.7pt;z-index:251813888;mso-width-relative:page;mso-height-relative:page;" fillcolor="#FF0000" filled="t" stroked="t" coordsize="148590,160655" o:gfxdata="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DZ1abC&#10;2AAAAAkBAAAPAAAAAAAAAAEAIAAAACIAAABkcnMvZG93bnJldi54bWxQSwECFAAUAAAACACHTuJA&#10;QBXYPwUDAAArCAAADgAAAAAAAAABACAAAAAnAQAAZHJzL2Uyb0RvYy54bWxQSwUGAAAAAAYABgBZ&#10;AQAAngYAAAAA&#10;" path="m5715,160655l148590,154305,142875,0,0,11430,5715,160655xe">
                <v:path o:connectlocs="5715,160655;148590,154305;142875,0;0,11430;5715,160655" o:connectangles="0,0,0,0,0"/>
                <v:fill on="t" focussize="0,0"/>
                <v:stroke weight="1pt" color="#FF0000 [3204]" miterlimit="8" joinstyle="miter"/>
                <v:imagedata o:title=""/>
                <o:lock v:ext="edit" aspectratio="f"/>
              </v:shape>
            </w:pict>
          </mc:Fallback>
        </mc:AlternateContent>
      </w: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jc w:val="center"/>
        <w:rPr>
          <w:rFonts w:ascii="Times New Roman" w:hAnsi="Times New Roman" w:cs="Times New Roman"/>
          <w:b/>
          <w:sz w:val="24"/>
          <w:szCs w:val="24"/>
        </w:rPr>
      </w:pPr>
      <w:r>
        <w:rPr>
          <w:rFonts w:ascii="Times New Roman" w:cs="Times New Roman"/>
          <w:b/>
          <w:sz w:val="24"/>
          <w:szCs w:val="24"/>
        </w:rPr>
        <w:t>图</w:t>
      </w:r>
      <w:r>
        <w:rPr>
          <w:rFonts w:hint="eastAsia" w:ascii="Times New Roman" w:cs="Times New Roman"/>
          <w:b/>
          <w:sz w:val="24"/>
          <w:szCs w:val="24"/>
          <w:lang w:val="en-US" w:eastAsia="zh-CN"/>
        </w:rPr>
        <w:t>8.1-</w:t>
      </w:r>
      <w:r>
        <w:rPr>
          <w:rFonts w:hint="eastAsia" w:ascii="Times New Roman" w:hAnsi="Times New Roman" w:cs="Times New Roman"/>
          <w:b/>
          <w:sz w:val="24"/>
          <w:szCs w:val="24"/>
          <w:lang w:val="en-US" w:eastAsia="zh-CN"/>
        </w:rPr>
        <w:t>3</w:t>
      </w:r>
      <w:r>
        <w:rPr>
          <w:rFonts w:ascii="Times New Roman" w:hAnsi="Times New Roman" w:cs="Times New Roman"/>
          <w:b/>
          <w:sz w:val="24"/>
          <w:szCs w:val="24"/>
        </w:rPr>
        <w:t xml:space="preserve"> </w:t>
      </w:r>
      <w:r>
        <w:rPr>
          <w:rFonts w:hint="eastAsia" w:ascii="Times New Roman" w:cs="Times New Roman"/>
          <w:b/>
          <w:sz w:val="24"/>
          <w:szCs w:val="24"/>
        </w:rPr>
        <w:t>桓台县马桥化工产业园区控制性详细规划</w:t>
      </w:r>
    </w:p>
    <w:p>
      <w:pPr>
        <w:rPr>
          <w:rFonts w:hint="default"/>
          <w:lang w:val="en-US" w:eastAsia="zh-CN"/>
        </w:rPr>
        <w:sectPr>
          <w:headerReference r:id="rId74" w:type="default"/>
          <w:footerReference r:id="rId75"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ascii="Times New Roman" w:hAnsi="Times New Roman"/>
          <w:sz w:val="24"/>
          <w:szCs w:val="24"/>
          <w:lang w:val="en-US" w:eastAsia="zh-CN"/>
        </w:rPr>
      </w:pPr>
      <w:r>
        <w:rPr>
          <w:rFonts w:hint="eastAsia" w:ascii="Times New Roman" w:hAnsi="Times New Roman" w:cs="Times New Roman"/>
          <w:b/>
          <w:bCs/>
          <w:color w:val="auto"/>
          <w:sz w:val="24"/>
          <w:szCs w:val="24"/>
          <w:highlight w:val="none"/>
          <w:lang w:val="en-US" w:eastAsia="zh-CN"/>
        </w:rPr>
        <w:t>8.1.3.7</w:t>
      </w:r>
      <w:r>
        <w:rPr>
          <w:rFonts w:hint="eastAsia" w:ascii="Times New Roman" w:hAnsi="Times New Roman"/>
          <w:b/>
          <w:bCs/>
          <w:color w:val="auto"/>
          <w:sz w:val="24"/>
          <w:szCs w:val="24"/>
          <w:highlight w:val="none"/>
          <w:lang w:val="en-US" w:eastAsia="zh-CN"/>
        </w:rPr>
        <w:t>与“碳达峰、碳中和”相关政策符合性分析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关于加强高耗能、高排放建设项目生态环境源头防控的指导意见》（环环评[2021]45号）要求，为全面落实党的十九届五中全会关于加快推动绿色低碳发展的决策部署，坚决遏制高耗能、高排放（以下简称“两高”）项目盲目发展。</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sz w:val="24"/>
          <w:szCs w:val="24"/>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8.1</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10</w:t>
      </w:r>
      <w:r>
        <w:rPr>
          <w:rFonts w:hint="eastAsia" w:ascii="Times New Roman" w:hAnsi="Times New Roman" w:eastAsia="宋体"/>
          <w:b/>
          <w:bCs/>
          <w:sz w:val="24"/>
          <w:szCs w:val="24"/>
          <w:lang w:val="en-US" w:eastAsia="zh-CN"/>
        </w:rPr>
        <w:t xml:space="preserve">  与《关于加强高耗能、高排放建设项目生态环境源头防控的指导意见》（环环评[2021]45号）的符合性分析</w:t>
      </w:r>
    </w:p>
    <w:tbl>
      <w:tblPr>
        <w:tblStyle w:val="1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36"/>
        <w:gridCol w:w="3069"/>
        <w:gridCol w:w="11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45" w:type="pct"/>
            <w:tcBorders>
              <w:tl2br w:val="nil"/>
              <w:tr2bl w:val="nil"/>
            </w:tcBorders>
            <w:noWrap w:val="0"/>
            <w:vAlign w:val="center"/>
          </w:tcPr>
          <w:p>
            <w:pPr>
              <w:jc w:val="cente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文件要求</w:t>
            </w:r>
          </w:p>
        </w:tc>
        <w:tc>
          <w:tcPr>
            <w:tcW w:w="1802" w:type="pct"/>
            <w:tcBorders>
              <w:tl2br w:val="nil"/>
              <w:tr2bl w:val="nil"/>
            </w:tcBorders>
            <w:noWrap w:val="0"/>
            <w:vAlign w:val="center"/>
          </w:tcPr>
          <w:p>
            <w:pPr>
              <w:jc w:val="cente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项目情况</w:t>
            </w:r>
          </w:p>
        </w:tc>
        <w:tc>
          <w:tcPr>
            <w:tcW w:w="651" w:type="pct"/>
            <w:tcBorders>
              <w:tl2br w:val="nil"/>
              <w:tr2bl w:val="nil"/>
            </w:tcBorders>
            <w:noWrap w:val="0"/>
            <w:vAlign w:val="center"/>
          </w:tcPr>
          <w:p>
            <w:pPr>
              <w:jc w:val="center"/>
              <w:rPr>
                <w:rFonts w:hint="default" w:ascii="Times New Roman" w:hAnsi="Times New Roman" w:cs="Times New Roman"/>
                <w:b/>
                <w:bCs/>
                <w:szCs w:val="21"/>
                <w:lang w:val="en-US" w:eastAsia="zh-CN"/>
              </w:rPr>
            </w:pPr>
            <w:r>
              <w:rPr>
                <w:rFonts w:hint="default" w:ascii="Times New Roman" w:hAnsi="Times New Roman" w:cs="Times New Roman"/>
                <w:b/>
                <w:bCs/>
                <w:szCs w:val="21"/>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0" w:type="pct"/>
            <w:gridSpan w:val="3"/>
            <w:tcBorders>
              <w:tl2br w:val="nil"/>
              <w:tr2bl w:val="nil"/>
            </w:tcBorders>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二、</w:t>
            </w:r>
            <w:r>
              <w:rPr>
                <w:rFonts w:hint="default" w:ascii="Times New Roman" w:hAnsi="Times New Roman" w:cs="Times New Roman"/>
                <w:szCs w:val="21"/>
                <w:lang w:val="en-US" w:eastAsia="zh-CN"/>
              </w:rPr>
              <w:t xml:space="preserve"> 严格“两高”项目环评审批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3" w:hRule="atLeast"/>
          <w:jc w:val="center"/>
        </w:trPr>
        <w:tc>
          <w:tcPr>
            <w:tcW w:w="2545" w:type="pct"/>
            <w:tcBorders>
              <w:tl2br w:val="nil"/>
              <w:tr2bl w:val="nil"/>
            </w:tcBorders>
            <w:noWrap w:val="0"/>
            <w:vAlign w:val="center"/>
          </w:tcPr>
          <w:p>
            <w:pPr>
              <w:jc w:val="both"/>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（三）</w:t>
            </w:r>
            <w:r>
              <w:rPr>
                <w:rFonts w:hint="default" w:ascii="Times New Roman" w:hAnsi="Times New Roman" w:cs="Times New Roman"/>
                <w:szCs w:val="21"/>
                <w:lang w:val="en-US" w:eastAsia="zh-CN"/>
              </w:rPr>
              <w:t>新建、改建、扩建“两高”项目须符合生态环境保护法律法规和相关法定规划，满足重点污染物排放总量控制、碳排放达峰目标、生态环境准入清单、相关规划环评和相应行业建设项目环境准入条件、环评文件审批原则要求。石化、现代煤化工项目应纳入国家产业规划。新建、扩建石化、化工、焦化、有色金属冶炼、平板玻璃项目应布设在依法合规设立并经规划环评的产业园区。</w:t>
            </w:r>
          </w:p>
        </w:tc>
        <w:tc>
          <w:tcPr>
            <w:tcW w:w="1802" w:type="pct"/>
            <w:tcBorders>
              <w:tl2br w:val="nil"/>
              <w:tr2bl w:val="nil"/>
            </w:tcBorders>
            <w:noWrap w:val="0"/>
            <w:vAlign w:val="center"/>
          </w:tcPr>
          <w:p>
            <w:pPr>
              <w:jc w:val="left"/>
              <w:rPr>
                <w:rFonts w:hint="default" w:ascii="Times New Roman" w:hAnsi="Times New Roman" w:cs="Times New Roman"/>
                <w:szCs w:val="21"/>
                <w:lang w:val="en-US" w:eastAsia="zh-CN"/>
              </w:rPr>
            </w:pPr>
            <w:r>
              <w:rPr>
                <w:rFonts w:hint="eastAsia" w:ascii="Times New Roman" w:hAnsi="Times New Roman" w:cs="Times New Roman"/>
                <w:szCs w:val="21"/>
                <w:highlight w:val="none"/>
                <w:lang w:val="en-US" w:eastAsia="zh-CN"/>
              </w:rPr>
              <w:t>本</w:t>
            </w:r>
            <w:r>
              <w:rPr>
                <w:rFonts w:hint="default" w:ascii="Times New Roman" w:hAnsi="Times New Roman" w:cs="Times New Roman"/>
                <w:szCs w:val="21"/>
                <w:highlight w:val="none"/>
                <w:lang w:val="en-US" w:eastAsia="zh-CN"/>
              </w:rPr>
              <w:t>项目</w:t>
            </w:r>
            <w:r>
              <w:rPr>
                <w:rFonts w:hint="eastAsia" w:ascii="Times New Roman" w:hAnsi="Times New Roman" w:cs="Times New Roman"/>
                <w:szCs w:val="21"/>
                <w:highlight w:val="none"/>
                <w:lang w:val="en-US" w:eastAsia="zh-CN"/>
              </w:rPr>
              <w:t>不属于“两高”</w:t>
            </w:r>
            <w:r>
              <w:rPr>
                <w:rFonts w:hint="default" w:ascii="Times New Roman" w:hAnsi="Times New Roman" w:cs="Times New Roman"/>
                <w:szCs w:val="21"/>
                <w:highlight w:val="none"/>
                <w:lang w:val="en-US" w:eastAsia="zh-CN"/>
              </w:rPr>
              <w:t>项目。</w:t>
            </w:r>
            <w:r>
              <w:rPr>
                <w:rFonts w:hint="default" w:ascii="Times New Roman" w:hAnsi="Times New Roman" w:cs="Times New Roman"/>
                <w:szCs w:val="21"/>
                <w:lang w:val="en-US" w:eastAsia="zh-CN"/>
              </w:rPr>
              <w:t>满足生态环境准入清单、相关规划环评和相应行业建设项目环境准入条件、环评文件审批原则要求。</w:t>
            </w:r>
          </w:p>
        </w:tc>
        <w:tc>
          <w:tcPr>
            <w:tcW w:w="651" w:type="pct"/>
            <w:tcBorders>
              <w:tl2br w:val="nil"/>
              <w:tr2bl w:val="nil"/>
            </w:tcBorders>
            <w:noWrap w:val="0"/>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0" w:hRule="atLeast"/>
          <w:jc w:val="center"/>
        </w:trPr>
        <w:tc>
          <w:tcPr>
            <w:tcW w:w="2545" w:type="pct"/>
            <w:tcBorders>
              <w:tl2br w:val="nil"/>
              <w:tr2bl w:val="nil"/>
            </w:tcBorders>
            <w:noWrap w:val="0"/>
            <w:vAlign w:val="center"/>
          </w:tcPr>
          <w:p>
            <w:pPr>
              <w:jc w:val="both"/>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（四）</w:t>
            </w:r>
            <w:r>
              <w:rPr>
                <w:rFonts w:hint="default" w:ascii="Times New Roman" w:hAnsi="Times New Roman" w:cs="Times New Roman"/>
                <w:szCs w:val="21"/>
                <w:lang w:val="en-US" w:eastAsia="zh-CN"/>
              </w:rPr>
              <w:t>新建“两高”项目应按照《关于加强重点行业建设项目区域削减措施监督管理的通知》要求，依据区域环境质量改善目标，制定配套区域污染物削减方案，采取有效的污染物区域削减措施，腾出足够的环境容量。国家大气污染防治重点区域(以下称重点区域)内新建耗煤项目还应严格按规定采取煤炭消费减量替代措施，不得使用高污染燃料作为煤炭减量替代措施。</w:t>
            </w:r>
          </w:p>
        </w:tc>
        <w:tc>
          <w:tcPr>
            <w:tcW w:w="1802" w:type="pct"/>
            <w:tcBorders>
              <w:tl2br w:val="nil"/>
              <w:tr2bl w:val="nil"/>
            </w:tcBorders>
            <w:noWrap w:val="0"/>
            <w:vAlign w:val="center"/>
          </w:tcPr>
          <w:p>
            <w:pPr>
              <w:pStyle w:val="2"/>
              <w:spacing w:after="0" w:line="240" w:lineRule="auto"/>
              <w:ind w:left="0" w:leftChars="0" w:firstLine="0" w:firstLineChars="0"/>
              <w:rPr>
                <w:rFonts w:hint="default" w:ascii="Times New Roman" w:hAnsi="Times New Roman" w:cs="Times New Roman"/>
                <w:lang w:val="en-US" w:eastAsia="zh-CN"/>
              </w:rPr>
            </w:pPr>
            <w:r>
              <w:rPr>
                <w:rFonts w:hint="eastAsia" w:ascii="Times New Roman" w:hAnsi="Times New Roman" w:cs="Times New Roman"/>
                <w:szCs w:val="21"/>
                <w:highlight w:val="none"/>
                <w:lang w:val="en-US" w:eastAsia="zh-CN"/>
              </w:rPr>
              <w:t>本</w:t>
            </w:r>
            <w:r>
              <w:rPr>
                <w:rFonts w:hint="default" w:ascii="Times New Roman" w:hAnsi="Times New Roman" w:cs="Times New Roman"/>
                <w:lang w:val="en-US" w:eastAsia="zh-CN"/>
              </w:rPr>
              <w:t>项目</w:t>
            </w:r>
            <w:r>
              <w:rPr>
                <w:rFonts w:hint="eastAsia" w:ascii="Times New Roman" w:hAnsi="Times New Roman" w:cs="Times New Roman"/>
                <w:lang w:val="en-US" w:eastAsia="zh-CN"/>
              </w:rPr>
              <w:t>不属于“两高”项目</w:t>
            </w:r>
            <w:r>
              <w:rPr>
                <w:rFonts w:hint="default" w:ascii="Times New Roman" w:hAnsi="Times New Roman" w:cs="Times New Roman"/>
                <w:highlight w:val="none"/>
                <w:lang w:val="en-US" w:eastAsia="zh-CN"/>
              </w:rPr>
              <w:t>。</w:t>
            </w:r>
          </w:p>
        </w:tc>
        <w:tc>
          <w:tcPr>
            <w:tcW w:w="651" w:type="pct"/>
            <w:tcBorders>
              <w:tl2br w:val="nil"/>
              <w:tr2bl w:val="nil"/>
            </w:tcBorders>
            <w:noWrap w:val="0"/>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5000" w:type="pct"/>
            <w:gridSpan w:val="3"/>
            <w:tcBorders>
              <w:tl2br w:val="nil"/>
              <w:tr2bl w:val="nil"/>
            </w:tcBorders>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三、推进“两高”行业减污降碳协同控制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1" w:hRule="atLeast"/>
          <w:jc w:val="center"/>
        </w:trPr>
        <w:tc>
          <w:tcPr>
            <w:tcW w:w="2545" w:type="pct"/>
            <w:tcBorders>
              <w:tl2br w:val="nil"/>
              <w:tr2bl w:val="nil"/>
            </w:tcBorders>
            <w:noWrap w:val="0"/>
            <w:vAlign w:val="center"/>
          </w:tcPr>
          <w:p>
            <w:pPr>
              <w:jc w:val="both"/>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六）新建、扩建“两高”项目应采用先进适用的工艺技术和装备，单位产品物耗、能耗、水耗等达到清洁生产先进水平，依法制定并严格落实防治土壤与地下水污染的措施。国家或地方已出台超低排放要求的“两高”行业建设项目应满足超低排放要求。鼓励使用清洁燃料，重点区域建设项目原则上不新建燃煤自备锅炉。</w:t>
            </w:r>
          </w:p>
        </w:tc>
        <w:tc>
          <w:tcPr>
            <w:tcW w:w="1802" w:type="pct"/>
            <w:tcBorders>
              <w:tl2br w:val="nil"/>
              <w:tr2bl w:val="nil"/>
            </w:tcBorders>
            <w:noWrap w:val="0"/>
            <w:vAlign w:val="center"/>
          </w:tcPr>
          <w:p>
            <w:pPr>
              <w:pStyle w:val="2"/>
              <w:spacing w:after="0" w:line="240" w:lineRule="auto"/>
              <w:ind w:left="0" w:leftChars="0" w:firstLine="0" w:firstLineChars="0"/>
              <w:rPr>
                <w:rFonts w:hint="default" w:ascii="Times New Roman" w:hAnsi="Times New Roman" w:cs="Times New Roman"/>
                <w:lang w:val="en-US" w:eastAsia="zh-CN"/>
              </w:rPr>
            </w:pPr>
            <w:r>
              <w:rPr>
                <w:rFonts w:hint="eastAsia" w:ascii="Times New Roman" w:hAnsi="Times New Roman" w:cs="Times New Roman"/>
                <w:szCs w:val="21"/>
                <w:highlight w:val="none"/>
                <w:lang w:val="en-US" w:eastAsia="zh-CN"/>
              </w:rPr>
              <w:t>本</w:t>
            </w:r>
            <w:r>
              <w:rPr>
                <w:rFonts w:hint="default" w:ascii="Times New Roman" w:hAnsi="Times New Roman" w:cs="Times New Roman"/>
                <w:szCs w:val="21"/>
                <w:highlight w:val="none"/>
                <w:lang w:val="en-US" w:eastAsia="zh-CN"/>
              </w:rPr>
              <w:t>项目</w:t>
            </w:r>
            <w:r>
              <w:rPr>
                <w:rFonts w:hint="eastAsia" w:ascii="Times New Roman" w:hAnsi="Times New Roman" w:cs="Times New Roman"/>
                <w:szCs w:val="21"/>
                <w:highlight w:val="none"/>
                <w:lang w:val="en-US" w:eastAsia="zh-CN"/>
              </w:rPr>
              <w:t>不属于“两高”</w:t>
            </w:r>
            <w:r>
              <w:rPr>
                <w:rFonts w:hint="default" w:ascii="Times New Roman" w:hAnsi="Times New Roman" w:cs="Times New Roman"/>
                <w:szCs w:val="21"/>
                <w:highlight w:val="none"/>
                <w:lang w:val="en-US" w:eastAsia="zh-CN"/>
              </w:rPr>
              <w:t>项目</w:t>
            </w:r>
            <w:r>
              <w:rPr>
                <w:rFonts w:hint="eastAsia" w:ascii="Times New Roman" w:hAnsi="Times New Roman" w:cs="Times New Roman"/>
                <w:szCs w:val="21"/>
                <w:highlight w:val="none"/>
                <w:lang w:val="en-US" w:eastAsia="zh-CN"/>
              </w:rPr>
              <w:t>，项目运行过程中不涉及高污染燃料，不使用煤炭等能源。</w:t>
            </w:r>
          </w:p>
        </w:tc>
        <w:tc>
          <w:tcPr>
            <w:tcW w:w="651" w:type="pct"/>
            <w:tcBorders>
              <w:tl2br w:val="nil"/>
              <w:tr2bl w:val="nil"/>
            </w:tcBorders>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符合</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由上表可知，本项目建设符</w:t>
      </w:r>
      <w:r>
        <w:rPr>
          <w:rFonts w:hint="eastAsia" w:ascii="Times New Roman" w:hAnsi="Times New Roman" w:eastAsia="宋体" w:cs="Times New Roman"/>
          <w:b w:val="0"/>
          <w:bCs w:val="0"/>
          <w:sz w:val="24"/>
          <w:szCs w:val="24"/>
          <w:lang w:eastAsia="zh-CN"/>
        </w:rPr>
        <w:t>合</w:t>
      </w:r>
      <w:r>
        <w:rPr>
          <w:rFonts w:hint="default" w:ascii="Times New Roman" w:hAnsi="Times New Roman" w:eastAsia="宋体" w:cs="Times New Roman"/>
          <w:b w:val="0"/>
          <w:bCs w:val="0"/>
          <w:sz w:val="24"/>
          <w:szCs w:val="24"/>
        </w:rPr>
        <w:t>《关于加强高耗能、高排放建设项目生态环境源头防控的指导意见》（环环评[2021]45号）的相关要求。</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hint="eastAsia"/>
          <w:b/>
          <w:bCs/>
          <w:color w:val="auto"/>
          <w:sz w:val="30"/>
          <w:szCs w:val="30"/>
        </w:rPr>
      </w:pPr>
      <w:bookmarkStart w:id="67" w:name="_Toc22874"/>
      <w:bookmarkStart w:id="68" w:name="_Toc2917"/>
      <w:bookmarkStart w:id="69" w:name="_Toc20708"/>
      <w:r>
        <w:rPr>
          <w:rFonts w:hint="eastAsia" w:ascii="Times New Roman" w:hAnsi="Times New Roman" w:cs="Times New Roman"/>
          <w:b/>
          <w:bCs/>
          <w:color w:val="auto"/>
          <w:sz w:val="30"/>
          <w:szCs w:val="30"/>
          <w:lang w:val="en-US" w:eastAsia="zh-CN"/>
        </w:rPr>
        <w:t>8.2</w:t>
      </w:r>
      <w:r>
        <w:rPr>
          <w:b/>
          <w:bCs/>
          <w:color w:val="auto"/>
          <w:sz w:val="30"/>
          <w:szCs w:val="30"/>
        </w:rPr>
        <w:t xml:space="preserve"> </w:t>
      </w:r>
      <w:r>
        <w:rPr>
          <w:rFonts w:hint="eastAsia"/>
          <w:b/>
          <w:bCs/>
          <w:color w:val="auto"/>
          <w:sz w:val="30"/>
          <w:szCs w:val="30"/>
        </w:rPr>
        <w:t>环境的相容性分析</w:t>
      </w:r>
      <w:bookmarkEnd w:id="67"/>
      <w:bookmarkEnd w:id="68"/>
      <w:bookmarkEnd w:id="69"/>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rFonts w:hint="default"/>
          <w:b/>
          <w:bCs/>
          <w:color w:val="auto"/>
          <w:sz w:val="28"/>
          <w:szCs w:val="28"/>
          <w:lang w:val="en-US" w:eastAsia="zh-CN"/>
        </w:rPr>
      </w:pPr>
      <w:r>
        <w:rPr>
          <w:rFonts w:hint="eastAsia" w:ascii="Times New Roman" w:hAnsi="Times New Roman" w:cs="Times New Roman"/>
          <w:b/>
          <w:bCs/>
          <w:color w:val="auto"/>
          <w:sz w:val="28"/>
          <w:szCs w:val="28"/>
          <w:lang w:val="en-US" w:eastAsia="zh-CN"/>
        </w:rPr>
        <w:t>8.2</w:t>
      </w:r>
      <w:r>
        <w:rPr>
          <w:rFonts w:hint="default" w:ascii="Times New Roman" w:hAnsi="Times New Roman" w:cs="Times New Roman"/>
          <w:b/>
          <w:bCs/>
          <w:color w:val="auto"/>
          <w:sz w:val="28"/>
          <w:szCs w:val="28"/>
          <w:lang w:val="en-US" w:eastAsia="zh-CN"/>
        </w:rPr>
        <w:t>.1</w:t>
      </w:r>
      <w:r>
        <w:rPr>
          <w:rFonts w:hint="eastAsia"/>
          <w:b/>
          <w:bCs/>
          <w:color w:val="auto"/>
          <w:sz w:val="28"/>
          <w:szCs w:val="28"/>
          <w:lang w:val="en-US" w:eastAsia="zh-CN"/>
        </w:rPr>
        <w:t>环境功能规划</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根据当地的环境功能区划，</w:t>
      </w:r>
      <w:r>
        <w:rPr>
          <w:rFonts w:hint="eastAsia" w:ascii="Times New Roman" w:hAnsi="Times New Roman"/>
          <w:sz w:val="24"/>
          <w:szCs w:val="24"/>
          <w:lang w:val="en-US" w:eastAsia="zh-CN"/>
        </w:rPr>
        <w:t>本</w:t>
      </w:r>
      <w:r>
        <w:rPr>
          <w:rFonts w:hint="eastAsia" w:ascii="Times New Roman" w:hAnsi="Times New Roman"/>
          <w:sz w:val="24"/>
          <w:szCs w:val="24"/>
        </w:rPr>
        <w:t>项目所在区域环境标准执行：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环境空气</w:t>
      </w:r>
      <w:r>
        <w:rPr>
          <w:rFonts w:hint="eastAsia" w:ascii="Times New Roman" w:hAnsi="Times New Roman"/>
          <w:sz w:val="24"/>
          <w:szCs w:val="24"/>
          <w:lang w:eastAsia="zh-CN"/>
        </w:rPr>
        <w:t>：</w:t>
      </w:r>
      <w:r>
        <w:rPr>
          <w:rFonts w:hint="eastAsia" w:ascii="Times New Roman" w:hAnsi="Times New Roman"/>
          <w:sz w:val="24"/>
          <w:szCs w:val="24"/>
        </w:rPr>
        <w:t>环境空气执行《环境空气质量标准》（GB3095-2012）二级标准；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地表水</w:t>
      </w:r>
      <w:r>
        <w:rPr>
          <w:rFonts w:hint="eastAsia" w:ascii="Times New Roman" w:hAnsi="Times New Roman"/>
          <w:sz w:val="24"/>
          <w:szCs w:val="24"/>
          <w:lang w:eastAsia="zh-CN"/>
        </w:rPr>
        <w:t>：</w:t>
      </w:r>
      <w:r>
        <w:rPr>
          <w:rFonts w:hint="eastAsia" w:ascii="Times New Roman" w:hAnsi="Times New Roman"/>
          <w:sz w:val="24"/>
          <w:szCs w:val="24"/>
        </w:rPr>
        <w:t xml:space="preserve">地表水执行《地表水环境质量标准》(GB3838-2002) </w:t>
      </w:r>
      <w:r>
        <w:rPr>
          <w:rFonts w:hint="default" w:ascii="Times New Roman" w:hAnsi="Times New Roman"/>
          <w:sz w:val="24"/>
          <w:szCs w:val="24"/>
        </w:rPr>
        <w:t>Ⅴ</w:t>
      </w:r>
      <w:r>
        <w:rPr>
          <w:rFonts w:hint="eastAsia" w:ascii="Times New Roman" w:hAnsi="Times New Roman"/>
          <w:sz w:val="24"/>
          <w:szCs w:val="24"/>
        </w:rPr>
        <w:t xml:space="preserve">类标准；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地下水</w:t>
      </w:r>
      <w:r>
        <w:rPr>
          <w:rFonts w:hint="eastAsia" w:ascii="Times New Roman" w:hAnsi="Times New Roman"/>
          <w:sz w:val="24"/>
          <w:szCs w:val="24"/>
          <w:lang w:eastAsia="zh-CN"/>
        </w:rPr>
        <w:t>：</w:t>
      </w:r>
      <w:r>
        <w:rPr>
          <w:rFonts w:hint="eastAsia" w:ascii="Times New Roman" w:hAnsi="Times New Roman"/>
          <w:sz w:val="24"/>
          <w:szCs w:val="24"/>
        </w:rPr>
        <w:t>地下水执行《地下水质量标准》（GB/T14848-2018）</w:t>
      </w:r>
      <w:r>
        <w:rPr>
          <w:rFonts w:hint="default" w:ascii="Times New Roman" w:hAnsi="Times New Roman"/>
          <w:sz w:val="24"/>
          <w:szCs w:val="24"/>
        </w:rPr>
        <w:t>Ⅲ</w:t>
      </w:r>
      <w:r>
        <w:rPr>
          <w:rFonts w:hint="eastAsia" w:ascii="Times New Roman" w:hAnsi="Times New Roman"/>
          <w:sz w:val="24"/>
          <w:szCs w:val="24"/>
        </w:rPr>
        <w:t>类标准；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声环境</w:t>
      </w:r>
      <w:r>
        <w:rPr>
          <w:rFonts w:hint="eastAsia" w:ascii="Times New Roman" w:hAnsi="Times New Roman"/>
          <w:sz w:val="24"/>
          <w:szCs w:val="24"/>
          <w:lang w:eastAsia="zh-CN"/>
        </w:rPr>
        <w:t>：</w:t>
      </w:r>
      <w:r>
        <w:rPr>
          <w:rFonts w:hint="eastAsia" w:ascii="Times New Roman" w:hAnsi="Times New Roman"/>
          <w:sz w:val="24"/>
          <w:szCs w:val="24"/>
        </w:rPr>
        <w:t>厂区厂界区域声环境执行《声环境质量标准》（GB3096-2008）执行3类标准。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ascii="Times New Roman" w:hAnsi="Times New Roman"/>
          <w:sz w:val="24"/>
          <w:szCs w:val="24"/>
        </w:rPr>
      </w:pPr>
      <w:r>
        <w:rPr>
          <w:rFonts w:hint="eastAsia" w:ascii="Times New Roman" w:hAnsi="Times New Roman"/>
          <w:sz w:val="24"/>
          <w:szCs w:val="24"/>
        </w:rPr>
        <w:t>根据国家有关环保管理规定，项目所选厂址与当地的环境功能不相违背。</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rFonts w:hint="default"/>
          <w:b/>
          <w:bCs/>
          <w:color w:val="auto"/>
          <w:sz w:val="28"/>
          <w:szCs w:val="28"/>
          <w:lang w:val="en-US" w:eastAsia="zh-CN"/>
        </w:rPr>
      </w:pPr>
      <w:r>
        <w:rPr>
          <w:rFonts w:hint="eastAsia" w:ascii="Times New Roman" w:hAnsi="Times New Roman" w:cs="Times New Roman"/>
          <w:b/>
          <w:bCs/>
          <w:color w:val="auto"/>
          <w:sz w:val="28"/>
          <w:szCs w:val="28"/>
          <w:lang w:val="en-US" w:eastAsia="zh-CN"/>
        </w:rPr>
        <w:t>8.2</w:t>
      </w:r>
      <w:r>
        <w:rPr>
          <w:rFonts w:hint="default" w:ascii="Times New Roman" w:hAnsi="Times New Roman" w:cs="Times New Roman"/>
          <w:b/>
          <w:bCs/>
          <w:color w:val="auto"/>
          <w:sz w:val="28"/>
          <w:szCs w:val="28"/>
          <w:lang w:val="en-US" w:eastAsia="zh-CN"/>
        </w:rPr>
        <w:t>.</w:t>
      </w:r>
      <w:r>
        <w:rPr>
          <w:rFonts w:hint="eastAsia" w:ascii="Times New Roman" w:hAnsi="Times New Roman" w:cs="Times New Roman"/>
          <w:b/>
          <w:bCs/>
          <w:color w:val="auto"/>
          <w:sz w:val="28"/>
          <w:szCs w:val="28"/>
          <w:lang w:val="en-US" w:eastAsia="zh-CN"/>
        </w:rPr>
        <w:t>2</w:t>
      </w:r>
      <w:r>
        <w:rPr>
          <w:rFonts w:hint="eastAsia"/>
          <w:b/>
          <w:bCs/>
          <w:color w:val="auto"/>
          <w:sz w:val="28"/>
          <w:szCs w:val="28"/>
          <w:lang w:val="en-US" w:eastAsia="zh-CN"/>
        </w:rPr>
        <w:t>项目对环境影响</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（1）大气环境</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highlight w:val="none"/>
        </w:rPr>
      </w:pPr>
      <w:r>
        <w:rPr>
          <w:rFonts w:hint="eastAsia" w:ascii="Times New Roman" w:hAnsi="Times New Roman"/>
          <w:sz w:val="24"/>
          <w:szCs w:val="24"/>
          <w:highlight w:val="none"/>
        </w:rPr>
        <w:t>根据《环境影响评价技术导则 大气环境》(HJ2.2-2018)分级判据，确定本项目大气环境影响评价工作等级为</w:t>
      </w:r>
      <w:r>
        <w:rPr>
          <w:rFonts w:hint="eastAsia" w:ascii="Times New Roman" w:hAnsi="Times New Roman"/>
          <w:sz w:val="24"/>
          <w:szCs w:val="24"/>
          <w:highlight w:val="none"/>
          <w:lang w:val="en-US" w:eastAsia="zh-CN"/>
        </w:rPr>
        <w:t>二</w:t>
      </w:r>
      <w:r>
        <w:rPr>
          <w:rFonts w:hint="eastAsia" w:ascii="Times New Roman" w:hAnsi="Times New Roman"/>
          <w:sz w:val="24"/>
          <w:szCs w:val="24"/>
          <w:highlight w:val="none"/>
        </w:rPr>
        <w:t>级</w:t>
      </w:r>
      <w:r>
        <w:rPr>
          <w:rFonts w:hint="eastAsia" w:ascii="Times New Roman" w:hAnsi="Times New Roman"/>
          <w:sz w:val="24"/>
          <w:szCs w:val="24"/>
          <w:highlight w:val="none"/>
          <w:lang w:eastAsia="zh-CN"/>
        </w:rPr>
        <w:t>，</w:t>
      </w:r>
      <w:r>
        <w:rPr>
          <w:rFonts w:hint="eastAsia" w:ascii="Times New Roman" w:hAnsi="Times New Roman"/>
          <w:sz w:val="24"/>
          <w:szCs w:val="24"/>
          <w:highlight w:val="none"/>
        </w:rPr>
        <w:t>本项目通过采取严格的环保措施，对环境空气质量的影响不大，不会对周围敏感点产生明显影响，对区域环境空气质量影响较小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rPr>
        <w:t>（2）水环境</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rPr>
      </w:pPr>
      <w:r>
        <w:rPr>
          <w:rFonts w:hint="eastAsia" w:ascii="Times New Roman" w:hAnsi="Times New Roman"/>
          <w:sz w:val="24"/>
          <w:szCs w:val="24"/>
          <w:lang w:val="en-US" w:eastAsia="zh-CN"/>
        </w:rPr>
        <w:t>本项目生产废水收集后进入免烧砖生产线经过MVR+碱回收系统处理后回用，不排放；生活废水网排入博汇纸业废水处理项目</w:t>
      </w:r>
      <w:r>
        <w:rPr>
          <w:rFonts w:hint="default" w:ascii="Times New Roman" w:hAnsi="Times New Roman"/>
          <w:sz w:val="24"/>
          <w:szCs w:val="24"/>
          <w:lang w:val="en-US" w:eastAsia="zh-CN"/>
        </w:rPr>
        <w:t>处理</w:t>
      </w:r>
      <w:r>
        <w:rPr>
          <w:rFonts w:hint="eastAsia" w:ascii="Times New Roman" w:hAnsi="Times New Roman"/>
          <w:sz w:val="24"/>
          <w:szCs w:val="24"/>
          <w:lang w:val="en-US" w:eastAsia="zh-CN"/>
        </w:rPr>
        <w:t>后</w:t>
      </w:r>
      <w:r>
        <w:rPr>
          <w:rFonts w:hint="default" w:ascii="Times New Roman" w:hAnsi="Times New Roman"/>
          <w:sz w:val="24"/>
          <w:szCs w:val="24"/>
          <w:lang w:val="en-US" w:eastAsia="zh-CN"/>
        </w:rPr>
        <w:t>，</w:t>
      </w:r>
      <w:r>
        <w:rPr>
          <w:rFonts w:hint="eastAsia" w:ascii="Times New Roman" w:hAnsi="Times New Roman"/>
          <w:sz w:val="24"/>
          <w:szCs w:val="24"/>
          <w:lang w:val="en-US" w:eastAsia="zh-CN"/>
        </w:rPr>
        <w:t>排入杏花河，最终进入小清河</w:t>
      </w:r>
      <w:r>
        <w:rPr>
          <w:rFonts w:hint="eastAsia" w:ascii="Times New Roman" w:hAnsi="Times New Roman"/>
          <w:sz w:val="24"/>
          <w:szCs w:val="24"/>
        </w:rPr>
        <w:t>。目前</w:t>
      </w:r>
      <w:r>
        <w:rPr>
          <w:rFonts w:hint="eastAsia" w:ascii="Times New Roman" w:hAnsi="Times New Roman"/>
          <w:sz w:val="24"/>
          <w:szCs w:val="24"/>
          <w:lang w:val="en-US" w:eastAsia="zh-CN"/>
        </w:rPr>
        <w:t>绿色环保能源综合利用之废水处理改造项目正在进行改造</w:t>
      </w:r>
      <w:r>
        <w:rPr>
          <w:rFonts w:hint="eastAsia" w:ascii="Times New Roman" w:hAnsi="Times New Roman"/>
          <w:sz w:val="24"/>
          <w:szCs w:val="24"/>
        </w:rPr>
        <w:t>，其处理能力余量完全可以满足本项目废水处理量需求。根据</w:t>
      </w:r>
      <w:r>
        <w:rPr>
          <w:rFonts w:hint="eastAsia" w:ascii="Times New Roman" w:hAnsi="Times New Roman"/>
          <w:sz w:val="24"/>
          <w:szCs w:val="24"/>
          <w:lang w:val="en-US" w:eastAsia="zh-CN"/>
        </w:rPr>
        <w:t>6万m</w:t>
      </w:r>
      <w:r>
        <w:rPr>
          <w:rFonts w:hint="eastAsia" w:ascii="Times New Roman" w:hAnsi="Times New Roman"/>
          <w:sz w:val="24"/>
          <w:szCs w:val="24"/>
          <w:vertAlign w:val="superscript"/>
          <w:lang w:val="en-US" w:eastAsia="zh-CN"/>
        </w:rPr>
        <w:t>3</w:t>
      </w:r>
      <w:r>
        <w:rPr>
          <w:rFonts w:hint="eastAsia" w:ascii="Times New Roman" w:hAnsi="Times New Roman"/>
          <w:sz w:val="24"/>
          <w:szCs w:val="24"/>
          <w:lang w:val="en-US" w:eastAsia="zh-CN"/>
        </w:rPr>
        <w:t>/a污水处理厂</w:t>
      </w:r>
      <w:r>
        <w:rPr>
          <w:rFonts w:hint="eastAsia" w:ascii="Times New Roman" w:hAnsi="Times New Roman"/>
          <w:sz w:val="24"/>
          <w:szCs w:val="24"/>
        </w:rPr>
        <w:t>废水排放监测达标情况可知，出水水质可以达标排放。项目运营后废水量最终进入外环境的污染物量较少，对地表水环境影响较小。</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2"/>
        <w:rPr>
          <w:rFonts w:hint="default"/>
          <w:b/>
          <w:bCs/>
          <w:color w:val="auto"/>
          <w:sz w:val="28"/>
          <w:szCs w:val="28"/>
          <w:lang w:val="en-US" w:eastAsia="zh-CN"/>
        </w:rPr>
      </w:pPr>
      <w:r>
        <w:rPr>
          <w:rFonts w:hint="eastAsia" w:ascii="Times New Roman" w:hAnsi="Times New Roman" w:cs="Times New Roman"/>
          <w:b/>
          <w:bCs/>
          <w:color w:val="auto"/>
          <w:sz w:val="28"/>
          <w:szCs w:val="28"/>
          <w:lang w:val="en-US" w:eastAsia="zh-CN"/>
        </w:rPr>
        <w:t>8.2</w:t>
      </w:r>
      <w:r>
        <w:rPr>
          <w:rFonts w:hint="default" w:ascii="Times New Roman" w:hAnsi="Times New Roman" w:cs="Times New Roman"/>
          <w:b/>
          <w:bCs/>
          <w:color w:val="auto"/>
          <w:sz w:val="28"/>
          <w:szCs w:val="28"/>
          <w:lang w:val="en-US" w:eastAsia="zh-CN"/>
        </w:rPr>
        <w:t>.3</w:t>
      </w:r>
      <w:r>
        <w:rPr>
          <w:rFonts w:hint="eastAsia"/>
          <w:b/>
          <w:bCs/>
          <w:color w:val="auto"/>
          <w:sz w:val="28"/>
          <w:szCs w:val="28"/>
          <w:lang w:val="en-US" w:eastAsia="zh-CN"/>
        </w:rPr>
        <w:t>大气环境符合性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根据估算模型AERSCREEN计算结果可知，本项目各污染物厂界外大气污染物短期贡献浓度均未超过环境质量浓度限值，无需设置大气环境防护距离。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sectPr>
          <w:headerReference r:id="rId76" w:type="default"/>
          <w:footerReference r:id="rId7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sz w:val="24"/>
          <w:szCs w:val="24"/>
          <w:lang w:val="en-US" w:eastAsia="zh-CN"/>
        </w:rPr>
        <w:t>综上所述，</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项目符合国家产业政策、山东省环境管理和相关规划要求。在采取严格的环保和事故防范、环境风险应急预案等措施条件下，工程对周围环境的影响可以接受。综合利弊，在采取严格的防范措施前提下，</w:t>
      </w:r>
      <w:r>
        <w:rPr>
          <w:rFonts w:hint="eastAsia" w:ascii="Times New Roman" w:hAnsi="Times New Roman"/>
          <w:sz w:val="24"/>
          <w:szCs w:val="24"/>
          <w:lang w:val="en-US" w:eastAsia="zh-CN"/>
        </w:rPr>
        <w:t>本</w:t>
      </w:r>
      <w:r>
        <w:rPr>
          <w:rFonts w:hint="default" w:ascii="Times New Roman" w:hAnsi="Times New Roman"/>
          <w:sz w:val="24"/>
          <w:szCs w:val="24"/>
          <w:lang w:val="en-US" w:eastAsia="zh-CN"/>
        </w:rPr>
        <w:t>项目选址建设方案可行。</w:t>
      </w:r>
    </w:p>
    <w:p>
      <w:pPr>
        <w:pStyle w:val="7"/>
        <w:bidi w:val="0"/>
        <w:jc w:val="center"/>
        <w:rPr>
          <w:rFonts w:hint="default"/>
          <w:lang w:val="en-US" w:eastAsia="zh-CN"/>
        </w:rPr>
      </w:pPr>
      <w:bookmarkStart w:id="70" w:name="_Toc5701"/>
      <w:bookmarkStart w:id="71" w:name="_Toc24332"/>
      <w:r>
        <w:rPr>
          <w:rFonts w:hint="eastAsia" w:ascii="Times New Roman" w:hAnsi="Times New Roman" w:cs="Times New Roman"/>
          <w:lang w:val="en-US" w:eastAsia="zh-CN"/>
        </w:rPr>
        <w:t xml:space="preserve">9 </w:t>
      </w:r>
      <w:r>
        <w:rPr>
          <w:rFonts w:hint="eastAsia"/>
          <w:lang w:val="en-US" w:eastAsia="zh-CN"/>
        </w:rPr>
        <w:t>环境经济损益分析</w:t>
      </w:r>
      <w:bookmarkEnd w:id="70"/>
      <w:bookmarkEnd w:id="71"/>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sz w:val="24"/>
          <w:szCs w:val="24"/>
          <w:lang w:val="en-US" w:eastAsia="zh-CN"/>
        </w:rPr>
      </w:pPr>
      <w:r>
        <w:rPr>
          <w:rFonts w:hint="eastAsia"/>
          <w:sz w:val="24"/>
          <w:szCs w:val="24"/>
          <w:lang w:val="en-US" w:eastAsia="zh-CN"/>
        </w:rPr>
        <w:t>环境经济损益分析是从经济学的角度来分析、预测该项目的实施应体现的经济效益、社会效益和环境效益，本次环评的环境经济损益分析内容主要是统计分析环保措施投入的资金、运行费用和环境成本，并分析项目投产后取得的经济效益和社会效益。</w:t>
      </w: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72" w:name="_Toc7323"/>
      <w:bookmarkStart w:id="73" w:name="_Toc3660"/>
      <w:r>
        <w:rPr>
          <w:rFonts w:hint="eastAsia" w:ascii="Times New Roman" w:hAnsi="Times New Roman" w:eastAsia="宋体" w:cs="Times New Roman"/>
          <w:lang w:val="en-US" w:eastAsia="zh-CN"/>
        </w:rPr>
        <w:t>9</w:t>
      </w:r>
      <w:r>
        <w:rPr>
          <w:rFonts w:hint="default" w:ascii="Times New Roman" w:hAnsi="Times New Roman" w:eastAsia="宋体" w:cs="Times New Roman"/>
          <w:lang w:val="en-US" w:eastAsia="zh-CN"/>
        </w:rPr>
        <w:t>.1</w:t>
      </w:r>
      <w:r>
        <w:rPr>
          <w:rFonts w:hint="eastAsia" w:ascii="宋体" w:hAnsi="宋体" w:eastAsia="宋体" w:cs="宋体"/>
          <w:lang w:val="en-US" w:eastAsia="zh-CN"/>
        </w:rPr>
        <w:t>社会效益分析</w:t>
      </w:r>
      <w:bookmarkEnd w:id="72"/>
      <w:bookmarkEnd w:id="73"/>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本项目的建设和运营对促进项目区经济发展和产业结构优化调整具有积极作用，将产生较好的社会效益，主要表现在以下几个方面：</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（1）优化城市产业结构，促进经济发展，从而提升桓台市综合竞争力；</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（2）充分利用企业经济资源、自然资源与社会资源，合理利用人力、物力和财力，取得最佳经济效益；</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（3）提供更多就业机会，促进企业发展与社会稳定首先是可以解决当地就业，该项目可容纳 70 名职工就业，除部分管理和技术人员外，其余人员均从当地招聘，有助于缓解当地的就业压力；</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（4）该项目的建设能够提高企业的产品质量，提高劳动生产率，而且增强了企业的市场竞争力。</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综合以上分析，本项目的实施，在提高企业经济效益的同时，可通过增加纳税增加地方财政收入，带动当地经济的发展，具有较明显的社会效益。另外，项目可为当地提供一定的就业岗位，而且通过带动当地相关产业的发展，可提高当地就业率，增加居民收入，有利于改善居民生活水平。项目具有较好的社会效益。</w:t>
      </w:r>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74" w:name="_Toc22500"/>
      <w:bookmarkStart w:id="75" w:name="_Toc5972"/>
      <w:r>
        <w:rPr>
          <w:rFonts w:hint="eastAsia" w:ascii="Times New Roman" w:hAnsi="Times New Roman" w:eastAsia="宋体" w:cs="Times New Roman"/>
          <w:lang w:val="en-US" w:eastAsia="zh-CN"/>
        </w:rPr>
        <w:t>9</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2</w:t>
      </w:r>
      <w:r>
        <w:rPr>
          <w:rFonts w:hint="eastAsia" w:ascii="宋体" w:hAnsi="宋体" w:eastAsia="宋体" w:cs="宋体"/>
          <w:lang w:val="en-US" w:eastAsia="zh-CN"/>
        </w:rPr>
        <w:t>经济效益分析</w:t>
      </w:r>
      <w:bookmarkEnd w:id="74"/>
      <w:bookmarkEnd w:id="75"/>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项目投资34891万元。项目建成后年销售收入55513万元，投资回收期7.85年，工程主要财务评价指标见表9.2-1。</w:t>
      </w:r>
    </w:p>
    <w:p>
      <w:pPr>
        <w:pStyle w:val="2"/>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9.2</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eastAsia="宋体"/>
          <w:b/>
          <w:bCs/>
          <w:sz w:val="24"/>
          <w:szCs w:val="24"/>
          <w:lang w:val="en-US" w:eastAsia="zh-CN"/>
        </w:rPr>
        <w:t xml:space="preserve">  主要财务评价指标表一览表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3"/>
        <w:gridCol w:w="2627"/>
        <w:gridCol w:w="1373"/>
        <w:gridCol w:w="1850"/>
        <w:gridCol w:w="1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6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序号</w:t>
            </w:r>
          </w:p>
        </w:tc>
        <w:tc>
          <w:tcPr>
            <w:tcW w:w="26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指标名称</w:t>
            </w:r>
          </w:p>
        </w:tc>
        <w:tc>
          <w:tcPr>
            <w:tcW w:w="1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单位</w:t>
            </w:r>
          </w:p>
        </w:tc>
        <w:tc>
          <w:tcPr>
            <w:tcW w:w="18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指标值</w:t>
            </w:r>
          </w:p>
        </w:tc>
        <w:tc>
          <w:tcPr>
            <w:tcW w:w="18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6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c>
          <w:tcPr>
            <w:tcW w:w="26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总投资</w:t>
            </w:r>
          </w:p>
        </w:tc>
        <w:tc>
          <w:tcPr>
            <w:tcW w:w="1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万元</w:t>
            </w:r>
          </w:p>
        </w:tc>
        <w:tc>
          <w:tcPr>
            <w:tcW w:w="18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34891</w:t>
            </w:r>
          </w:p>
        </w:tc>
        <w:tc>
          <w:tcPr>
            <w:tcW w:w="18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6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c>
          <w:tcPr>
            <w:tcW w:w="26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年销售收入</w:t>
            </w:r>
          </w:p>
        </w:tc>
        <w:tc>
          <w:tcPr>
            <w:tcW w:w="1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万元</w:t>
            </w:r>
          </w:p>
        </w:tc>
        <w:tc>
          <w:tcPr>
            <w:tcW w:w="18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55513</w:t>
            </w:r>
          </w:p>
        </w:tc>
        <w:tc>
          <w:tcPr>
            <w:tcW w:w="18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正常生产年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6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w:t>
            </w:r>
          </w:p>
        </w:tc>
        <w:tc>
          <w:tcPr>
            <w:tcW w:w="26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年总成本费用</w:t>
            </w:r>
          </w:p>
        </w:tc>
        <w:tc>
          <w:tcPr>
            <w:tcW w:w="1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万元</w:t>
            </w:r>
          </w:p>
        </w:tc>
        <w:tc>
          <w:tcPr>
            <w:tcW w:w="18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51820</w:t>
            </w:r>
          </w:p>
        </w:tc>
        <w:tc>
          <w:tcPr>
            <w:tcW w:w="18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6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w:t>
            </w:r>
          </w:p>
        </w:tc>
        <w:tc>
          <w:tcPr>
            <w:tcW w:w="26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年利润总额</w:t>
            </w:r>
          </w:p>
        </w:tc>
        <w:tc>
          <w:tcPr>
            <w:tcW w:w="1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万元</w:t>
            </w:r>
          </w:p>
        </w:tc>
        <w:tc>
          <w:tcPr>
            <w:tcW w:w="18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3493</w:t>
            </w:r>
          </w:p>
        </w:tc>
        <w:tc>
          <w:tcPr>
            <w:tcW w:w="18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生产期年均值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6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w:t>
            </w:r>
          </w:p>
        </w:tc>
        <w:tc>
          <w:tcPr>
            <w:tcW w:w="26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财务内部收益率</w:t>
            </w:r>
          </w:p>
        </w:tc>
        <w:tc>
          <w:tcPr>
            <w:tcW w:w="1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8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19.37</w:t>
            </w:r>
          </w:p>
        </w:tc>
        <w:tc>
          <w:tcPr>
            <w:tcW w:w="18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6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6</w:t>
            </w:r>
          </w:p>
        </w:tc>
        <w:tc>
          <w:tcPr>
            <w:tcW w:w="26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全部投资回收期</w:t>
            </w:r>
          </w:p>
        </w:tc>
        <w:tc>
          <w:tcPr>
            <w:tcW w:w="1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年</w:t>
            </w:r>
          </w:p>
        </w:tc>
        <w:tc>
          <w:tcPr>
            <w:tcW w:w="18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7.85</w:t>
            </w:r>
          </w:p>
        </w:tc>
        <w:tc>
          <w:tcPr>
            <w:tcW w:w="18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不含建设期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6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w:t>
            </w:r>
          </w:p>
        </w:tc>
        <w:tc>
          <w:tcPr>
            <w:tcW w:w="26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总投资收益率</w:t>
            </w:r>
          </w:p>
        </w:tc>
        <w:tc>
          <w:tcPr>
            <w:tcW w:w="1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8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11.95</w:t>
            </w:r>
          </w:p>
        </w:tc>
        <w:tc>
          <w:tcPr>
            <w:tcW w:w="18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6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8</w:t>
            </w:r>
          </w:p>
        </w:tc>
        <w:tc>
          <w:tcPr>
            <w:tcW w:w="262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盈亏平衡点</w:t>
            </w:r>
          </w:p>
        </w:tc>
        <w:tc>
          <w:tcPr>
            <w:tcW w:w="1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w:t>
            </w:r>
          </w:p>
        </w:tc>
        <w:tc>
          <w:tcPr>
            <w:tcW w:w="185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71.52</w:t>
            </w:r>
          </w:p>
        </w:tc>
        <w:tc>
          <w:tcPr>
            <w:tcW w:w="189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达产年平均</w:t>
            </w:r>
          </w:p>
        </w:tc>
      </w:tr>
    </w:tbl>
    <w:p>
      <w:pPr>
        <w:pStyle w:val="8"/>
        <w:keepNext/>
        <w:keepLines/>
        <w:pageBreakBefore w:val="0"/>
        <w:widowControl w:val="0"/>
        <w:kinsoku/>
        <w:wordWrap/>
        <w:overflowPunct/>
        <w:topLinePunct w:val="0"/>
        <w:autoSpaceDE/>
        <w:autoSpaceDN/>
        <w:bidi w:val="0"/>
        <w:adjustRightInd/>
        <w:snapToGrid w:val="0"/>
        <w:spacing w:before="157" w:beforeLines="50" w:after="0" w:afterLines="0" w:line="360" w:lineRule="auto"/>
        <w:textAlignment w:val="auto"/>
        <w:rPr>
          <w:rFonts w:hint="default" w:ascii="宋体" w:hAnsi="宋体" w:eastAsia="宋体" w:cs="宋体"/>
          <w:lang w:val="en-US" w:eastAsia="zh-CN"/>
        </w:rPr>
      </w:pPr>
      <w:bookmarkStart w:id="76" w:name="_Toc3093"/>
      <w:bookmarkStart w:id="77" w:name="_Toc12697"/>
      <w:r>
        <w:rPr>
          <w:rFonts w:hint="eastAsia" w:ascii="Times New Roman" w:hAnsi="Times New Roman" w:eastAsia="宋体" w:cs="Times New Roman"/>
          <w:lang w:val="en-US" w:eastAsia="zh-CN"/>
        </w:rPr>
        <w:t>9</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3</w:t>
      </w:r>
      <w:r>
        <w:rPr>
          <w:rFonts w:hint="eastAsia" w:ascii="宋体" w:hAnsi="宋体" w:eastAsia="宋体" w:cs="宋体"/>
          <w:lang w:val="en-US" w:eastAsia="zh-CN"/>
        </w:rPr>
        <w:t>环境经济损益分析</w:t>
      </w:r>
      <w:bookmarkEnd w:id="76"/>
      <w:bookmarkEnd w:id="77"/>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default"/>
          <w:lang w:val="en-US" w:eastAsia="zh-CN"/>
        </w:rPr>
      </w:pPr>
      <w:r>
        <w:rPr>
          <w:rFonts w:hint="eastAsia" w:ascii="Times New Roman" w:hAnsi="Times New Roman"/>
          <w:b/>
          <w:bCs/>
          <w:color w:val="auto"/>
          <w:sz w:val="28"/>
          <w:szCs w:val="28"/>
          <w:lang w:val="en-US" w:eastAsia="zh-CN"/>
        </w:rPr>
        <w:t>9.3</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1</w:t>
      </w:r>
      <w:r>
        <w:rPr>
          <w:rFonts w:ascii="Times New Roman" w:hAnsi="Times New Roman"/>
          <w:b/>
          <w:bCs/>
          <w:color w:val="auto"/>
          <w:sz w:val="28"/>
          <w:szCs w:val="28"/>
        </w:rPr>
        <w:t xml:space="preserve"> </w:t>
      </w:r>
      <w:r>
        <w:rPr>
          <w:rFonts w:hint="eastAsia" w:ascii="Times New Roman" w:hAnsi="Times New Roman"/>
          <w:b/>
          <w:bCs/>
          <w:color w:val="auto"/>
          <w:sz w:val="28"/>
          <w:szCs w:val="28"/>
        </w:rPr>
        <w:t>环保投资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项目环保投资为</w:t>
      </w:r>
      <w:r>
        <w:rPr>
          <w:rFonts w:hint="eastAsia" w:ascii="Times New Roman" w:hAnsi="Times New Roman"/>
          <w:sz w:val="24"/>
          <w:szCs w:val="24"/>
          <w:highlight w:val="none"/>
          <w:lang w:val="en-US" w:eastAsia="zh-CN"/>
        </w:rPr>
        <w:t>380</w:t>
      </w:r>
      <w:r>
        <w:rPr>
          <w:rFonts w:hint="eastAsia" w:ascii="Times New Roman" w:hAnsi="Times New Roman"/>
          <w:sz w:val="24"/>
          <w:szCs w:val="24"/>
          <w:lang w:val="en-US" w:eastAsia="zh-CN"/>
        </w:rPr>
        <w:t>万元，主要包括废气治理设施、废水治理设施、固废治理设施、隔声降噪设施、防渗措施以及厂区绿化等投资。项目环保投资具体如表9.3-1所示。</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hint="eastAsia"/>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9.3</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eastAsia="宋体"/>
          <w:b/>
          <w:bCs/>
          <w:sz w:val="24"/>
          <w:szCs w:val="24"/>
          <w:lang w:val="en-US" w:eastAsia="zh-CN"/>
        </w:rPr>
        <w:t xml:space="preserve">  环保投资一览表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1038"/>
        <w:gridCol w:w="1825"/>
        <w:gridCol w:w="3475"/>
        <w:gridCol w:w="1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序号</w:t>
            </w:r>
          </w:p>
        </w:tc>
        <w:tc>
          <w:tcPr>
            <w:tcW w:w="2863"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项目</w:t>
            </w:r>
          </w:p>
        </w:tc>
        <w:tc>
          <w:tcPr>
            <w:tcW w:w="3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环保设施</w:t>
            </w:r>
          </w:p>
        </w:tc>
        <w:tc>
          <w:tcPr>
            <w:tcW w:w="1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环保投资</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c>
          <w:tcPr>
            <w:tcW w:w="1038"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废水处理设施</w:t>
            </w:r>
          </w:p>
        </w:tc>
        <w:tc>
          <w:tcPr>
            <w:tcW w:w="18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生活污水</w:t>
            </w:r>
          </w:p>
        </w:tc>
        <w:tc>
          <w:tcPr>
            <w:tcW w:w="3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雨污管道</w:t>
            </w:r>
          </w:p>
        </w:tc>
        <w:tc>
          <w:tcPr>
            <w:tcW w:w="1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c>
          <w:tcPr>
            <w:tcW w:w="103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8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生产废水</w:t>
            </w:r>
          </w:p>
        </w:tc>
        <w:tc>
          <w:tcPr>
            <w:tcW w:w="3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MVR系统</w:t>
            </w:r>
          </w:p>
        </w:tc>
        <w:tc>
          <w:tcPr>
            <w:tcW w:w="1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w:t>
            </w:r>
          </w:p>
        </w:tc>
        <w:tc>
          <w:tcPr>
            <w:tcW w:w="1038"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废气治理设施</w:t>
            </w:r>
          </w:p>
        </w:tc>
        <w:tc>
          <w:tcPr>
            <w:tcW w:w="18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堆场、筛分粉尘</w:t>
            </w:r>
          </w:p>
        </w:tc>
        <w:tc>
          <w:tcPr>
            <w:tcW w:w="3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防风抑尘墙、筛分密闭</w:t>
            </w:r>
          </w:p>
        </w:tc>
        <w:tc>
          <w:tcPr>
            <w:tcW w:w="1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03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8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车间及MVR臭气</w:t>
            </w:r>
          </w:p>
        </w:tc>
        <w:tc>
          <w:tcPr>
            <w:tcW w:w="3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RTO系统</w:t>
            </w:r>
          </w:p>
        </w:tc>
        <w:tc>
          <w:tcPr>
            <w:tcW w:w="1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w:t>
            </w:r>
          </w:p>
        </w:tc>
        <w:tc>
          <w:tcPr>
            <w:tcW w:w="2863"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噪声治理设施</w:t>
            </w:r>
          </w:p>
        </w:tc>
        <w:tc>
          <w:tcPr>
            <w:tcW w:w="3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隔声建筑、消声、减震等</w:t>
            </w:r>
          </w:p>
        </w:tc>
        <w:tc>
          <w:tcPr>
            <w:tcW w:w="1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w:t>
            </w:r>
          </w:p>
        </w:tc>
        <w:tc>
          <w:tcPr>
            <w:tcW w:w="1038"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固废处理设施</w:t>
            </w:r>
          </w:p>
        </w:tc>
        <w:tc>
          <w:tcPr>
            <w:tcW w:w="18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危险废物</w:t>
            </w:r>
          </w:p>
        </w:tc>
        <w:tc>
          <w:tcPr>
            <w:tcW w:w="3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委托有资质的单位处理</w:t>
            </w:r>
          </w:p>
        </w:tc>
        <w:tc>
          <w:tcPr>
            <w:tcW w:w="1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6</w:t>
            </w:r>
          </w:p>
        </w:tc>
        <w:tc>
          <w:tcPr>
            <w:tcW w:w="103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8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一般固废</w:t>
            </w:r>
          </w:p>
        </w:tc>
        <w:tc>
          <w:tcPr>
            <w:tcW w:w="3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收集暂存设备</w:t>
            </w:r>
          </w:p>
        </w:tc>
        <w:tc>
          <w:tcPr>
            <w:tcW w:w="1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w:t>
            </w:r>
          </w:p>
        </w:tc>
        <w:tc>
          <w:tcPr>
            <w:tcW w:w="103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82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厂区绿化</w:t>
            </w:r>
          </w:p>
        </w:tc>
        <w:tc>
          <w:tcPr>
            <w:tcW w:w="3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妥善处置</w:t>
            </w:r>
          </w:p>
        </w:tc>
        <w:tc>
          <w:tcPr>
            <w:tcW w:w="1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8</w:t>
            </w:r>
          </w:p>
        </w:tc>
        <w:tc>
          <w:tcPr>
            <w:tcW w:w="2863"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防渗</w:t>
            </w:r>
          </w:p>
        </w:tc>
        <w:tc>
          <w:tcPr>
            <w:tcW w:w="347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化学品间、堆场、事故水池等防渗</w:t>
            </w:r>
          </w:p>
        </w:tc>
        <w:tc>
          <w:tcPr>
            <w:tcW w:w="1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7081" w:type="dxa"/>
            <w:gridSpan w:val="4"/>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合计</w:t>
            </w:r>
          </w:p>
        </w:tc>
        <w:tc>
          <w:tcPr>
            <w:tcW w:w="14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380</w:t>
            </w:r>
          </w:p>
        </w:tc>
      </w:tr>
    </w:tbl>
    <w:p>
      <w:pPr>
        <w:pStyle w:val="2"/>
        <w:keepNext w:val="0"/>
        <w:keepLines w:val="0"/>
        <w:pageBreakBefore w:val="0"/>
        <w:widowControl w:val="0"/>
        <w:kinsoku/>
        <w:wordWrap/>
        <w:overflowPunct/>
        <w:topLinePunct w:val="0"/>
        <w:autoSpaceDE/>
        <w:autoSpaceDN/>
        <w:bidi w:val="0"/>
        <w:adjustRightInd/>
        <w:snapToGrid w:val="0"/>
        <w:spacing w:before="157" w:beforeLines="50" w:line="360" w:lineRule="auto"/>
        <w:ind w:left="0" w:leftChars="0" w:firstLine="0" w:firstLineChars="0"/>
        <w:textAlignment w:val="auto"/>
        <w:rPr>
          <w:rFonts w:hint="default"/>
          <w:lang w:val="en-US" w:eastAsia="zh-CN"/>
        </w:rPr>
      </w:pPr>
      <w:r>
        <w:rPr>
          <w:rFonts w:hint="eastAsia" w:ascii="Times New Roman" w:hAnsi="Times New Roman"/>
          <w:b/>
          <w:bCs/>
          <w:color w:val="auto"/>
          <w:sz w:val="28"/>
          <w:szCs w:val="28"/>
          <w:lang w:val="en-US" w:eastAsia="zh-CN"/>
        </w:rPr>
        <w:t>9.3</w:t>
      </w:r>
      <w:r>
        <w:rPr>
          <w:rFonts w:ascii="Times New Roman" w:hAnsi="Times New Roman"/>
          <w:b/>
          <w:bCs/>
          <w:color w:val="auto"/>
          <w:sz w:val="28"/>
          <w:szCs w:val="28"/>
        </w:rPr>
        <w:t>.</w:t>
      </w:r>
      <w:r>
        <w:rPr>
          <w:rFonts w:hint="eastAsia" w:ascii="Times New Roman" w:hAnsi="Times New Roman"/>
          <w:b/>
          <w:bCs/>
          <w:color w:val="auto"/>
          <w:sz w:val="28"/>
          <w:szCs w:val="28"/>
          <w:lang w:val="en-US" w:eastAsia="zh-CN"/>
        </w:rPr>
        <w:t>2</w:t>
      </w:r>
      <w:r>
        <w:rPr>
          <w:rFonts w:ascii="Times New Roman" w:hAnsi="Times New Roman"/>
          <w:b/>
          <w:bCs/>
          <w:color w:val="auto"/>
          <w:sz w:val="28"/>
          <w:szCs w:val="28"/>
        </w:rPr>
        <w:t xml:space="preserve"> </w:t>
      </w:r>
      <w:r>
        <w:rPr>
          <w:rFonts w:hint="eastAsia" w:ascii="Times New Roman" w:hAnsi="Times New Roman"/>
          <w:b/>
          <w:bCs/>
          <w:color w:val="auto"/>
          <w:sz w:val="28"/>
          <w:szCs w:val="28"/>
        </w:rPr>
        <w:t>环保投资效益分析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1、环保设施经营支出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环保设施经营支出包括环保设施折旧费、运行费和环保设施管理费。</w:t>
      </w:r>
    </w:p>
    <w:p>
      <w:pPr>
        <w:keepNext w:val="0"/>
        <w:keepLines w:val="0"/>
        <w:pageBreakBefore w:val="0"/>
        <w:widowControl w:val="0"/>
        <w:numPr>
          <w:ilvl w:val="0"/>
          <w:numId w:val="7"/>
        </w:numPr>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环保设施折旧费C</w:t>
      </w:r>
      <w:r>
        <w:rPr>
          <w:rFonts w:hint="eastAsia" w:ascii="Times New Roman" w:hAnsi="Times New Roman"/>
          <w:sz w:val="24"/>
          <w:szCs w:val="24"/>
          <w:vertAlign w:val="subscript"/>
          <w:lang w:val="en-US" w:eastAsia="zh-CN"/>
        </w:rPr>
        <w:t>1</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1</w:t>
      </w:r>
      <w:r>
        <w:rPr>
          <w:rFonts w:hint="eastAsia" w:ascii="Times New Roman" w:hAnsi="Times New Roman"/>
          <w:sz w:val="24"/>
          <w:szCs w:val="24"/>
          <w:lang w:val="en-US" w:eastAsia="zh-CN"/>
        </w:rPr>
        <w:t>=a×C</w:t>
      </w:r>
      <w:r>
        <w:rPr>
          <w:rFonts w:hint="eastAsia" w:ascii="Times New Roman" w:hAnsi="Times New Roman"/>
          <w:sz w:val="24"/>
          <w:szCs w:val="24"/>
          <w:vertAlign w:val="subscript"/>
          <w:lang w:val="en-US" w:eastAsia="zh-CN"/>
        </w:rPr>
        <w:t>0</w:t>
      </w:r>
      <w:r>
        <w:rPr>
          <w:rFonts w:hint="eastAsia" w:ascii="Times New Roman" w:hAnsi="Times New Roman"/>
          <w:sz w:val="24"/>
          <w:szCs w:val="24"/>
          <w:lang w:val="en-US" w:eastAsia="zh-CN"/>
        </w:rPr>
        <w:t>/n</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式中：a：固定资产形成率，取95%；</w:t>
      </w:r>
    </w:p>
    <w:p>
      <w:pPr>
        <w:keepNext w:val="0"/>
        <w:keepLines w:val="0"/>
        <w:pageBreakBefore w:val="0"/>
        <w:widowControl w:val="0"/>
        <w:kinsoku/>
        <w:wordWrap/>
        <w:overflowPunct/>
        <w:topLinePunct w:val="0"/>
        <w:autoSpaceDE/>
        <w:autoSpaceDN/>
        <w:bidi w:val="0"/>
        <w:adjustRightInd/>
        <w:snapToGrid w:val="0"/>
        <w:spacing w:line="360" w:lineRule="auto"/>
        <w:ind w:firstLine="1200" w:firstLineChars="5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0</w:t>
      </w:r>
      <w:r>
        <w:rPr>
          <w:rFonts w:hint="eastAsia" w:ascii="Times New Roman" w:hAnsi="Times New Roman"/>
          <w:sz w:val="24"/>
          <w:szCs w:val="24"/>
          <w:lang w:val="en-US" w:eastAsia="zh-CN"/>
        </w:rPr>
        <w:t>：环保总投资（万元）；</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         n：折旧年限，取10年。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（2）环保设施运行费用C</w:t>
      </w:r>
      <w:r>
        <w:rPr>
          <w:rFonts w:hint="eastAsia" w:ascii="Times New Roman" w:hAnsi="Times New Roman"/>
          <w:sz w:val="24"/>
          <w:szCs w:val="24"/>
          <w:vertAlign w:val="subscript"/>
          <w:lang w:val="en-US" w:eastAsia="zh-CN"/>
        </w:rPr>
        <w:t>2</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参照国内其它企业的有关资料，环保及综合利用设施的年运行费可按环保总投资的15%计算。</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2</w:t>
      </w: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0</w:t>
      </w:r>
      <w:r>
        <w:rPr>
          <w:rFonts w:hint="eastAsia" w:ascii="Times New Roman" w:hAnsi="Times New Roman"/>
          <w:sz w:val="24"/>
          <w:szCs w:val="24"/>
          <w:lang w:val="en-US" w:eastAsia="zh-CN"/>
        </w:rPr>
        <w:t>×15%</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（3）环保管理费用C</w:t>
      </w:r>
      <w:r>
        <w:rPr>
          <w:rFonts w:hint="eastAsia" w:ascii="Times New Roman" w:hAnsi="Times New Roman"/>
          <w:sz w:val="24"/>
          <w:szCs w:val="24"/>
          <w:vertAlign w:val="subscript"/>
          <w:lang w:val="en-US" w:eastAsia="zh-CN"/>
        </w:rPr>
        <w:t>3</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环保设施管理费用可按运行费用和折旧费用之和的15%考虑，即：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center"/>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3</w:t>
      </w: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1</w:t>
      </w: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2</w:t>
      </w:r>
      <w:r>
        <w:rPr>
          <w:rFonts w:hint="eastAsia" w:ascii="Times New Roman" w:hAnsi="Times New Roman"/>
          <w:sz w:val="24"/>
          <w:szCs w:val="24"/>
          <w:lang w:val="en-US" w:eastAsia="zh-CN"/>
        </w:rPr>
        <w:t>）×15%</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（4）环保设施经营支出C</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环保设施经营支出为上述 C</w:t>
      </w:r>
      <w:r>
        <w:rPr>
          <w:rFonts w:hint="eastAsia" w:ascii="Times New Roman" w:hAnsi="Times New Roman"/>
          <w:sz w:val="24"/>
          <w:szCs w:val="24"/>
          <w:vertAlign w:val="subscript"/>
          <w:lang w:val="en-US" w:eastAsia="zh-CN"/>
        </w:rPr>
        <w:t>1</w:t>
      </w: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2</w:t>
      </w: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3</w:t>
      </w:r>
      <w:r>
        <w:rPr>
          <w:rFonts w:hint="eastAsia" w:ascii="Times New Roman" w:hAnsi="Times New Roman"/>
          <w:sz w:val="24"/>
          <w:szCs w:val="24"/>
          <w:lang w:val="en-US" w:eastAsia="zh-CN"/>
        </w:rPr>
        <w:t>三项费用之和，即：</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C=C</w:t>
      </w:r>
      <w:r>
        <w:rPr>
          <w:rFonts w:hint="eastAsia" w:ascii="Times New Roman" w:hAnsi="Times New Roman"/>
          <w:sz w:val="24"/>
          <w:szCs w:val="24"/>
          <w:vertAlign w:val="subscript"/>
          <w:lang w:val="en-US" w:eastAsia="zh-CN"/>
        </w:rPr>
        <w:t>1</w:t>
      </w: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2</w:t>
      </w:r>
      <w:r>
        <w:rPr>
          <w:rFonts w:hint="eastAsia" w:ascii="Times New Roman" w:hAnsi="Times New Roman"/>
          <w:sz w:val="24"/>
          <w:szCs w:val="24"/>
          <w:lang w:val="en-US" w:eastAsia="zh-CN"/>
        </w:rPr>
        <w:t>+C</w:t>
      </w:r>
      <w:r>
        <w:rPr>
          <w:rFonts w:hint="eastAsia" w:ascii="Times New Roman" w:hAnsi="Times New Roman"/>
          <w:sz w:val="24"/>
          <w:szCs w:val="24"/>
          <w:vertAlign w:val="subscript"/>
          <w:lang w:val="en-US" w:eastAsia="zh-CN"/>
        </w:rPr>
        <w:t>3</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环保设施经营支出计算结果见表9.3-2。</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center"/>
        <w:textAlignment w:val="auto"/>
        <w:rPr>
          <w:rFonts w:hint="eastAsia"/>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9.3</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ascii="Times New Roman" w:hAnsi="Times New Roman" w:eastAsia="宋体"/>
          <w:b/>
          <w:bCs/>
          <w:sz w:val="24"/>
          <w:szCs w:val="24"/>
          <w:lang w:val="en-US" w:eastAsia="zh-CN"/>
        </w:rPr>
        <w:t xml:space="preserve">  环保设施经营支出费用一览表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2"/>
        <w:gridCol w:w="2588"/>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序号</w:t>
            </w:r>
          </w:p>
        </w:tc>
        <w:tc>
          <w:tcPr>
            <w:tcW w:w="25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项目</w:t>
            </w:r>
          </w:p>
        </w:tc>
        <w:tc>
          <w:tcPr>
            <w:tcW w:w="2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计算方法</w:t>
            </w:r>
          </w:p>
        </w:tc>
        <w:tc>
          <w:tcPr>
            <w:tcW w:w="2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费用（万元）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c>
          <w:tcPr>
            <w:tcW w:w="25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环保设施折旧费C</w:t>
            </w:r>
            <w:r>
              <w:rPr>
                <w:rFonts w:hint="eastAsia" w:ascii="Times New Roman" w:hAnsi="Times New Roman"/>
                <w:sz w:val="21"/>
                <w:szCs w:val="21"/>
                <w:vertAlign w:val="subscript"/>
                <w:lang w:val="en-US" w:eastAsia="zh-CN"/>
              </w:rPr>
              <w:t>1</w:t>
            </w:r>
          </w:p>
        </w:tc>
        <w:tc>
          <w:tcPr>
            <w:tcW w:w="2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C</w:t>
            </w:r>
            <w:r>
              <w:rPr>
                <w:rFonts w:hint="eastAsia" w:ascii="Times New Roman" w:hAnsi="Times New Roman"/>
                <w:sz w:val="21"/>
                <w:szCs w:val="21"/>
                <w:vertAlign w:val="subscript"/>
                <w:lang w:val="en-US" w:eastAsia="zh-CN"/>
              </w:rPr>
              <w:t>1</w:t>
            </w:r>
            <w:r>
              <w:rPr>
                <w:rFonts w:hint="eastAsia" w:ascii="Times New Roman" w:hAnsi="Times New Roman"/>
                <w:sz w:val="21"/>
                <w:szCs w:val="21"/>
                <w:vertAlign w:val="baseline"/>
                <w:lang w:val="en-US" w:eastAsia="zh-CN"/>
              </w:rPr>
              <w:t>=a×C</w:t>
            </w:r>
            <w:r>
              <w:rPr>
                <w:rFonts w:hint="eastAsia" w:ascii="Times New Roman" w:hAnsi="Times New Roman"/>
                <w:sz w:val="21"/>
                <w:szCs w:val="21"/>
                <w:vertAlign w:val="subscript"/>
                <w:lang w:val="en-US" w:eastAsia="zh-CN"/>
              </w:rPr>
              <w:t>0</w:t>
            </w:r>
            <w:r>
              <w:rPr>
                <w:rFonts w:hint="eastAsia" w:ascii="Times New Roman" w:hAnsi="Times New Roman"/>
                <w:sz w:val="21"/>
                <w:szCs w:val="21"/>
                <w:vertAlign w:val="baseline"/>
                <w:lang w:val="en-US" w:eastAsia="zh-CN"/>
              </w:rPr>
              <w:t>/n</w:t>
            </w:r>
          </w:p>
        </w:tc>
        <w:tc>
          <w:tcPr>
            <w:tcW w:w="2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c>
          <w:tcPr>
            <w:tcW w:w="25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环保设施运行费C</w:t>
            </w:r>
            <w:r>
              <w:rPr>
                <w:rFonts w:hint="eastAsia" w:ascii="Times New Roman" w:hAnsi="Times New Roman"/>
                <w:sz w:val="21"/>
                <w:szCs w:val="21"/>
                <w:vertAlign w:val="subscript"/>
                <w:lang w:val="en-US" w:eastAsia="zh-CN"/>
              </w:rPr>
              <w:t>2</w:t>
            </w:r>
          </w:p>
        </w:tc>
        <w:tc>
          <w:tcPr>
            <w:tcW w:w="2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C</w:t>
            </w:r>
            <w:r>
              <w:rPr>
                <w:rFonts w:hint="eastAsia" w:ascii="Times New Roman" w:hAnsi="Times New Roman"/>
                <w:sz w:val="21"/>
                <w:szCs w:val="21"/>
                <w:vertAlign w:val="subscript"/>
                <w:lang w:val="en-US" w:eastAsia="zh-CN"/>
              </w:rPr>
              <w:t>2</w:t>
            </w:r>
            <w:r>
              <w:rPr>
                <w:rFonts w:hint="eastAsia" w:ascii="Times New Roman" w:hAnsi="Times New Roman"/>
                <w:sz w:val="21"/>
                <w:szCs w:val="21"/>
                <w:vertAlign w:val="baseline"/>
                <w:lang w:val="en-US" w:eastAsia="zh-CN"/>
              </w:rPr>
              <w:t>=C</w:t>
            </w:r>
            <w:r>
              <w:rPr>
                <w:rFonts w:hint="eastAsia" w:ascii="Times New Roman" w:hAnsi="Times New Roman"/>
                <w:sz w:val="21"/>
                <w:szCs w:val="21"/>
                <w:vertAlign w:val="subscript"/>
                <w:lang w:val="en-US" w:eastAsia="zh-CN"/>
              </w:rPr>
              <w:t>0</w:t>
            </w:r>
            <w:r>
              <w:rPr>
                <w:rFonts w:hint="eastAsia" w:ascii="Times New Roman" w:hAnsi="Times New Roman"/>
                <w:sz w:val="21"/>
                <w:szCs w:val="21"/>
                <w:vertAlign w:val="baseline"/>
                <w:lang w:val="en-US" w:eastAsia="zh-CN"/>
              </w:rPr>
              <w:t>×15%</w:t>
            </w:r>
          </w:p>
        </w:tc>
        <w:tc>
          <w:tcPr>
            <w:tcW w:w="2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w:t>
            </w:r>
          </w:p>
        </w:tc>
        <w:tc>
          <w:tcPr>
            <w:tcW w:w="25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环保管理费用C</w:t>
            </w:r>
            <w:r>
              <w:rPr>
                <w:rFonts w:hint="eastAsia" w:ascii="Times New Roman" w:hAnsi="Times New Roman"/>
                <w:sz w:val="21"/>
                <w:szCs w:val="21"/>
                <w:vertAlign w:val="subscript"/>
                <w:lang w:val="en-US" w:eastAsia="zh-CN"/>
              </w:rPr>
              <w:t>3</w:t>
            </w:r>
          </w:p>
        </w:tc>
        <w:tc>
          <w:tcPr>
            <w:tcW w:w="2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C</w:t>
            </w:r>
            <w:r>
              <w:rPr>
                <w:rFonts w:hint="eastAsia" w:ascii="Times New Roman" w:hAnsi="Times New Roman"/>
                <w:sz w:val="21"/>
                <w:szCs w:val="21"/>
                <w:vertAlign w:val="subscript"/>
                <w:lang w:val="en-US" w:eastAsia="zh-CN"/>
              </w:rPr>
              <w:t>3</w:t>
            </w:r>
            <w:r>
              <w:rPr>
                <w:rFonts w:hint="eastAsia" w:ascii="Times New Roman" w:hAnsi="Times New Roman"/>
                <w:sz w:val="21"/>
                <w:szCs w:val="21"/>
                <w:vertAlign w:val="baseline"/>
                <w:lang w:val="en-US" w:eastAsia="zh-CN"/>
              </w:rPr>
              <w:t>=（C</w:t>
            </w:r>
            <w:r>
              <w:rPr>
                <w:rFonts w:hint="eastAsia" w:ascii="Times New Roman" w:hAnsi="Times New Roman"/>
                <w:sz w:val="21"/>
                <w:szCs w:val="21"/>
                <w:vertAlign w:val="subscript"/>
                <w:lang w:val="en-US" w:eastAsia="zh-CN"/>
              </w:rPr>
              <w:t>1</w:t>
            </w:r>
            <w:r>
              <w:rPr>
                <w:rFonts w:hint="eastAsia" w:ascii="Times New Roman" w:hAnsi="Times New Roman"/>
                <w:sz w:val="21"/>
                <w:szCs w:val="21"/>
                <w:vertAlign w:val="baseline"/>
                <w:lang w:val="en-US" w:eastAsia="zh-CN"/>
              </w:rPr>
              <w:t>+C</w:t>
            </w:r>
            <w:r>
              <w:rPr>
                <w:rFonts w:hint="eastAsia" w:ascii="Times New Roman" w:hAnsi="Times New Roman"/>
                <w:sz w:val="21"/>
                <w:szCs w:val="21"/>
                <w:vertAlign w:val="subscript"/>
                <w:lang w:val="en-US" w:eastAsia="zh-CN"/>
              </w:rPr>
              <w:t>2</w:t>
            </w:r>
            <w:r>
              <w:rPr>
                <w:rFonts w:hint="eastAsia" w:ascii="Times New Roman" w:hAnsi="Times New Roman"/>
                <w:sz w:val="21"/>
                <w:szCs w:val="21"/>
                <w:vertAlign w:val="baseline"/>
                <w:lang w:val="en-US" w:eastAsia="zh-CN"/>
              </w:rPr>
              <w:t>）×15%</w:t>
            </w:r>
          </w:p>
        </w:tc>
        <w:tc>
          <w:tcPr>
            <w:tcW w:w="2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w:t>
            </w:r>
          </w:p>
        </w:tc>
        <w:tc>
          <w:tcPr>
            <w:tcW w:w="258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环保设施经营支出C</w:t>
            </w:r>
          </w:p>
        </w:tc>
        <w:tc>
          <w:tcPr>
            <w:tcW w:w="2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C=C</w:t>
            </w:r>
            <w:r>
              <w:rPr>
                <w:rFonts w:hint="eastAsia" w:ascii="Times New Roman" w:hAnsi="Times New Roman"/>
                <w:sz w:val="21"/>
                <w:szCs w:val="21"/>
                <w:vertAlign w:val="subscript"/>
                <w:lang w:val="en-US" w:eastAsia="zh-CN"/>
              </w:rPr>
              <w:t>1</w:t>
            </w:r>
            <w:r>
              <w:rPr>
                <w:rFonts w:hint="eastAsia" w:ascii="Times New Roman" w:hAnsi="Times New Roman"/>
                <w:sz w:val="21"/>
                <w:szCs w:val="21"/>
                <w:vertAlign w:val="baseline"/>
                <w:lang w:val="en-US" w:eastAsia="zh-CN"/>
              </w:rPr>
              <w:t>+C</w:t>
            </w:r>
            <w:r>
              <w:rPr>
                <w:rFonts w:hint="eastAsia" w:ascii="Times New Roman" w:hAnsi="Times New Roman"/>
                <w:sz w:val="21"/>
                <w:szCs w:val="21"/>
                <w:vertAlign w:val="subscript"/>
                <w:lang w:val="en-US" w:eastAsia="zh-CN"/>
              </w:rPr>
              <w:t>2</w:t>
            </w:r>
            <w:r>
              <w:rPr>
                <w:rFonts w:hint="eastAsia" w:ascii="Times New Roman" w:hAnsi="Times New Roman"/>
                <w:sz w:val="21"/>
                <w:szCs w:val="21"/>
                <w:vertAlign w:val="baseline"/>
                <w:lang w:val="en-US" w:eastAsia="zh-CN"/>
              </w:rPr>
              <w:t>+C</w:t>
            </w:r>
            <w:r>
              <w:rPr>
                <w:rFonts w:hint="eastAsia" w:ascii="Times New Roman" w:hAnsi="Times New Roman"/>
                <w:sz w:val="21"/>
                <w:szCs w:val="21"/>
                <w:vertAlign w:val="subscript"/>
                <w:lang w:val="en-US" w:eastAsia="zh-CN"/>
              </w:rPr>
              <w:t>3</w:t>
            </w:r>
          </w:p>
        </w:tc>
        <w:tc>
          <w:tcPr>
            <w:tcW w:w="21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107.2</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2、环保投资效益估算</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由表9.3-2分析可知，项目环保设施经营支出费用为107.2万元，约占企业年收入的0.19%，因此在搞好项目环境保护工作的同时，所发生的环境费用对建设项目的收益影响不大。</w:t>
      </w:r>
    </w:p>
    <w:p>
      <w:pPr>
        <w:pStyle w:val="8"/>
        <w:keepNext/>
        <w:keepLines/>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78" w:name="_Toc24188"/>
      <w:bookmarkStart w:id="79" w:name="_Toc16821"/>
      <w:r>
        <w:rPr>
          <w:rFonts w:hint="eastAsia" w:ascii="Times New Roman" w:hAnsi="Times New Roman" w:eastAsia="宋体" w:cs="Times New Roman"/>
          <w:lang w:val="en-US" w:eastAsia="zh-CN"/>
        </w:rPr>
        <w:t>9</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4</w:t>
      </w:r>
      <w:r>
        <w:rPr>
          <w:rFonts w:hint="eastAsia" w:ascii="宋体" w:hAnsi="宋体" w:eastAsia="宋体" w:cs="宋体"/>
          <w:lang w:val="en-US" w:eastAsia="zh-CN"/>
        </w:rPr>
        <w:t>环境影响经济损益分析</w:t>
      </w:r>
      <w:bookmarkEnd w:id="78"/>
      <w:bookmarkEnd w:id="79"/>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由环保措施论证可知，项目采用了国内较为先进的生产工艺，同时采取了完善的污染防治措施，可确保污染物达标排放。根据环境空气影响分析结果，项目的实施对周围大气环境质量影响较小，不会改变当地环境空气质量功能；厂区内污水处理站、车间、原料区等均采取了严格的防腐防渗措施，对地下水明显较小影响；噪声污染源采取了有效的隔声降噪措施；固体废物全部综合利用或妥善处置。</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综合分析，采取上述环保措施后环境效益明显。</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p>
    <w:p>
      <w:pPr>
        <w:pStyle w:val="8"/>
        <w:keepNext/>
        <w:keepLines/>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80" w:name="_Toc21437"/>
      <w:bookmarkStart w:id="81" w:name="_Toc23262"/>
      <w:r>
        <w:rPr>
          <w:rFonts w:hint="eastAsia" w:ascii="Times New Roman" w:hAnsi="Times New Roman" w:eastAsia="宋体" w:cs="Times New Roman"/>
          <w:lang w:val="en-US" w:eastAsia="zh-CN"/>
        </w:rPr>
        <w:t>9</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5</w:t>
      </w:r>
      <w:r>
        <w:rPr>
          <w:rFonts w:hint="eastAsia" w:ascii="宋体" w:hAnsi="宋体" w:eastAsia="宋体" w:cs="宋体"/>
          <w:lang w:val="en-US" w:eastAsia="zh-CN"/>
        </w:rPr>
        <w:t>结论</w:t>
      </w:r>
      <w:bookmarkEnd w:id="80"/>
      <w:bookmarkEnd w:id="81"/>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综上所述，项目具有较好的经济效益和社会效益，同时，项目在采取完善的环保治理措施后，亦不会对当地环境产生明显影响，做到环境效益、经济效益和社会效益的协调发展。</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sectPr>
          <w:headerReference r:id="rId78" w:type="default"/>
          <w:footerReference r:id="rId79"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5"/>
        <w:keepNext w:val="0"/>
        <w:keepLines w:val="0"/>
        <w:pageBreakBefore w:val="0"/>
        <w:numPr>
          <w:ilvl w:val="0"/>
          <w:numId w:val="0"/>
        </w:numPr>
        <w:kinsoku/>
        <w:wordWrap/>
        <w:overflowPunct/>
        <w:topLinePunct w:val="0"/>
        <w:autoSpaceDE/>
        <w:autoSpaceDN/>
        <w:bidi w:val="0"/>
        <w:snapToGrid w:val="0"/>
        <w:spacing w:line="360" w:lineRule="auto"/>
        <w:jc w:val="center"/>
        <w:outlineLvl w:val="0"/>
        <w:rPr>
          <w:rFonts w:hint="eastAsia" w:cs="Times New Roman"/>
          <w:b/>
          <w:color w:val="auto"/>
          <w:sz w:val="32"/>
          <w:szCs w:val="32"/>
          <w:lang w:val="en-US" w:eastAsia="zh-CN"/>
        </w:rPr>
      </w:pPr>
      <w:bookmarkStart w:id="82" w:name="_Toc18047"/>
      <w:bookmarkStart w:id="83" w:name="_Toc16434"/>
      <w:bookmarkStart w:id="84" w:name="_Toc17004"/>
      <w:r>
        <w:rPr>
          <w:rFonts w:hint="default" w:ascii="Times New Roman" w:hAnsi="Times New Roman" w:cs="Times New Roman"/>
          <w:b/>
          <w:color w:val="auto"/>
          <w:sz w:val="32"/>
          <w:szCs w:val="32"/>
          <w:lang w:val="en-US" w:eastAsia="zh-CN"/>
        </w:rPr>
        <w:t xml:space="preserve">10 </w:t>
      </w:r>
      <w:r>
        <w:rPr>
          <w:rFonts w:hint="eastAsia" w:cs="Times New Roman"/>
          <w:b/>
          <w:color w:val="auto"/>
          <w:sz w:val="32"/>
          <w:szCs w:val="32"/>
          <w:lang w:val="en-US" w:eastAsia="zh-CN"/>
        </w:rPr>
        <w:t>环境管理与监测计划</w:t>
      </w:r>
      <w:bookmarkEnd w:id="82"/>
      <w:bookmarkEnd w:id="83"/>
      <w:bookmarkEnd w:id="84"/>
    </w:p>
    <w:p>
      <w:pPr>
        <w:pStyle w:val="2"/>
        <w:rPr>
          <w:rFonts w:hint="eastAsia"/>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环境管理是企业全面质量管理中的重要组成部分。建立健全环保机构、加强环保管理工作是强化企业环境管理的必要手段。把环保工作纳入生产管理，对于减少污染物排放、促进资源的合理利用与回收、推动企业循环经济的发展，促进企业经济与环境的协调发展有着重要意义。</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建设项目的环境管理以项目验收为界，划分为验收前的环境管理和验收后的日常环境管理。验收前的环境管理与监测，主要指项目建设前期、建设中、试生产期间的环境管理与监测，由环境保护行政主管部门及所属环境监测站负责，主要考查环境影响评价制度、环保建议、环评批复意见、“三同时”制度的执行和落实情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其中，建设项目环境保护设施竣工验收，作为建设项目环境管理的核心环节，环保措施落实情况的最终体现和全面反映，重点考查污染源排放参数和规律、环保设施设计参数和运行负荷、排污总口的规范化以及企业内部的环境管理制度建立健全等，为环境保护行政主管部门的监督管理提供依据。</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验收后的日常环境管理与监测，作为企业内部生产管理中的重要环节，是在环境保护行政主管部门的环境管理与监测监督下，企业为推行清洁生产，减少污染物排放，促进资源的合理利用与回收，提高经济效益和环境效益而进行自省、自查、自改的措施和保障。</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hint="eastAsia" w:ascii="Times New Roman" w:hAnsi="Times New Roman"/>
          <w:b/>
          <w:bCs/>
          <w:color w:val="auto"/>
          <w:sz w:val="30"/>
          <w:szCs w:val="30"/>
        </w:rPr>
      </w:pPr>
      <w:bookmarkStart w:id="85" w:name="_Toc1152"/>
      <w:bookmarkStart w:id="86" w:name="_Toc8441"/>
      <w:bookmarkStart w:id="87" w:name="_Toc5606"/>
      <w:r>
        <w:rPr>
          <w:rFonts w:hint="eastAsia" w:ascii="Times New Roman" w:hAnsi="Times New Roman"/>
          <w:b/>
          <w:bCs/>
          <w:color w:val="auto"/>
          <w:sz w:val="30"/>
          <w:szCs w:val="30"/>
          <w:lang w:val="en-US" w:eastAsia="zh-CN"/>
        </w:rPr>
        <w:t>10.1</w:t>
      </w:r>
      <w:r>
        <w:rPr>
          <w:rFonts w:ascii="Times New Roman" w:hAnsi="Times New Roman"/>
          <w:b/>
          <w:bCs/>
          <w:color w:val="auto"/>
          <w:sz w:val="30"/>
          <w:szCs w:val="30"/>
        </w:rPr>
        <w:t xml:space="preserve"> </w:t>
      </w:r>
      <w:r>
        <w:rPr>
          <w:rFonts w:hint="eastAsia" w:ascii="Times New Roman" w:hAnsi="Times New Roman"/>
          <w:b/>
          <w:bCs/>
          <w:color w:val="auto"/>
          <w:sz w:val="30"/>
          <w:szCs w:val="30"/>
        </w:rPr>
        <w:t>环境管理</w:t>
      </w:r>
      <w:bookmarkEnd w:id="85"/>
      <w:bookmarkEnd w:id="86"/>
      <w:bookmarkEnd w:id="87"/>
    </w:p>
    <w:p>
      <w:pPr>
        <w:keepNext w:val="0"/>
        <w:keepLines w:val="0"/>
        <w:pageBreakBefore w:val="0"/>
        <w:kinsoku/>
        <w:wordWrap/>
        <w:overflowPunct/>
        <w:topLinePunct w:val="0"/>
        <w:autoSpaceDE/>
        <w:autoSpaceDN/>
        <w:bidi w:val="0"/>
        <w:snapToGrid w:val="0"/>
        <w:spacing w:line="360" w:lineRule="auto"/>
        <w:rPr>
          <w:rFonts w:hint="default" w:ascii="Times New Roman" w:hAnsi="Times New Roman"/>
          <w:b/>
          <w:bCs/>
          <w:sz w:val="28"/>
          <w:szCs w:val="28"/>
          <w:lang w:val="en-US" w:eastAsia="zh-CN"/>
        </w:rPr>
      </w:pPr>
      <w:r>
        <w:rPr>
          <w:rFonts w:hint="eastAsia" w:ascii="Times New Roman" w:hAnsi="Times New Roman"/>
          <w:b/>
          <w:bCs/>
          <w:sz w:val="28"/>
          <w:szCs w:val="28"/>
          <w:lang w:val="en-US" w:eastAsia="zh-CN"/>
        </w:rPr>
        <w:t>10.1.1环境管理的目的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按照“三同时”制度的指导思想，在项目完成后，必须加强环境管理和监测计划，使各种污染物的排放达到国家、地方有关排放标准要求，从而提高企业的管理水平和社会环境质量，使企业得以最优化发展。为此，本工程应当配备专门的环境管理及监测机构，并确定相应的职责，制定监测计划。</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8"/>
          <w:szCs w:val="28"/>
          <w:lang w:val="en-US" w:eastAsia="zh-CN"/>
        </w:rPr>
      </w:pPr>
      <w:r>
        <w:rPr>
          <w:rFonts w:hint="eastAsia" w:ascii="Times New Roman" w:hAnsi="Times New Roman"/>
          <w:b/>
          <w:bCs/>
          <w:sz w:val="28"/>
          <w:szCs w:val="28"/>
          <w:lang w:val="en-US" w:eastAsia="zh-CN"/>
        </w:rPr>
        <w:t>10.1.2机构设置</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公司成立了专门的环保处（博汇股字[2003]51号）。设有一名分管环保的副总经理，环保处分管公司的环保手续、建设项目“三同时”实施的监督检查、与环保部门的协调等工作。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环保处的主要职责是按照国家有关环保法规、规范，建立健全各项规章制度，监督环保设施运转情况，负责填报环境统计报表，建立环境保护档案。</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目前公司监测站可以开展的监测项目主要有污水中的pH、SS、COD、BOD</w:t>
      </w:r>
      <w:r>
        <w:rPr>
          <w:rFonts w:hint="eastAsia" w:ascii="Times New Roman" w:hAnsi="Times New Roman"/>
          <w:sz w:val="24"/>
          <w:szCs w:val="24"/>
          <w:vertAlign w:val="subscript"/>
          <w:lang w:val="en-US" w:eastAsia="zh-CN"/>
        </w:rPr>
        <w:t>5</w:t>
      </w:r>
      <w:r>
        <w:rPr>
          <w:rFonts w:hint="eastAsia" w:ascii="Times New Roman" w:hAnsi="Times New Roman"/>
          <w:sz w:val="24"/>
          <w:szCs w:val="24"/>
          <w:lang w:val="en-US" w:eastAsia="zh-CN"/>
        </w:rPr>
        <w:t>、流量等，目前的污染因素噪声尚不具备监测能力。</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8"/>
          <w:szCs w:val="28"/>
          <w:lang w:val="en-US" w:eastAsia="zh-CN"/>
        </w:rPr>
      </w:pPr>
      <w:r>
        <w:rPr>
          <w:rFonts w:hint="eastAsia" w:ascii="Times New Roman" w:hAnsi="Times New Roman"/>
          <w:b/>
          <w:bCs/>
          <w:sz w:val="28"/>
          <w:szCs w:val="28"/>
          <w:lang w:val="en-US" w:eastAsia="zh-CN"/>
        </w:rPr>
        <w:t>10.1.3本工程管理机构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本工程主要依靠博汇纸业丰富的环境管理经验以及企业、当地环保部门成熟的环境管理制度来对本项目进行环境管理。</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8"/>
          <w:szCs w:val="28"/>
          <w:lang w:val="en-US" w:eastAsia="zh-CN"/>
        </w:rPr>
      </w:pPr>
      <w:r>
        <w:rPr>
          <w:rFonts w:hint="eastAsia" w:ascii="Times New Roman" w:hAnsi="Times New Roman"/>
          <w:b/>
          <w:bCs/>
          <w:sz w:val="28"/>
          <w:szCs w:val="28"/>
          <w:lang w:val="en-US" w:eastAsia="zh-CN"/>
        </w:rPr>
        <w:t>10.1.4机构主要职责与任务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1、环保处主要责任和任务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负责本项目日常环境管理工作，并对环境监测室行使管理权。主要职责由以下几项内容组成：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（1）协助领导贯彻执行环保法规和标准；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（2）组织制定本项目的环境保护规划和年度计划，并组织实施；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（3）参与本项目的环保工程设施的论证、设计，监督设施的安装调试，落实“三同时”制度的实施，推广环保先进经验和技术，推进清洁生产技术，改善环境质量；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（4）负责本项目的环境管理、环保知识的宣传教育和新技术推广；</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（5）定期检查环保设施运转情况，发现问题及时解决；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（6）掌握本项目污染状况，建立污染源档案和环保统计；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（7）按照上级环保主管部门的要求，制定环保监测计划，并组织、协调完成监测任务；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（8）制定环境监测站的管理制度和操作规程，组织和协调废水处理设施和环境监测工作的正常运行。贯彻执行国家环境保护法律法规和有关的环保标准。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2、环境监测站主要职责</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针对公司下发的监测计划，对生产环境污染物进行监测，按要求及时提供监测数据等，具体如下：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（1）负责定期监测各排污环节所排放污染物是否符合国家及省、市和地方规定的排放标准，发现问题及时汇报，并采取相应措施；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（2）参与工程环保设施竣工验收工作，负责环保设施运行过程中的监测分析工作和污染事故的调查工作；</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（3）完成预定的监测计划，建立监测报表、分析数据统计档案和填报环境报告，搞好监测仪器的维修保养及校验工作，确保监测工作的正常进行；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（4）完成环保处交给的环保监测任务；</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（5）注意和了解生产排污和环保设施的运行情况，随时掌握生产排污量是否正常，发现问题及时汇报，及时解决。</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8"/>
          <w:szCs w:val="28"/>
          <w:lang w:val="en-US" w:eastAsia="zh-CN"/>
        </w:rPr>
      </w:pPr>
      <w:r>
        <w:rPr>
          <w:rFonts w:hint="eastAsia" w:ascii="Times New Roman" w:hAnsi="Times New Roman"/>
          <w:b/>
          <w:bCs/>
          <w:sz w:val="28"/>
          <w:szCs w:val="28"/>
          <w:lang w:val="en-US" w:eastAsia="zh-CN"/>
        </w:rPr>
        <w:t>10.1.5排污口规范化管理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排污口是项目污染物进入环境、对环境产生影响的通道，强化排污口的管理是实施污染物总量控制的基础工作之一，也是区域环境管理逐步实现污染物排放科学化、定量化的重要手段。</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10</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b/>
          <w:bCs/>
          <w:sz w:val="24"/>
          <w:szCs w:val="24"/>
          <w:lang w:val="en-US" w:eastAsia="zh-CN"/>
        </w:rPr>
        <w:t>排污口规范化管理的基本原则</w:t>
      </w:r>
    </w:p>
    <w:p>
      <w:pPr>
        <w:pStyle w:val="2"/>
        <w:keepNext w:val="0"/>
        <w:keepLines w:val="0"/>
        <w:pageBreakBefore w:val="0"/>
        <w:widowControl w:val="0"/>
        <w:numPr>
          <w:ilvl w:val="0"/>
          <w:numId w:val="8"/>
        </w:numPr>
        <w:kinsoku/>
        <w:wordWrap/>
        <w:overflowPunct/>
        <w:topLinePunct w:val="0"/>
        <w:autoSpaceDE/>
        <w:autoSpaceDN/>
        <w:bidi w:val="0"/>
        <w:adjustRightInd/>
        <w:snapToGrid w:val="0"/>
        <w:spacing w:line="360" w:lineRule="auto"/>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向环境排放污染物的排污口必须规范化；</w:t>
      </w:r>
    </w:p>
    <w:p>
      <w:pPr>
        <w:pStyle w:val="2"/>
        <w:keepNext w:val="0"/>
        <w:keepLines w:val="0"/>
        <w:pageBreakBefore w:val="0"/>
        <w:widowControl w:val="0"/>
        <w:numPr>
          <w:ilvl w:val="0"/>
          <w:numId w:val="8"/>
        </w:numPr>
        <w:kinsoku/>
        <w:wordWrap/>
        <w:overflowPunct/>
        <w:topLinePunct w:val="0"/>
        <w:autoSpaceDE/>
        <w:autoSpaceDN/>
        <w:bidi w:val="0"/>
        <w:adjustRightInd/>
        <w:snapToGrid w:val="0"/>
        <w:spacing w:line="360" w:lineRule="auto"/>
        <w:ind w:left="0" w:leftChars="0"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根据工程特点和国家列入的总量控制指标，排放COD、NH</w:t>
      </w:r>
      <w:r>
        <w:rPr>
          <w:rFonts w:hint="eastAsia" w:ascii="Times New Roman" w:hAnsi="Times New Roman" w:eastAsia="宋体" w:cs="宋体"/>
          <w:color w:val="000000"/>
          <w:kern w:val="0"/>
          <w:sz w:val="24"/>
          <w:szCs w:val="24"/>
          <w:vertAlign w:val="subscript"/>
          <w:lang w:val="en-US" w:eastAsia="zh-CN" w:bidi="ar"/>
        </w:rPr>
        <w:t>3</w:t>
      </w:r>
      <w:r>
        <w:rPr>
          <w:rFonts w:hint="eastAsia" w:ascii="Times New Roman" w:hAnsi="Times New Roman" w:eastAsia="宋体" w:cs="宋体"/>
          <w:color w:val="000000"/>
          <w:kern w:val="0"/>
          <w:sz w:val="24"/>
          <w:szCs w:val="24"/>
          <w:lang w:val="en-US" w:eastAsia="zh-CN" w:bidi="ar"/>
        </w:rPr>
        <w:t>-N等污染物的废水排放口和向大气排放废气的排气筒作为管理的重点；</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3、排污口应便于采样与计量检测，便于日常现场监督检查。</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宋体" w:hAnsi="宋体" w:eastAsia="宋体" w:cs="宋体"/>
          <w:color w:val="000000"/>
          <w:kern w:val="0"/>
          <w:sz w:val="24"/>
          <w:szCs w:val="24"/>
          <w:lang w:val="en-US" w:eastAsia="zh-CN" w:bidi="ar"/>
        </w:rPr>
      </w:pPr>
      <w:r>
        <w:rPr>
          <w:rFonts w:hint="eastAsia" w:ascii="Times New Roman" w:hAnsi="Times New Roman" w:cs="Times New Roman"/>
          <w:b/>
          <w:bCs/>
          <w:sz w:val="24"/>
          <w:szCs w:val="24"/>
          <w:lang w:val="en-US" w:eastAsia="zh-CN"/>
        </w:rPr>
        <w:t>10</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2技术内容</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1、污水排放口与采样点的设置技术要求</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（1）排污口的设置必须合理确定，按照《排污口规范化整治技术要求（试行）》（环监[1996]470号）的要求，进行规范化管理。</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（2）排污口及采样点原则上应设置在厂界附近，采样点的设置应符合《污染源监测技术规范》的要求，污水采样点设置在工厂总排放口、污水处理设施的进水和出水口等处。</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w:t>
      </w:r>
      <w:r>
        <w:rPr>
          <w:rFonts w:hint="eastAsia" w:ascii="Times New Roman" w:hAnsi="Times New Roman" w:cs="宋体"/>
          <w:color w:val="000000"/>
          <w:kern w:val="0"/>
          <w:sz w:val="24"/>
          <w:szCs w:val="24"/>
          <w:lang w:val="en-US" w:eastAsia="zh-CN" w:bidi="ar"/>
        </w:rPr>
        <w:t>3</w:t>
      </w:r>
      <w:r>
        <w:rPr>
          <w:rFonts w:hint="eastAsia" w:ascii="Times New Roman" w:hAnsi="Times New Roman" w:eastAsia="宋体" w:cs="宋体"/>
          <w:color w:val="000000"/>
          <w:kern w:val="0"/>
          <w:sz w:val="24"/>
          <w:szCs w:val="24"/>
          <w:lang w:val="en-US" w:eastAsia="zh-CN" w:bidi="ar"/>
        </w:rPr>
        <w:t>）排污口和采样点处的水深一般情况下应＜1.2m，周围应当设置既能方便采样，又能保障采样人员安全的护栏等设施；排污口和采样点处水深≥1.2m 的，应设置水深警告标志，并强化安全防护设施设置。</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宋体" w:hAnsi="宋体" w:eastAsia="宋体" w:cs="宋体"/>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废气排放口与采样点的设置技术要求</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（1）排气筒应设置便于采样、监测的采样口。采样口的设置应符合《污染源监测技术规范》要求。</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宋体" w:hAnsi="宋体"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（2）无组织排放有毒有害气体的，应加装引风装置，进行收集、处理，并设置采样点</w:t>
      </w:r>
      <w:r>
        <w:rPr>
          <w:rFonts w:hint="eastAsia" w:ascii="宋体" w:hAnsi="宋体" w:eastAsia="宋体" w:cs="宋体"/>
          <w:color w:val="000000"/>
          <w:kern w:val="0"/>
          <w:sz w:val="24"/>
          <w:szCs w:val="24"/>
          <w:lang w:val="en-US" w:eastAsia="zh-CN" w:bidi="ar"/>
        </w:rPr>
        <w:t>。</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3、固体废物贮存场所的设置技术要求</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（1）一般固体废物应设置专用贮存、堆放场地。易造成二次扬尘的贮存、堆放场地，应采取不定时喷洒等防治措施。</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（2）有毒有害固体废物等危险废物，应设置专用堆放场地，并必须有防扬散、防流失、防渗漏等防治措施。</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4、固定噪声排放源的降噪措施及监测点的设置技术要求</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（1）根据不同噪声源情况，可采取减振降噪，吸声处理降噪、隔声处理降噪等措施，使其达到功能区标准要求。</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（2）在固定噪声源厂界噪声敏感、且对外界影响最大处设置该噪声源的监测点。</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cs="Times New Roman"/>
          <w:b/>
          <w:bCs/>
          <w:sz w:val="24"/>
          <w:szCs w:val="24"/>
          <w:lang w:val="en-US" w:eastAsia="zh-CN"/>
        </w:rPr>
        <w:t>10</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 排污口标志牌设置技术要求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1、污水排放口或采样点在厂界附近或厂界外的，排污口标志牌应就近在排污口或采样点附近醒目处设置；排污口或采样点采用开放性通道与厂区外界相连通的：通道长度＜50m的，排污口标志牌应在近排污口处设置；通道长度≥50m的，应在通道入口醒目处和近排污口处各设置一处标志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2、污水排放口标志牌的形状宜采取矩形，长度应＞600mm，宽度应＞300mm，标志牌上缘距地面2m。</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 xml:space="preserve">3、环境保护图形标志牌设置位置应距污染物排放口(源)及固体废物贮存(处置)场或采样点较近且醒目处，并能长久保留，其中：噪声排放源标志牌应设置在距选定监测点较近且醒目处。设置高度一般为：环境保护图形标志牌上缘距离地面2米。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4、排污口标志牌的内容和格式经区市环境保护行政主管部门审定后由排污单位制作（参考样式见表8.1-1）。</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5、排污口标志牌的图形标志、图形颜色及装置颜色、标志牌材质、表面处理、外观质量以及字体等要求应符合《环境保护图形标志-排放口（源）》（GB15562.1-1995）、《环境保护图形标志－固体废物贮存（处置）场》（GB15562.2-1995）及《山东省污水排放口环境信息公开技术规范》（DB37/T 2463-2014）等的要求。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污水排放口、废气排放口、噪声排放源和一般固体废物排放源的图形符号分为提示图形符号和警告图形符号两种，其中提示图形符号用于向人们提供某种环境信息，警告图形符号用于提醒人们注意污染物排放可能会造成危害。排污口标志牌设置情况见</w:t>
      </w:r>
      <w:r>
        <w:rPr>
          <w:rFonts w:hint="eastAsia" w:ascii="Times New Roman" w:hAnsi="Times New Roman" w:cs="宋体"/>
          <w:color w:val="000000"/>
          <w:kern w:val="0"/>
          <w:sz w:val="24"/>
          <w:szCs w:val="24"/>
          <w:lang w:val="en-US" w:eastAsia="zh-CN" w:bidi="ar"/>
        </w:rPr>
        <w:t>图10.1</w:t>
      </w:r>
      <w:r>
        <w:rPr>
          <w:rFonts w:hint="eastAsia" w:ascii="Times New Roman" w:hAnsi="Times New Roman" w:eastAsia="宋体" w:cs="宋体"/>
          <w:color w:val="000000"/>
          <w:kern w:val="0"/>
          <w:sz w:val="24"/>
          <w:szCs w:val="24"/>
          <w:lang w:val="en-US" w:eastAsia="zh-CN" w:bidi="ar"/>
        </w:rPr>
        <w:t>-1。</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7"/>
        <w:gridCol w:w="2200"/>
        <w:gridCol w:w="2107"/>
        <w:gridCol w:w="20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2" w:hRule="atLeast"/>
        </w:trPr>
        <w:tc>
          <w:tcPr>
            <w:tcW w:w="211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1214120" cy="1207770"/>
                  <wp:effectExtent l="0" t="0" r="5080" b="11430"/>
                  <wp:docPr id="307" name="图片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44" descr="1"/>
                          <pic:cNvPicPr>
                            <a:picLocks noChangeAspect="1"/>
                          </pic:cNvPicPr>
                        </pic:nvPicPr>
                        <pic:blipFill>
                          <a:blip r:embed="rId183"/>
                          <a:stretch>
                            <a:fillRect/>
                          </a:stretch>
                        </pic:blipFill>
                        <pic:spPr>
                          <a:xfrm>
                            <a:off x="0" y="0"/>
                            <a:ext cx="1214120" cy="1207770"/>
                          </a:xfrm>
                          <a:prstGeom prst="rect">
                            <a:avLst/>
                          </a:prstGeom>
                          <a:noFill/>
                          <a:ln>
                            <a:noFill/>
                          </a:ln>
                        </pic:spPr>
                      </pic:pic>
                    </a:graphicData>
                  </a:graphic>
                </wp:inline>
              </w:drawing>
            </w:r>
          </w:p>
        </w:tc>
        <w:tc>
          <w:tcPr>
            <w:tcW w:w="22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1266190" cy="1059815"/>
                  <wp:effectExtent l="0" t="0" r="10160" b="6985"/>
                  <wp:docPr id="314" name="图片 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45" descr="2"/>
                          <pic:cNvPicPr>
                            <a:picLocks noChangeAspect="1"/>
                          </pic:cNvPicPr>
                        </pic:nvPicPr>
                        <pic:blipFill>
                          <a:blip r:embed="rId184"/>
                          <a:stretch>
                            <a:fillRect/>
                          </a:stretch>
                        </pic:blipFill>
                        <pic:spPr>
                          <a:xfrm>
                            <a:off x="0" y="0"/>
                            <a:ext cx="1266190" cy="1059815"/>
                          </a:xfrm>
                          <a:prstGeom prst="rect">
                            <a:avLst/>
                          </a:prstGeom>
                          <a:noFill/>
                          <a:ln>
                            <a:noFill/>
                          </a:ln>
                        </pic:spPr>
                      </pic:pic>
                    </a:graphicData>
                  </a:graphic>
                </wp:inline>
              </w:drawing>
            </w:r>
          </w:p>
        </w:tc>
        <w:tc>
          <w:tcPr>
            <w:tcW w:w="210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1207770" cy="1210945"/>
                  <wp:effectExtent l="0" t="0" r="11430" b="8255"/>
                  <wp:docPr id="311" name="图片 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46" descr="3"/>
                          <pic:cNvPicPr>
                            <a:picLocks noChangeAspect="1"/>
                          </pic:cNvPicPr>
                        </pic:nvPicPr>
                        <pic:blipFill>
                          <a:blip r:embed="rId185"/>
                          <a:stretch>
                            <a:fillRect/>
                          </a:stretch>
                        </pic:blipFill>
                        <pic:spPr>
                          <a:xfrm>
                            <a:off x="0" y="0"/>
                            <a:ext cx="1207770" cy="1210945"/>
                          </a:xfrm>
                          <a:prstGeom prst="rect">
                            <a:avLst/>
                          </a:prstGeom>
                          <a:noFill/>
                          <a:ln>
                            <a:noFill/>
                          </a:ln>
                        </pic:spPr>
                      </pic:pic>
                    </a:graphicData>
                  </a:graphic>
                </wp:inline>
              </w:drawing>
            </w:r>
          </w:p>
        </w:tc>
        <w:tc>
          <w:tcPr>
            <w:tcW w:w="209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1197610" cy="1040130"/>
                  <wp:effectExtent l="0" t="0" r="2540" b="7620"/>
                  <wp:docPr id="312" name="图片 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7" descr="4"/>
                          <pic:cNvPicPr>
                            <a:picLocks noChangeAspect="1"/>
                          </pic:cNvPicPr>
                        </pic:nvPicPr>
                        <pic:blipFill>
                          <a:blip r:embed="rId186"/>
                          <a:stretch>
                            <a:fillRect/>
                          </a:stretch>
                        </pic:blipFill>
                        <pic:spPr>
                          <a:xfrm>
                            <a:off x="0" y="0"/>
                            <a:ext cx="1197610" cy="10401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211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eastAsia"/>
                <w:vertAlign w:val="baseline"/>
                <w:lang w:val="en-US" w:eastAsia="zh-CN"/>
              </w:rPr>
              <w:t>雨水排放口</w:t>
            </w:r>
          </w:p>
        </w:tc>
        <w:tc>
          <w:tcPr>
            <w:tcW w:w="22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eastAsia"/>
                <w:vertAlign w:val="baseline"/>
                <w:lang w:val="en-US" w:eastAsia="zh-CN"/>
              </w:rPr>
              <w:t>污水排放口</w:t>
            </w:r>
          </w:p>
        </w:tc>
        <w:tc>
          <w:tcPr>
            <w:tcW w:w="210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eastAsia"/>
                <w:vertAlign w:val="baseline"/>
                <w:lang w:val="en-US" w:eastAsia="zh-CN"/>
              </w:rPr>
              <w:t>废气排放口</w:t>
            </w:r>
          </w:p>
        </w:tc>
        <w:tc>
          <w:tcPr>
            <w:tcW w:w="209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eastAsia"/>
                <w:vertAlign w:val="baseline"/>
                <w:lang w:val="en-US" w:eastAsia="zh-CN"/>
              </w:rPr>
              <w:t>废气排放口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211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1204595" cy="1193800"/>
                  <wp:effectExtent l="0" t="0" r="14605" b="6350"/>
                  <wp:docPr id="308" name="图片 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48" descr="1"/>
                          <pic:cNvPicPr>
                            <a:picLocks noChangeAspect="1"/>
                          </pic:cNvPicPr>
                        </pic:nvPicPr>
                        <pic:blipFill>
                          <a:blip r:embed="rId187"/>
                          <a:stretch>
                            <a:fillRect/>
                          </a:stretch>
                        </pic:blipFill>
                        <pic:spPr>
                          <a:xfrm>
                            <a:off x="0" y="0"/>
                            <a:ext cx="1204595" cy="1193800"/>
                          </a:xfrm>
                          <a:prstGeom prst="rect">
                            <a:avLst/>
                          </a:prstGeom>
                          <a:noFill/>
                          <a:ln>
                            <a:noFill/>
                          </a:ln>
                        </pic:spPr>
                      </pic:pic>
                    </a:graphicData>
                  </a:graphic>
                </wp:inline>
              </w:drawing>
            </w:r>
          </w:p>
        </w:tc>
        <w:tc>
          <w:tcPr>
            <w:tcW w:w="22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1257935" cy="1034415"/>
                  <wp:effectExtent l="0" t="0" r="18415" b="13335"/>
                  <wp:docPr id="309" name="图片 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49" descr="2"/>
                          <pic:cNvPicPr>
                            <a:picLocks noChangeAspect="1"/>
                          </pic:cNvPicPr>
                        </pic:nvPicPr>
                        <pic:blipFill>
                          <a:blip r:embed="rId188"/>
                          <a:stretch>
                            <a:fillRect/>
                          </a:stretch>
                        </pic:blipFill>
                        <pic:spPr>
                          <a:xfrm>
                            <a:off x="0" y="0"/>
                            <a:ext cx="1257935" cy="1034415"/>
                          </a:xfrm>
                          <a:prstGeom prst="rect">
                            <a:avLst/>
                          </a:prstGeom>
                          <a:noFill/>
                          <a:ln>
                            <a:noFill/>
                          </a:ln>
                        </pic:spPr>
                      </pic:pic>
                    </a:graphicData>
                  </a:graphic>
                </wp:inline>
              </w:drawing>
            </w:r>
          </w:p>
        </w:tc>
        <w:tc>
          <w:tcPr>
            <w:tcW w:w="210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1204595" cy="1207770"/>
                  <wp:effectExtent l="0" t="0" r="14605" b="11430"/>
                  <wp:docPr id="310" name="图片 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50" descr="3"/>
                          <pic:cNvPicPr>
                            <a:picLocks noChangeAspect="1"/>
                          </pic:cNvPicPr>
                        </pic:nvPicPr>
                        <pic:blipFill>
                          <a:blip r:embed="rId189"/>
                          <a:stretch>
                            <a:fillRect/>
                          </a:stretch>
                        </pic:blipFill>
                        <pic:spPr>
                          <a:xfrm>
                            <a:off x="0" y="0"/>
                            <a:ext cx="1204595" cy="1207770"/>
                          </a:xfrm>
                          <a:prstGeom prst="rect">
                            <a:avLst/>
                          </a:prstGeom>
                          <a:noFill/>
                          <a:ln>
                            <a:noFill/>
                          </a:ln>
                        </pic:spPr>
                      </pic:pic>
                    </a:graphicData>
                  </a:graphic>
                </wp:inline>
              </w:drawing>
            </w:r>
          </w:p>
        </w:tc>
        <w:tc>
          <w:tcPr>
            <w:tcW w:w="209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default"/>
                <w:vertAlign w:val="baseline"/>
                <w:lang w:val="en-US" w:eastAsia="zh-CN"/>
              </w:rPr>
              <w:drawing>
                <wp:inline distT="0" distB="0" distL="114300" distR="114300">
                  <wp:extent cx="1184275" cy="979170"/>
                  <wp:effectExtent l="0" t="0" r="15875" b="11430"/>
                  <wp:docPr id="313" name="图片 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51" descr="4"/>
                          <pic:cNvPicPr>
                            <a:picLocks noChangeAspect="1"/>
                          </pic:cNvPicPr>
                        </pic:nvPicPr>
                        <pic:blipFill>
                          <a:blip r:embed="rId190"/>
                          <a:stretch>
                            <a:fillRect/>
                          </a:stretch>
                        </pic:blipFill>
                        <pic:spPr>
                          <a:xfrm>
                            <a:off x="0" y="0"/>
                            <a:ext cx="1184275" cy="9791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1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eastAsia"/>
                <w:vertAlign w:val="baseline"/>
                <w:lang w:val="en-US" w:eastAsia="zh-CN"/>
              </w:rPr>
              <w:t>噪声排放源</w:t>
            </w:r>
          </w:p>
        </w:tc>
        <w:tc>
          <w:tcPr>
            <w:tcW w:w="2200"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eastAsia"/>
                <w:vertAlign w:val="baseline"/>
                <w:lang w:val="en-US" w:eastAsia="zh-CN"/>
              </w:rPr>
              <w:t>噪声排放源</w:t>
            </w:r>
          </w:p>
        </w:tc>
        <w:tc>
          <w:tcPr>
            <w:tcW w:w="2107"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eastAsia"/>
                <w:vertAlign w:val="baseline"/>
                <w:lang w:val="en-US" w:eastAsia="zh-CN"/>
              </w:rPr>
              <w:t>一般固体废物</w:t>
            </w:r>
          </w:p>
        </w:tc>
        <w:tc>
          <w:tcPr>
            <w:tcW w:w="2092" w:type="dxa"/>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vertAlign w:val="baseline"/>
                <w:lang w:val="en-US" w:eastAsia="zh-CN"/>
              </w:rPr>
            </w:pPr>
            <w:r>
              <w:rPr>
                <w:rFonts w:hint="eastAsia"/>
                <w:vertAlign w:val="baseline"/>
                <w:lang w:val="en-US" w:eastAsia="zh-CN"/>
              </w:rPr>
              <w:t>一般固体废物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8516" w:type="dxa"/>
            <w:gridSpan w:val="4"/>
            <w:noWrap w:val="0"/>
            <w:vAlign w:val="center"/>
          </w:tcPr>
          <w:p>
            <w:pPr>
              <w:pStyle w:val="17"/>
              <w:keepNext w:val="0"/>
              <w:keepLines w:val="0"/>
              <w:pageBreakBefore w:val="0"/>
              <w:widowControl w:val="0"/>
              <w:kinsoku/>
              <w:wordWrap/>
              <w:overflowPunct/>
              <w:topLinePunct w:val="0"/>
              <w:autoSpaceDE/>
              <w:autoSpaceDN/>
              <w:bidi w:val="0"/>
              <w:adjustRightInd/>
              <w:snapToGrid w:val="0"/>
              <w:spacing w:after="0" w:line="240" w:lineRule="auto"/>
              <w:jc w:val="center"/>
              <w:textAlignment w:val="auto"/>
              <w:rPr>
                <w:rFonts w:hint="default"/>
                <w:vertAlign w:val="baseline"/>
                <w:lang w:val="en-US" w:eastAsia="zh-CN"/>
              </w:rPr>
            </w:pPr>
            <w:r>
              <w:rPr>
                <w:rFonts w:hint="eastAsia"/>
                <w:b/>
                <w:bCs/>
                <w:sz w:val="24"/>
                <w:szCs w:val="24"/>
                <w:lang w:val="en-US" w:eastAsia="zh-CN"/>
              </w:rPr>
              <w:t>图</w:t>
            </w:r>
            <w:r>
              <w:rPr>
                <w:rFonts w:hint="eastAsia" w:ascii="Times New Roman" w:hAnsi="Times New Roman" w:cs="Times New Roman"/>
                <w:b/>
                <w:bCs/>
                <w:sz w:val="24"/>
                <w:szCs w:val="24"/>
                <w:lang w:val="en-US" w:eastAsia="zh-CN"/>
              </w:rPr>
              <w:t>10.1</w:t>
            </w:r>
            <w:r>
              <w:rPr>
                <w:rFonts w:hint="default" w:ascii="Times New Roman" w:hAnsi="Times New Roman" w:cs="Times New Roman"/>
                <w:b/>
                <w:bCs/>
                <w:sz w:val="24"/>
                <w:szCs w:val="24"/>
                <w:lang w:val="en-US" w:eastAsia="zh-CN"/>
              </w:rPr>
              <w:t>-1</w:t>
            </w:r>
            <w:r>
              <w:rPr>
                <w:rFonts w:hint="default"/>
                <w:b/>
                <w:bCs/>
                <w:sz w:val="24"/>
                <w:szCs w:val="24"/>
                <w:lang w:val="en-US" w:eastAsia="zh-CN"/>
              </w:rPr>
              <w:t xml:space="preserve"> 排放口图形标志示意图</w:t>
            </w:r>
          </w:p>
        </w:tc>
      </w:tr>
    </w:tbl>
    <w:p>
      <w:pPr>
        <w:pStyle w:val="2"/>
        <w:keepNext w:val="0"/>
        <w:keepLines w:val="0"/>
        <w:pageBreakBefore w:val="0"/>
        <w:widowControl w:val="0"/>
        <w:kinsoku/>
        <w:wordWrap/>
        <w:overflowPunct/>
        <w:topLinePunct w:val="0"/>
        <w:autoSpaceDE/>
        <w:autoSpaceDN/>
        <w:bidi w:val="0"/>
        <w:adjustRightInd/>
        <w:snapToGrid w:val="0"/>
        <w:spacing w:before="161" w:beforeLines="50" w:line="360" w:lineRule="auto"/>
        <w:ind w:left="0" w:leftChars="0" w:firstLine="0" w:firstLineChars="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cs="Times New Roman"/>
          <w:b/>
          <w:bCs/>
          <w:sz w:val="24"/>
          <w:szCs w:val="24"/>
          <w:lang w:val="en-US" w:eastAsia="zh-CN"/>
        </w:rPr>
        <w:t>10</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 排污口建档管理</w:t>
      </w:r>
    </w:p>
    <w:p>
      <w:pPr>
        <w:pStyle w:val="25"/>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1、要求使用国家环保局统一印制的《中华人民共和国规范化排污口标志牌登记证》，并按要求填写有关内容；</w:t>
      </w:r>
    </w:p>
    <w:p>
      <w:pPr>
        <w:pStyle w:val="25"/>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2、登记证与标志牌配套使用，由各地环境保护部门签发给有关排污单位。登记证的一览表中的标志牌编号及登记卡上标志牌的编号应与标志牌辅助标志上的编号相一致。编号形式统一规定如下：</w:t>
      </w:r>
    </w:p>
    <w:p>
      <w:pPr>
        <w:pStyle w:val="25"/>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 xml:space="preserve"> 污水 WS－××××</w:t>
      </w:r>
      <w:r>
        <w:rPr>
          <w:rFonts w:hint="eastAsia" w:ascii="Times New Roman" w:hAnsi="Times New Roman" w:cs="宋体"/>
          <w:color w:val="000000"/>
          <w:kern w:val="0"/>
          <w:sz w:val="24"/>
          <w:szCs w:val="24"/>
          <w:lang w:val="en-US" w:eastAsia="zh-CN" w:bidi="ar"/>
        </w:rPr>
        <w:t xml:space="preserve">              </w:t>
      </w:r>
      <w:r>
        <w:rPr>
          <w:rFonts w:hint="eastAsia" w:ascii="Times New Roman" w:hAnsi="Times New Roman" w:eastAsia="宋体" w:cs="宋体"/>
          <w:color w:val="000000"/>
          <w:kern w:val="0"/>
          <w:sz w:val="24"/>
          <w:szCs w:val="24"/>
          <w:lang w:val="en-US" w:eastAsia="zh-CN" w:bidi="ar"/>
        </w:rPr>
        <w:t>噪声 ZS－×××××</w:t>
      </w:r>
    </w:p>
    <w:p>
      <w:pPr>
        <w:pStyle w:val="25"/>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 xml:space="preserve"> 废气 FQ－××××</w:t>
      </w:r>
      <w:r>
        <w:rPr>
          <w:rFonts w:hint="eastAsia" w:ascii="Times New Roman" w:hAnsi="Times New Roman" w:cs="宋体"/>
          <w:color w:val="000000"/>
          <w:kern w:val="0"/>
          <w:sz w:val="24"/>
          <w:szCs w:val="24"/>
          <w:lang w:val="en-US" w:eastAsia="zh-CN" w:bidi="ar"/>
        </w:rPr>
        <w:t xml:space="preserve">              </w:t>
      </w:r>
      <w:r>
        <w:rPr>
          <w:rFonts w:hint="eastAsia" w:ascii="Times New Roman" w:hAnsi="Times New Roman" w:eastAsia="宋体" w:cs="宋体"/>
          <w:color w:val="000000"/>
          <w:kern w:val="0"/>
          <w:sz w:val="24"/>
          <w:szCs w:val="24"/>
          <w:lang w:val="en-US" w:eastAsia="zh-CN" w:bidi="ar"/>
        </w:rPr>
        <w:t>固体废物 GF－×××××</w:t>
      </w:r>
    </w:p>
    <w:p>
      <w:pPr>
        <w:pStyle w:val="25"/>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编号的前两个字母为类别代号，后五位为排污口顺序编号。排污口的顺序编号数字由各地环境保护部门自行规定。</w:t>
      </w:r>
    </w:p>
    <w:p>
      <w:pPr>
        <w:pStyle w:val="25"/>
        <w:rPr>
          <w:rFonts w:hint="eastAsia" w:ascii="Times New Roman" w:hAnsi="Times New Roman" w:eastAsia="宋体" w:cs="宋体"/>
          <w:color w:val="000000"/>
          <w:kern w:val="0"/>
          <w:sz w:val="24"/>
          <w:szCs w:val="24"/>
          <w:lang w:val="en-US" w:eastAsia="zh-CN" w:bidi="ar"/>
        </w:rPr>
      </w:pPr>
      <w:r>
        <w:rPr>
          <w:rFonts w:hint="eastAsia" w:ascii="Times New Roman" w:hAnsi="Times New Roman" w:eastAsia="宋体" w:cs="宋体"/>
          <w:color w:val="000000"/>
          <w:kern w:val="0"/>
          <w:sz w:val="24"/>
          <w:szCs w:val="24"/>
          <w:lang w:val="en-US" w:eastAsia="zh-CN" w:bidi="ar"/>
        </w:rPr>
        <w:t>3、根据排污口管理档案内容要求，项目建成投产后，应将主要污染物种类、数量、浓度、排放去向、达标情况及设施运行情况记录于档案。</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hint="eastAsia" w:ascii="Times New Roman" w:hAnsi="Times New Roman" w:eastAsia="宋体"/>
          <w:b/>
          <w:bCs/>
          <w:color w:val="auto"/>
          <w:sz w:val="30"/>
          <w:szCs w:val="30"/>
          <w:lang w:eastAsia="zh-CN"/>
        </w:rPr>
      </w:pPr>
      <w:bookmarkStart w:id="88" w:name="_Toc8910"/>
      <w:bookmarkStart w:id="89" w:name="_Toc26511"/>
      <w:r>
        <w:rPr>
          <w:rFonts w:hint="eastAsia" w:ascii="Times New Roman" w:hAnsi="Times New Roman"/>
          <w:b/>
          <w:bCs/>
          <w:color w:val="auto"/>
          <w:sz w:val="30"/>
          <w:szCs w:val="30"/>
          <w:lang w:val="en-US" w:eastAsia="zh-CN"/>
        </w:rPr>
        <w:t>10.2</w:t>
      </w:r>
      <w:r>
        <w:rPr>
          <w:rFonts w:ascii="Times New Roman" w:hAnsi="Times New Roman"/>
          <w:b/>
          <w:bCs/>
          <w:color w:val="auto"/>
          <w:sz w:val="30"/>
          <w:szCs w:val="30"/>
        </w:rPr>
        <w:t xml:space="preserve"> </w:t>
      </w:r>
      <w:r>
        <w:rPr>
          <w:rFonts w:hint="eastAsia" w:ascii="Times New Roman" w:hAnsi="Times New Roman"/>
          <w:b/>
          <w:bCs/>
          <w:color w:val="auto"/>
          <w:sz w:val="30"/>
          <w:szCs w:val="30"/>
        </w:rPr>
        <w:t>环境</w:t>
      </w:r>
      <w:r>
        <w:rPr>
          <w:rFonts w:hint="eastAsia" w:ascii="Times New Roman" w:hAnsi="Times New Roman"/>
          <w:b/>
          <w:bCs/>
          <w:color w:val="auto"/>
          <w:sz w:val="30"/>
          <w:szCs w:val="30"/>
          <w:lang w:val="en-US" w:eastAsia="zh-CN"/>
        </w:rPr>
        <w:t>监测</w:t>
      </w:r>
      <w:bookmarkEnd w:id="88"/>
      <w:bookmarkEnd w:id="89"/>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8"/>
          <w:szCs w:val="28"/>
          <w:lang w:val="en-US" w:eastAsia="zh-CN"/>
        </w:rPr>
      </w:pPr>
      <w:r>
        <w:rPr>
          <w:rFonts w:hint="eastAsia" w:ascii="Times New Roman" w:hAnsi="Times New Roman"/>
          <w:b/>
          <w:bCs/>
          <w:sz w:val="28"/>
          <w:szCs w:val="28"/>
          <w:lang w:val="en-US" w:eastAsia="zh-CN"/>
        </w:rPr>
        <w:t>10.2.1监测目的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环境监测是环境保护中最重要的环节和技术支持，开展环境监测的目的在于：</w:t>
      </w:r>
    </w:p>
    <w:p>
      <w:pPr>
        <w:keepNext w:val="0"/>
        <w:keepLines w:val="0"/>
        <w:pageBreakBefore w:val="0"/>
        <w:widowControl w:val="0"/>
        <w:numPr>
          <w:ilvl w:val="0"/>
          <w:numId w:val="9"/>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检查、跟踪项目投产后运行过程中各项环保措施的实施情况和效果，掌握环境质量的变化动态；</w:t>
      </w:r>
    </w:p>
    <w:p>
      <w:pPr>
        <w:keepNext w:val="0"/>
        <w:keepLines w:val="0"/>
        <w:pageBreakBefore w:val="0"/>
        <w:widowControl w:val="0"/>
        <w:numPr>
          <w:ilvl w:val="0"/>
          <w:numId w:val="9"/>
        </w:numPr>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了解项目环境工程设施的运行状况，确保设施的正常运行；</w:t>
      </w:r>
    </w:p>
    <w:p>
      <w:pPr>
        <w:keepNext w:val="0"/>
        <w:keepLines w:val="0"/>
        <w:pageBreakBefore w:val="0"/>
        <w:widowControl w:val="0"/>
        <w:numPr>
          <w:ilvl w:val="0"/>
          <w:numId w:val="9"/>
        </w:numPr>
        <w:kinsoku/>
        <w:wordWrap/>
        <w:overflowPunct/>
        <w:topLinePunct w:val="0"/>
        <w:autoSpaceDE/>
        <w:autoSpaceDN/>
        <w:bidi w:val="0"/>
        <w:adjustRightInd/>
        <w:snapToGrid w:val="0"/>
        <w:spacing w:line="360" w:lineRule="auto"/>
        <w:ind w:left="0" w:leftChars="0"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了解与项目有关的环境质量监控实施情况；</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（4）为改善项目区周围区域环境质量提供技术支持。</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8"/>
          <w:szCs w:val="28"/>
          <w:lang w:val="en-US" w:eastAsia="zh-CN"/>
        </w:rPr>
      </w:pPr>
      <w:r>
        <w:rPr>
          <w:rFonts w:hint="eastAsia" w:ascii="Times New Roman" w:hAnsi="Times New Roman"/>
          <w:b/>
          <w:bCs/>
          <w:sz w:val="28"/>
          <w:szCs w:val="28"/>
          <w:lang w:val="en-US" w:eastAsia="zh-CN"/>
        </w:rPr>
        <w:t>10.2.2监测制度</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针对本项目所排污染物情况，按照污染源、厂界、近距离敏感点、风险应急监测分别制订监测方案。</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cs="Times New Roman"/>
          <w:b/>
          <w:bCs/>
          <w:sz w:val="24"/>
          <w:szCs w:val="24"/>
          <w:lang w:val="en-US" w:eastAsia="zh-CN"/>
        </w:rPr>
        <w:t>10</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 区域环境质量监测计划</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项目投产后，为及时了解项目厂址周围敏感点环境状况，本次评价特别在项目周围敏感点设定跟踪监测点。环境监测的内容具体见下表。</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10.2</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eastAsia="宋体"/>
          <w:b/>
          <w:bCs/>
          <w:sz w:val="24"/>
          <w:szCs w:val="24"/>
          <w:lang w:val="en-US" w:eastAsia="zh-CN"/>
        </w:rPr>
        <w:t xml:space="preserve">  区域环境质量监测内容一览表</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6"/>
        <w:gridCol w:w="1704"/>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113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项目</w:t>
            </w:r>
          </w:p>
        </w:tc>
        <w:tc>
          <w:tcPr>
            <w:tcW w:w="170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监测目的</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监测地点</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监测内容</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监测频率</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2" w:hRule="atLeast"/>
        </w:trPr>
        <w:tc>
          <w:tcPr>
            <w:tcW w:w="113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环境空气</w:t>
            </w:r>
          </w:p>
        </w:tc>
        <w:tc>
          <w:tcPr>
            <w:tcW w:w="170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了解废气处置系统废气及无组织排放对周围敏感点的影响</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后金社区</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SO</w:t>
            </w:r>
            <w:r>
              <w:rPr>
                <w:rFonts w:hint="eastAsia" w:ascii="Times New Roman" w:hAnsi="Times New Roman"/>
                <w:sz w:val="21"/>
                <w:szCs w:val="21"/>
                <w:vertAlign w:val="subscript"/>
                <w:lang w:val="en-US" w:eastAsia="zh-CN"/>
              </w:rPr>
              <w:t>2</w:t>
            </w:r>
            <w:r>
              <w:rPr>
                <w:rFonts w:hint="eastAsia" w:ascii="Times New Roman" w:hAnsi="Times New Roman"/>
                <w:sz w:val="21"/>
                <w:szCs w:val="21"/>
                <w:vertAlign w:val="baseline"/>
                <w:lang w:val="en-US" w:eastAsia="zh-CN"/>
              </w:rPr>
              <w:t>、NOx、颗粒物、非甲烷总烃、臭气浓度</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半年一次</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企业外委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8" w:hRule="atLeast"/>
        </w:trPr>
        <w:tc>
          <w:tcPr>
            <w:tcW w:w="1136"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地下水</w:t>
            </w:r>
          </w:p>
        </w:tc>
        <w:tc>
          <w:tcPr>
            <w:tcW w:w="170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本底井：监测厂区上游地下水水质状况</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绿色环保能源综合利用之废水处理系统监测井</w:t>
            </w:r>
          </w:p>
        </w:tc>
        <w:tc>
          <w:tcPr>
            <w:tcW w:w="1420"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pH、氨氮、硝酸盐、亚硝酸盐、溶解性总固体、耗氧</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量、硫酸盐、硫化物、氯化物、全盐量、石油类</w:t>
            </w:r>
          </w:p>
        </w:tc>
        <w:tc>
          <w:tcPr>
            <w:tcW w:w="1421"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丰水期、枯水期各1次</w:t>
            </w:r>
          </w:p>
        </w:tc>
        <w:tc>
          <w:tcPr>
            <w:tcW w:w="1421"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lang w:val="en-US" w:eastAsia="zh-CN"/>
              </w:rPr>
            </w:pPr>
            <w:r>
              <w:rPr>
                <w:rFonts w:hint="eastAsia" w:ascii="Times New Roman" w:hAnsi="Times New Roman"/>
                <w:sz w:val="21"/>
                <w:szCs w:val="21"/>
                <w:vertAlign w:val="baseline"/>
                <w:lang w:val="en-US" w:eastAsia="zh-CN"/>
              </w:rPr>
              <w:t>企业外委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trPr>
        <w:tc>
          <w:tcPr>
            <w:tcW w:w="113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70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扩散井：用于监测厂址地下水的污染情况</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150万吨高档包装纸项目附近监测井</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42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42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9" w:hRule="atLeast"/>
        </w:trPr>
        <w:tc>
          <w:tcPr>
            <w:tcW w:w="1136"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70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扩散井：监测厂区下游地下水的污染情况</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厂址北侧农田，距厂址 1015米农田灌溉井</w:t>
            </w:r>
          </w:p>
        </w:tc>
        <w:tc>
          <w:tcPr>
            <w:tcW w:w="1420"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42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42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8" w:hRule="atLeast"/>
        </w:trPr>
        <w:tc>
          <w:tcPr>
            <w:tcW w:w="113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地表水</w:t>
            </w:r>
          </w:p>
        </w:tc>
        <w:tc>
          <w:tcPr>
            <w:tcW w:w="170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了解厂址附近地表水情况</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杏花河</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pH、CODcr、</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BOD</w:t>
            </w:r>
            <w:r>
              <w:rPr>
                <w:rFonts w:hint="eastAsia" w:ascii="Times New Roman" w:hAnsi="Times New Roman"/>
                <w:sz w:val="21"/>
                <w:szCs w:val="21"/>
                <w:vertAlign w:val="subscript"/>
                <w:lang w:val="en-US" w:eastAsia="zh-CN"/>
              </w:rPr>
              <w:t>5</w:t>
            </w:r>
            <w:r>
              <w:rPr>
                <w:rFonts w:hint="eastAsia" w:ascii="Times New Roman" w:hAnsi="Times New Roman"/>
                <w:sz w:val="21"/>
                <w:szCs w:val="21"/>
                <w:vertAlign w:val="baseline"/>
                <w:lang w:val="en-US" w:eastAsia="zh-CN"/>
              </w:rPr>
              <w:t>、色度、SS、氨氮、总磷、总氮</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每年丰、平、枯水期至少各监测一次</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企业外委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trPr>
        <w:tc>
          <w:tcPr>
            <w:tcW w:w="113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噪声</w:t>
            </w:r>
          </w:p>
        </w:tc>
        <w:tc>
          <w:tcPr>
            <w:tcW w:w="170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了解厂界及周围敏感点噪声</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厂界及后金生活区</w:t>
            </w:r>
          </w:p>
        </w:tc>
        <w:tc>
          <w:tcPr>
            <w:tcW w:w="1420"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Leq(A)</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每季度一次</w:t>
            </w:r>
          </w:p>
        </w:tc>
        <w:tc>
          <w:tcPr>
            <w:tcW w:w="14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企业外委</w:t>
            </w:r>
          </w:p>
        </w:tc>
      </w:tr>
    </w:tbl>
    <w:p>
      <w:pPr>
        <w:pStyle w:val="2"/>
        <w:keepNext w:val="0"/>
        <w:keepLines w:val="0"/>
        <w:pageBreakBefore w:val="0"/>
        <w:widowControl w:val="0"/>
        <w:kinsoku/>
        <w:wordWrap/>
        <w:overflowPunct/>
        <w:topLinePunct w:val="0"/>
        <w:autoSpaceDE/>
        <w:autoSpaceDN/>
        <w:bidi w:val="0"/>
        <w:adjustRightInd/>
        <w:snapToGrid w:val="0"/>
        <w:spacing w:before="157" w:beforeLines="50" w:line="360" w:lineRule="auto"/>
        <w:ind w:left="0" w:leftChars="0" w:firstLine="0" w:firstLineChars="0"/>
        <w:textAlignment w:val="auto"/>
        <w:rPr>
          <w:rFonts w:hint="eastAsia" w:ascii="Times New Roman" w:hAnsi="Times New Roman" w:eastAsia="宋体" w:cs="宋体"/>
          <w:color w:val="000000"/>
          <w:kern w:val="0"/>
          <w:sz w:val="24"/>
          <w:szCs w:val="24"/>
          <w:lang w:val="en-US" w:eastAsia="zh-CN" w:bidi="ar"/>
        </w:rPr>
      </w:pPr>
      <w:r>
        <w:rPr>
          <w:rFonts w:hint="eastAsia" w:ascii="Times New Roman" w:hAnsi="Times New Roman" w:cs="Times New Roman"/>
          <w:b/>
          <w:bCs/>
          <w:sz w:val="24"/>
          <w:szCs w:val="24"/>
          <w:lang w:val="en-US" w:eastAsia="zh-CN"/>
        </w:rPr>
        <w:t>10</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 区域环境质量监测计划</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污染源监测内容主要包括废气、废水、固体废弃物、噪声等污染源监测，具</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sectPr>
          <w:headerReference r:id="rId80" w:type="default"/>
          <w:footerReference r:id="rId81"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sz w:val="24"/>
          <w:szCs w:val="24"/>
          <w:lang w:val="en-US" w:eastAsia="zh-CN"/>
        </w:rPr>
        <w:t>体见下表。</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10.2</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ascii="Times New Roman" w:hAnsi="Times New Roman" w:eastAsia="宋体"/>
          <w:b/>
          <w:bCs/>
          <w:sz w:val="24"/>
          <w:szCs w:val="24"/>
          <w:lang w:val="en-US" w:eastAsia="zh-CN"/>
        </w:rPr>
        <w:t xml:space="preserve">  污染源监测方案</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6"/>
        <w:gridCol w:w="1857"/>
        <w:gridCol w:w="2245"/>
        <w:gridCol w:w="1362"/>
        <w:gridCol w:w="1170"/>
        <w:gridCol w:w="63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16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环境要素</w:t>
            </w:r>
          </w:p>
        </w:tc>
        <w:tc>
          <w:tcPr>
            <w:tcW w:w="1857"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vertAlign w:val="baseline"/>
                <w:lang w:val="en-US" w:eastAsia="zh-CN"/>
              </w:rPr>
            </w:pPr>
            <w:r>
              <w:rPr>
                <w:rFonts w:hint="eastAsia" w:ascii="Times New Roman" w:hAnsi="Times New Roman"/>
                <w:sz w:val="21"/>
                <w:vertAlign w:val="baseline"/>
                <w:lang w:val="en-US" w:eastAsia="zh-CN"/>
              </w:rPr>
              <w:t>监测位置</w:t>
            </w:r>
          </w:p>
        </w:tc>
        <w:tc>
          <w:tcPr>
            <w:tcW w:w="2245"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vertAlign w:val="baseline"/>
                <w:lang w:val="en-US" w:eastAsia="zh-CN"/>
              </w:rPr>
            </w:pPr>
            <w:r>
              <w:rPr>
                <w:rFonts w:hint="eastAsia" w:ascii="Times New Roman" w:hAnsi="Times New Roman"/>
                <w:sz w:val="21"/>
                <w:vertAlign w:val="baseline"/>
                <w:lang w:val="en-US" w:eastAsia="zh-CN"/>
              </w:rPr>
              <w:t>监测项目</w:t>
            </w:r>
          </w:p>
        </w:tc>
        <w:tc>
          <w:tcPr>
            <w:tcW w:w="1362"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vertAlign w:val="baseline"/>
                <w:lang w:val="en-US" w:eastAsia="zh-CN"/>
              </w:rPr>
            </w:pPr>
            <w:r>
              <w:rPr>
                <w:rFonts w:hint="eastAsia" w:ascii="Times New Roman" w:hAnsi="Times New Roman"/>
                <w:sz w:val="21"/>
                <w:vertAlign w:val="baseline"/>
                <w:lang w:val="en-US" w:eastAsia="zh-CN"/>
              </w:rPr>
              <w:t>频次</w:t>
            </w:r>
          </w:p>
        </w:tc>
        <w:tc>
          <w:tcPr>
            <w:tcW w:w="117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vertAlign w:val="baseline"/>
                <w:lang w:val="en-US" w:eastAsia="zh-CN"/>
              </w:rPr>
            </w:pPr>
            <w:r>
              <w:rPr>
                <w:rFonts w:hint="eastAsia" w:ascii="Times New Roman" w:hAnsi="Times New Roman"/>
                <w:sz w:val="21"/>
                <w:vertAlign w:val="baseline"/>
                <w:lang w:val="en-US" w:eastAsia="zh-CN"/>
              </w:rPr>
              <w:t>备注</w:t>
            </w:r>
          </w:p>
        </w:tc>
        <w:tc>
          <w:tcPr>
            <w:tcW w:w="637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vertAlign w:val="baseline"/>
                <w:lang w:val="en-US" w:eastAsia="zh-CN"/>
              </w:rPr>
            </w:pPr>
            <w:r>
              <w:rPr>
                <w:rFonts w:hint="eastAsia" w:ascii="Times New Roman" w:hAnsi="Times New Roman"/>
                <w:sz w:val="21"/>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8" w:hRule="atLeast"/>
        </w:trPr>
        <w:tc>
          <w:tcPr>
            <w:tcW w:w="1166"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vertAlign w:val="baseline"/>
                <w:lang w:val="en-US" w:eastAsia="zh-CN"/>
              </w:rPr>
            </w:pPr>
            <w:r>
              <w:rPr>
                <w:rFonts w:hint="eastAsia" w:ascii="Times New Roman" w:hAnsi="Times New Roman"/>
                <w:sz w:val="21"/>
                <w:vertAlign w:val="baseline"/>
                <w:lang w:val="en-US" w:eastAsia="zh-CN"/>
              </w:rPr>
              <w:t>废气</w:t>
            </w:r>
          </w:p>
        </w:tc>
        <w:tc>
          <w:tcPr>
            <w:tcW w:w="1857"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废气处置系统排气筒</w:t>
            </w:r>
          </w:p>
        </w:tc>
        <w:tc>
          <w:tcPr>
            <w:tcW w:w="2245"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SO</w:t>
            </w:r>
            <w:r>
              <w:rPr>
                <w:rFonts w:hint="eastAsia" w:ascii="Times New Roman" w:hAnsi="Times New Roman"/>
                <w:sz w:val="21"/>
                <w:vertAlign w:val="subscript"/>
                <w:lang w:val="en-US" w:eastAsia="zh-CN"/>
              </w:rPr>
              <w:t>2</w:t>
            </w:r>
            <w:r>
              <w:rPr>
                <w:rFonts w:hint="eastAsia" w:ascii="Times New Roman" w:hAnsi="Times New Roman"/>
                <w:sz w:val="21"/>
                <w:vertAlign w:val="baseline"/>
                <w:lang w:val="en-US" w:eastAsia="zh-CN"/>
              </w:rPr>
              <w:t>、NOx、颗</w:t>
            </w:r>
          </w:p>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粒物、VOCs、异丙醇、非甲烷总烃、臭气浓度</w:t>
            </w:r>
          </w:p>
        </w:tc>
        <w:tc>
          <w:tcPr>
            <w:tcW w:w="1362"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每季度一次</w:t>
            </w:r>
          </w:p>
        </w:tc>
        <w:tc>
          <w:tcPr>
            <w:tcW w:w="1170"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委托监测</w:t>
            </w:r>
          </w:p>
        </w:tc>
        <w:tc>
          <w:tcPr>
            <w:tcW w:w="637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外排颗粒物、二氧化硫、氮氧化物排放满足山东省《区域性大气污染物综合排放标准》（DB37/2376-2019）表1重点控制区排放限值要求，外排非甲烷总烃、异丙醇和VOCs满足《挥发性有机物排放标准 第7部分：其他行业》（DB37/ 2801.7—2019），外排臭气浓度满足《恶臭污染物排放标准》（GB14554-93）表1二级标准要求。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1166"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p>
        </w:tc>
        <w:tc>
          <w:tcPr>
            <w:tcW w:w="1857"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厂界污染物无组织排放</w:t>
            </w:r>
          </w:p>
        </w:tc>
        <w:tc>
          <w:tcPr>
            <w:tcW w:w="2245"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颗粒物</w:t>
            </w:r>
          </w:p>
        </w:tc>
        <w:tc>
          <w:tcPr>
            <w:tcW w:w="1362"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p>
        </w:tc>
        <w:tc>
          <w:tcPr>
            <w:tcW w:w="1170"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p>
        </w:tc>
        <w:tc>
          <w:tcPr>
            <w:tcW w:w="637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厂界颗粒物排放满足《大气污染物综合排放标准》（GB16297-1996）表2厂界无组织排放监控浓度限值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6" w:hRule="atLeast"/>
        </w:trPr>
        <w:tc>
          <w:tcPr>
            <w:tcW w:w="116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vertAlign w:val="baseline"/>
                <w:lang w:val="en-US" w:eastAsia="zh-CN"/>
              </w:rPr>
            </w:pPr>
            <w:r>
              <w:rPr>
                <w:rFonts w:hint="eastAsia" w:ascii="Times New Roman" w:hAnsi="Times New Roman"/>
                <w:sz w:val="21"/>
                <w:vertAlign w:val="baseline"/>
                <w:lang w:val="en-US" w:eastAsia="zh-CN"/>
              </w:rPr>
              <w:t>废水</w:t>
            </w:r>
          </w:p>
        </w:tc>
        <w:tc>
          <w:tcPr>
            <w:tcW w:w="1857"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szCs w:val="21"/>
                <w:vertAlign w:val="baseline"/>
                <w:lang w:val="en-US" w:eastAsia="zh-CN"/>
              </w:rPr>
              <w:t>绿色环保能源综合利用之废水处理系统</w:t>
            </w:r>
          </w:p>
        </w:tc>
        <w:tc>
          <w:tcPr>
            <w:tcW w:w="2245"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pH、CODcr、BOD</w:t>
            </w:r>
            <w:r>
              <w:rPr>
                <w:rFonts w:hint="eastAsia" w:ascii="Times New Roman" w:hAnsi="Times New Roman"/>
                <w:sz w:val="21"/>
                <w:vertAlign w:val="subscript"/>
                <w:lang w:val="en-US" w:eastAsia="zh-CN"/>
              </w:rPr>
              <w:t>5</w:t>
            </w:r>
            <w:r>
              <w:rPr>
                <w:rFonts w:hint="eastAsia" w:ascii="Times New Roman" w:hAnsi="Times New Roman"/>
                <w:sz w:val="21"/>
                <w:vertAlign w:val="baseline"/>
                <w:lang w:val="en-US" w:eastAsia="zh-CN"/>
              </w:rPr>
              <w:t>、色度、SS、氨氮、总磷、总氮</w:t>
            </w:r>
          </w:p>
        </w:tc>
        <w:tc>
          <w:tcPr>
            <w:tcW w:w="1362"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每季度一次</w:t>
            </w:r>
          </w:p>
        </w:tc>
        <w:tc>
          <w:tcPr>
            <w:tcW w:w="1170"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宋体" w:hAnsi="宋体" w:eastAsia="宋体" w:cs="宋体"/>
                <w:color w:val="000000"/>
                <w:kern w:val="0"/>
                <w:sz w:val="21"/>
                <w:szCs w:val="21"/>
                <w:lang w:val="en-US" w:eastAsia="zh-CN" w:bidi="ar"/>
              </w:rPr>
              <w:t>委托监测</w:t>
            </w:r>
          </w:p>
        </w:tc>
        <w:tc>
          <w:tcPr>
            <w:tcW w:w="637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各污染物排放浓度满足《流域水污染物综合排放标准 第3部分：小清河流域》（DB37/3416.3-2018）以及《中共淄博市委 淄博市人民政府印发&lt;2021年高质量发展“十二大攻坚行动”实施方案&gt;的通知》（淄发[2021]5号）标准要求。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16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vertAlign w:val="baseline"/>
                <w:lang w:val="en-US" w:eastAsia="zh-CN"/>
              </w:rPr>
            </w:pPr>
            <w:r>
              <w:rPr>
                <w:rFonts w:hint="eastAsia" w:ascii="Times New Roman" w:hAnsi="Times New Roman"/>
                <w:sz w:val="21"/>
                <w:vertAlign w:val="baseline"/>
                <w:lang w:val="en-US" w:eastAsia="zh-CN"/>
              </w:rPr>
              <w:t>噪声</w:t>
            </w:r>
          </w:p>
        </w:tc>
        <w:tc>
          <w:tcPr>
            <w:tcW w:w="1857"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厂界周围</w:t>
            </w:r>
          </w:p>
        </w:tc>
        <w:tc>
          <w:tcPr>
            <w:tcW w:w="2245"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等效A声级(Leq(A))</w:t>
            </w:r>
          </w:p>
        </w:tc>
        <w:tc>
          <w:tcPr>
            <w:tcW w:w="1362"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每季度一次</w:t>
            </w:r>
          </w:p>
        </w:tc>
        <w:tc>
          <w:tcPr>
            <w:tcW w:w="1170"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宋体" w:hAnsi="宋体" w:eastAsia="宋体" w:cs="宋体"/>
                <w:color w:val="000000"/>
                <w:kern w:val="0"/>
                <w:sz w:val="21"/>
                <w:szCs w:val="21"/>
                <w:lang w:val="en-US" w:eastAsia="zh-CN" w:bidi="ar"/>
              </w:rPr>
              <w:t>委托监测</w:t>
            </w:r>
          </w:p>
        </w:tc>
        <w:tc>
          <w:tcPr>
            <w:tcW w:w="637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《工业企业厂界环境噪声排放标准》（GB12348-2008）3类标准。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116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vertAlign w:val="baseline"/>
                <w:lang w:val="en-US" w:eastAsia="zh-CN"/>
              </w:rPr>
            </w:pPr>
            <w:r>
              <w:rPr>
                <w:rFonts w:hint="eastAsia" w:ascii="Times New Roman" w:hAnsi="Times New Roman"/>
                <w:sz w:val="21"/>
                <w:vertAlign w:val="baseline"/>
                <w:lang w:val="en-US" w:eastAsia="zh-CN"/>
              </w:rPr>
              <w:t>固废</w:t>
            </w:r>
          </w:p>
        </w:tc>
        <w:tc>
          <w:tcPr>
            <w:tcW w:w="1857"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统计项目固废量</w:t>
            </w:r>
          </w:p>
        </w:tc>
        <w:tc>
          <w:tcPr>
            <w:tcW w:w="2245"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统计种类、产生量、处理方式、去向</w:t>
            </w:r>
          </w:p>
        </w:tc>
        <w:tc>
          <w:tcPr>
            <w:tcW w:w="1362"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vertAlign w:val="baseline"/>
                <w:lang w:val="en-US" w:eastAsia="zh-CN"/>
              </w:rPr>
            </w:pPr>
            <w:r>
              <w:rPr>
                <w:rFonts w:hint="eastAsia" w:ascii="Times New Roman" w:hAnsi="Times New Roman"/>
                <w:sz w:val="21"/>
                <w:vertAlign w:val="baseline"/>
                <w:lang w:val="en-US" w:eastAsia="zh-CN"/>
              </w:rPr>
              <w:t>每季度一次</w:t>
            </w:r>
          </w:p>
        </w:tc>
        <w:tc>
          <w:tcPr>
            <w:tcW w:w="117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lang w:val="en-US" w:eastAsia="zh-CN"/>
              </w:rPr>
            </w:pPr>
            <w:r>
              <w:rPr>
                <w:rFonts w:hint="default" w:ascii="Times New Roman" w:hAnsi="Times New Roman" w:cs="Times New Roman"/>
                <w:lang w:val="en-US" w:eastAsia="zh-CN"/>
              </w:rPr>
              <w:t>/</w:t>
            </w:r>
          </w:p>
        </w:tc>
        <w:tc>
          <w:tcPr>
            <w:tcW w:w="637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sz w:val="21"/>
                <w:vertAlign w:val="baseline"/>
                <w:lang w:val="en-US" w:eastAsia="zh-CN"/>
              </w:rPr>
            </w:pPr>
            <w:r>
              <w:rPr>
                <w:rFonts w:hint="eastAsia" w:ascii="Times New Roman" w:hAnsi="Times New Roman"/>
                <w:sz w:val="21"/>
                <w:vertAlign w:val="baseline"/>
                <w:lang w:val="en-US" w:eastAsia="zh-CN"/>
              </w:rPr>
              <w:t>/</w:t>
            </w:r>
          </w:p>
        </w:tc>
      </w:tr>
    </w:tbl>
    <w:p>
      <w:pPr>
        <w:rPr>
          <w:rFonts w:hint="eastAsia"/>
          <w:lang w:val="en-US" w:eastAsia="zh-CN"/>
        </w:rPr>
        <w:sectPr>
          <w:headerReference r:id="rId82" w:type="default"/>
          <w:footerReference r:id="rId83"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17"/>
        <w:ind w:left="0" w:leftChars="0" w:firstLine="0" w:firstLineChars="0"/>
        <w:rPr>
          <w:rFonts w:hint="eastAsia"/>
          <w:lang w:val="en-US" w:eastAsia="zh-CN"/>
        </w:rPr>
      </w:pPr>
      <w:r>
        <w:rPr>
          <w:rFonts w:hint="eastAsia" w:ascii="Times New Roman" w:hAnsi="Times New Roman" w:cs="Times New Roman"/>
          <w:b/>
          <w:bCs/>
          <w:sz w:val="24"/>
          <w:szCs w:val="24"/>
          <w:lang w:val="en-US" w:eastAsia="zh-CN"/>
        </w:rPr>
        <w:t>10</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 应急监测计划</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若发生事故，应根据事故波及范围确定监测方案，监测人员应在必要的防护措施和保证安全的情况下进入处理现场采样。此外，监测方案应根据事故的具体情况由指挥部作调整和安排。应急监测计划见表10.2-3。</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10.2</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eastAsia" w:ascii="Times New Roman" w:hAnsi="Times New Roman" w:eastAsia="宋体"/>
          <w:b/>
          <w:bCs/>
          <w:sz w:val="24"/>
          <w:szCs w:val="24"/>
          <w:lang w:val="en-US" w:eastAsia="zh-CN"/>
        </w:rPr>
        <w:t xml:space="preserve">  污染源监测方案</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1454"/>
        <w:gridCol w:w="2063"/>
        <w:gridCol w:w="1721"/>
        <w:gridCol w:w="1673"/>
        <w:gridCol w:w="8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环境要素</w:t>
            </w:r>
          </w:p>
        </w:tc>
        <w:tc>
          <w:tcPr>
            <w:tcW w:w="145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监测点位</w:t>
            </w:r>
          </w:p>
        </w:tc>
        <w:tc>
          <w:tcPr>
            <w:tcW w:w="20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监测方位</w:t>
            </w:r>
          </w:p>
        </w:tc>
        <w:tc>
          <w:tcPr>
            <w:tcW w:w="17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监测项目</w:t>
            </w:r>
          </w:p>
        </w:tc>
        <w:tc>
          <w:tcPr>
            <w:tcW w:w="16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监测频次</w:t>
            </w:r>
          </w:p>
        </w:tc>
        <w:tc>
          <w:tcPr>
            <w:tcW w:w="8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743"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环境空气</w:t>
            </w:r>
          </w:p>
        </w:tc>
        <w:tc>
          <w:tcPr>
            <w:tcW w:w="145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当时风向的下风向</w:t>
            </w:r>
          </w:p>
        </w:tc>
        <w:tc>
          <w:tcPr>
            <w:tcW w:w="20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每隔500m布设一个监控点，共布设3个</w:t>
            </w:r>
          </w:p>
        </w:tc>
        <w:tc>
          <w:tcPr>
            <w:tcW w:w="172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vertAlign w:val="baseline"/>
                <w:lang w:val="en-US" w:eastAsia="zh-CN"/>
              </w:rPr>
              <w:t>SO</w:t>
            </w:r>
            <w:r>
              <w:rPr>
                <w:rFonts w:hint="eastAsia" w:ascii="Times New Roman" w:hAnsi="Times New Roman"/>
                <w:sz w:val="21"/>
                <w:vertAlign w:val="subscript"/>
                <w:lang w:val="en-US" w:eastAsia="zh-CN"/>
              </w:rPr>
              <w:t>2</w:t>
            </w:r>
            <w:r>
              <w:rPr>
                <w:rFonts w:hint="eastAsia" w:ascii="Times New Roman" w:hAnsi="Times New Roman"/>
                <w:sz w:val="21"/>
                <w:vertAlign w:val="baseline"/>
                <w:lang w:val="en-US" w:eastAsia="zh-CN"/>
              </w:rPr>
              <w:t>、NOx、颗粒物、VOCs、异丙醇、非甲烷总烃、臭气浓度</w:t>
            </w:r>
          </w:p>
        </w:tc>
        <w:tc>
          <w:tcPr>
            <w:tcW w:w="1673"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事故发生1小时内每15分钟取样进行监测，事故后 4小时、10小时、24小时各监测一次</w:t>
            </w:r>
          </w:p>
        </w:tc>
        <w:tc>
          <w:tcPr>
            <w:tcW w:w="868" w:type="dxa"/>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委托监测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74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45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当时风向的侧风向</w:t>
            </w:r>
          </w:p>
        </w:tc>
        <w:tc>
          <w:tcPr>
            <w:tcW w:w="206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两侧各布设一个监控点，共布设2个</w:t>
            </w:r>
          </w:p>
        </w:tc>
        <w:tc>
          <w:tcPr>
            <w:tcW w:w="172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67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86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74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3517"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下风向最近敏感点</w:t>
            </w:r>
          </w:p>
        </w:tc>
        <w:tc>
          <w:tcPr>
            <w:tcW w:w="1721"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167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868"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地表水</w:t>
            </w:r>
          </w:p>
        </w:tc>
        <w:tc>
          <w:tcPr>
            <w:tcW w:w="3517"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厂区总排口</w:t>
            </w:r>
          </w:p>
        </w:tc>
        <w:tc>
          <w:tcPr>
            <w:tcW w:w="17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CODcr、pH、氨氮、全盐量、SS</w:t>
            </w:r>
          </w:p>
        </w:tc>
        <w:tc>
          <w:tcPr>
            <w:tcW w:w="1673" w:type="dxa"/>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p>
        </w:tc>
        <w:tc>
          <w:tcPr>
            <w:tcW w:w="8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厂内监测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1" w:hRule="atLeast"/>
        </w:trPr>
        <w:tc>
          <w:tcPr>
            <w:tcW w:w="74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地下水</w:t>
            </w:r>
          </w:p>
        </w:tc>
        <w:tc>
          <w:tcPr>
            <w:tcW w:w="3517"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绿色环保能源综合利用之废水处理系统监测井、150万吨高档包装纸项目附近监测井、厂址北侧农田，距厂址 1015米农田灌溉井</w:t>
            </w:r>
          </w:p>
        </w:tc>
        <w:tc>
          <w:tcPr>
            <w:tcW w:w="17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pH、氨氮、硝酸盐、亚硝酸盐、溶解性总固体、耗氧量、硫酸盐、硫化物、氯化物、全盐量、石油类</w:t>
            </w:r>
          </w:p>
        </w:tc>
        <w:tc>
          <w:tcPr>
            <w:tcW w:w="16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监测因子每天监测3次，上下午和晚上各一次，随事故控制减弱，适当减少监测频次</w:t>
            </w:r>
          </w:p>
        </w:tc>
        <w:tc>
          <w:tcPr>
            <w:tcW w:w="8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委托监测</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ascii="Times New Roman" w:hAnsi="Times New Roman"/>
          <w:b/>
          <w:bCs/>
          <w:sz w:val="28"/>
          <w:szCs w:val="28"/>
          <w:lang w:val="en-US" w:eastAsia="zh-CN"/>
        </w:rPr>
      </w:pPr>
      <w:r>
        <w:rPr>
          <w:rFonts w:hint="eastAsia" w:ascii="Times New Roman" w:hAnsi="Times New Roman"/>
          <w:b/>
          <w:bCs/>
          <w:sz w:val="28"/>
          <w:szCs w:val="28"/>
          <w:lang w:val="en-US" w:eastAsia="zh-CN"/>
        </w:rPr>
        <w:t>10.2.3监测仪器配置</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根据山东博汇纸业股份有限公司的设计生产能力和公司的经济承担能力，公司设置了专门的监测分析室，并配置相应的监测仪器、设备；水中特征污染物监测可委托有资质的监测单位进行。</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根据现场调研，山东博汇纸业股份有限公司目前已经设置了化验室，并配置了一定的监测仪器和设备，并在厂区排污口安装 COD、氨氮在线监测仪。本项目将增加化验室仪器和设备的配制，以满足企业日常监测工作的需要。企业已经配备的主要监测设备下表。</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10.2</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eastAsia" w:ascii="Times New Roman" w:hAnsi="Times New Roman" w:eastAsia="宋体"/>
          <w:b/>
          <w:bCs/>
          <w:sz w:val="24"/>
          <w:szCs w:val="24"/>
          <w:lang w:val="en-US" w:eastAsia="zh-CN"/>
        </w:rPr>
        <w:t xml:space="preserve">  山东博汇纸业股份有限公司配置的主要监测仪器设备</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1918"/>
        <w:gridCol w:w="3122"/>
        <w:gridCol w:w="2089"/>
        <w:gridCol w:w="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编号</w:t>
            </w:r>
          </w:p>
        </w:tc>
        <w:tc>
          <w:tcPr>
            <w:tcW w:w="23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仪器名称</w:t>
            </w:r>
          </w:p>
        </w:tc>
        <w:tc>
          <w:tcPr>
            <w:tcW w:w="186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型号/规格</w:t>
            </w:r>
          </w:p>
        </w:tc>
        <w:tc>
          <w:tcPr>
            <w:tcW w:w="270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制造单位</w:t>
            </w:r>
          </w:p>
        </w:tc>
        <w:tc>
          <w:tcPr>
            <w:tcW w:w="70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c>
          <w:tcPr>
            <w:tcW w:w="23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气相色谱仪</w:t>
            </w:r>
          </w:p>
        </w:tc>
        <w:tc>
          <w:tcPr>
            <w:tcW w:w="186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GC-2014C</w:t>
            </w:r>
          </w:p>
        </w:tc>
        <w:tc>
          <w:tcPr>
            <w:tcW w:w="270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岛津国际贸易（上海）有限公司</w:t>
            </w:r>
          </w:p>
        </w:tc>
        <w:tc>
          <w:tcPr>
            <w:tcW w:w="70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c>
          <w:tcPr>
            <w:tcW w:w="233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气相色谱仪</w:t>
            </w:r>
          </w:p>
        </w:tc>
        <w:tc>
          <w:tcPr>
            <w:tcW w:w="1865"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GC-14C</w:t>
            </w:r>
          </w:p>
        </w:tc>
        <w:tc>
          <w:tcPr>
            <w:tcW w:w="2704"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岛津国际贸易（上海）有限公司</w:t>
            </w:r>
          </w:p>
        </w:tc>
        <w:tc>
          <w:tcPr>
            <w:tcW w:w="70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阿贝折射仪</w:t>
            </w:r>
            <w:r>
              <w:rPr>
                <w:rStyle w:val="32"/>
                <w:rFonts w:ascii="Times New Roman" w:hAnsi="Times New Roman" w:eastAsia="宋体"/>
                <w:sz w:val="21"/>
                <w:szCs w:val="21"/>
                <w:lang w:val="en-US" w:eastAsia="zh-CN" w:bidi="ar"/>
              </w:rPr>
              <w:t>WAY-2S</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WAY-2S</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上海申光仪器仪表厂</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紫外可见分光光度计</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Vuminl240</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岛津国际贸易（上海）有限公司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紫外可见分光光度计</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UV-1700</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岛津国际贸易（上海）有限公司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6</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酸度计</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PHS-25</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上海智光仪器仪表有限公司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7</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微量滴定管</w:t>
            </w:r>
          </w:p>
        </w:tc>
        <w:tc>
          <w:tcPr>
            <w:tcW w:w="1865"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5 ml</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8</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分度吸量:管</w:t>
            </w:r>
          </w:p>
        </w:tc>
        <w:tc>
          <w:tcPr>
            <w:tcW w:w="1865"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5</w:t>
            </w:r>
            <w:r>
              <w:rPr>
                <w:rStyle w:val="31"/>
                <w:rFonts w:ascii="Times New Roman" w:hAnsi="Times New Roman" w:eastAsia="宋体"/>
                <w:sz w:val="21"/>
                <w:szCs w:val="21"/>
                <w:lang w:val="en-US" w:eastAsia="zh-CN" w:bidi="ar"/>
              </w:rPr>
              <w:t>、</w:t>
            </w:r>
            <w:r>
              <w:rPr>
                <w:rStyle w:val="32"/>
                <w:rFonts w:ascii="Times New Roman" w:hAnsi="Times New Roman" w:eastAsia="宋体"/>
                <w:sz w:val="21"/>
                <w:szCs w:val="21"/>
                <w:lang w:val="en-US" w:eastAsia="zh-CN" w:bidi="ar"/>
              </w:rPr>
              <w:t>10</w:t>
            </w:r>
            <w:r>
              <w:rPr>
                <w:rStyle w:val="31"/>
                <w:rFonts w:ascii="Times New Roman" w:hAnsi="Times New Roman" w:eastAsia="宋体"/>
                <w:sz w:val="21"/>
                <w:szCs w:val="21"/>
                <w:lang w:val="en-US" w:eastAsia="zh-CN" w:bidi="ar"/>
              </w:rPr>
              <w:t>、</w:t>
            </w:r>
            <w:r>
              <w:rPr>
                <w:rStyle w:val="32"/>
                <w:rFonts w:ascii="Times New Roman" w:hAnsi="Times New Roman" w:eastAsia="宋体"/>
                <w:sz w:val="21"/>
                <w:szCs w:val="21"/>
                <w:lang w:val="en-US" w:eastAsia="zh-CN" w:bidi="ar"/>
              </w:rPr>
              <w:t>1</w:t>
            </w:r>
            <w:r>
              <w:rPr>
                <w:rStyle w:val="31"/>
                <w:rFonts w:ascii="Times New Roman" w:hAnsi="Times New Roman" w:eastAsia="宋体"/>
                <w:sz w:val="21"/>
                <w:szCs w:val="21"/>
                <w:lang w:val="en-US" w:eastAsia="zh-CN" w:bidi="ar"/>
              </w:rPr>
              <w:t>、</w:t>
            </w:r>
            <w:r>
              <w:rPr>
                <w:rStyle w:val="32"/>
                <w:rFonts w:ascii="Times New Roman" w:hAnsi="Times New Roman" w:eastAsia="宋体"/>
                <w:sz w:val="21"/>
                <w:szCs w:val="21"/>
                <w:lang w:val="en-US" w:eastAsia="zh-CN" w:bidi="ar"/>
              </w:rPr>
              <w:t>2</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9</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量筒</w:t>
            </w:r>
          </w:p>
        </w:tc>
        <w:tc>
          <w:tcPr>
            <w:tcW w:w="1865"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50</w:t>
            </w:r>
            <w:r>
              <w:rPr>
                <w:rStyle w:val="31"/>
                <w:rFonts w:ascii="Times New Roman" w:hAnsi="Times New Roman" w:eastAsia="宋体"/>
                <w:sz w:val="21"/>
                <w:szCs w:val="21"/>
                <w:lang w:val="en-US" w:eastAsia="zh-CN" w:bidi="ar"/>
              </w:rPr>
              <w:t>、</w:t>
            </w:r>
            <w:r>
              <w:rPr>
                <w:rStyle w:val="32"/>
                <w:rFonts w:ascii="Times New Roman" w:hAnsi="Times New Roman" w:eastAsia="宋体"/>
                <w:sz w:val="21"/>
                <w:szCs w:val="21"/>
                <w:lang w:val="en-US" w:eastAsia="zh-CN" w:bidi="ar"/>
              </w:rPr>
              <w:t>10</w:t>
            </w:r>
            <w:r>
              <w:rPr>
                <w:rStyle w:val="31"/>
                <w:rFonts w:ascii="Times New Roman" w:hAnsi="Times New Roman" w:eastAsia="宋体"/>
                <w:sz w:val="21"/>
                <w:szCs w:val="21"/>
                <w:lang w:val="en-US" w:eastAsia="zh-CN" w:bidi="ar"/>
              </w:rPr>
              <w:t>、</w:t>
            </w:r>
            <w:r>
              <w:rPr>
                <w:rStyle w:val="32"/>
                <w:rFonts w:ascii="Times New Roman" w:hAnsi="Times New Roman" w:eastAsia="宋体"/>
                <w:sz w:val="21"/>
                <w:szCs w:val="21"/>
                <w:lang w:val="en-US" w:eastAsia="zh-CN" w:bidi="ar"/>
              </w:rPr>
              <w:t>100</w:t>
            </w:r>
            <w:r>
              <w:rPr>
                <w:rStyle w:val="31"/>
                <w:rFonts w:ascii="Times New Roman" w:hAnsi="Times New Roman" w:eastAsia="宋体"/>
                <w:sz w:val="21"/>
                <w:szCs w:val="21"/>
                <w:lang w:val="en-US" w:eastAsia="zh-CN" w:bidi="ar"/>
              </w:rPr>
              <w:t xml:space="preserve">、 </w:t>
            </w:r>
            <w:r>
              <w:rPr>
                <w:rStyle w:val="32"/>
                <w:rFonts w:ascii="Times New Roman" w:hAnsi="Times New Roman" w:eastAsia="宋体"/>
                <w:sz w:val="21"/>
                <w:szCs w:val="21"/>
                <w:lang w:val="en-US" w:eastAsia="zh-CN" w:bidi="ar"/>
              </w:rPr>
              <w:t>250</w:t>
            </w:r>
            <w:r>
              <w:rPr>
                <w:rStyle w:val="31"/>
                <w:rFonts w:ascii="Times New Roman" w:hAnsi="Times New Roman" w:eastAsia="宋体"/>
                <w:sz w:val="21"/>
                <w:szCs w:val="21"/>
                <w:lang w:val="en-US" w:eastAsia="zh-CN" w:bidi="ar"/>
              </w:rPr>
              <w:t>、</w:t>
            </w:r>
            <w:r>
              <w:rPr>
                <w:rStyle w:val="32"/>
                <w:rFonts w:ascii="Times New Roman" w:hAnsi="Times New Roman" w:eastAsia="宋体"/>
                <w:sz w:val="21"/>
                <w:szCs w:val="21"/>
                <w:lang w:val="en-US" w:eastAsia="zh-CN" w:bidi="ar"/>
              </w:rPr>
              <w:t>500</w:t>
            </w:r>
            <w:r>
              <w:rPr>
                <w:rStyle w:val="31"/>
                <w:rFonts w:ascii="Times New Roman" w:hAnsi="Times New Roman" w:eastAsia="宋体"/>
                <w:sz w:val="21"/>
                <w:szCs w:val="21"/>
                <w:lang w:val="en-US" w:eastAsia="zh-CN" w:bidi="ar"/>
              </w:rPr>
              <w:t>、</w:t>
            </w:r>
            <w:r>
              <w:rPr>
                <w:rStyle w:val="32"/>
                <w:rFonts w:ascii="Times New Roman" w:hAnsi="Times New Roman" w:eastAsia="宋体"/>
                <w:sz w:val="21"/>
                <w:szCs w:val="21"/>
                <w:lang w:val="en-US" w:eastAsia="zh-CN" w:bidi="ar"/>
              </w:rPr>
              <w:t>1000</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10</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具塞滴定管</w:t>
            </w:r>
          </w:p>
        </w:tc>
        <w:tc>
          <w:tcPr>
            <w:tcW w:w="1865"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50ml</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11</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单标线吸量管</w:t>
            </w:r>
          </w:p>
        </w:tc>
        <w:tc>
          <w:tcPr>
            <w:tcW w:w="1865"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见反面</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12</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单标线容量瓶</w:t>
            </w:r>
          </w:p>
        </w:tc>
        <w:tc>
          <w:tcPr>
            <w:tcW w:w="1865"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见反面</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13</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无塞滴定管</w:t>
            </w:r>
          </w:p>
        </w:tc>
        <w:tc>
          <w:tcPr>
            <w:tcW w:w="1865"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50ml</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14</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电子天平</w:t>
            </w:r>
          </w:p>
        </w:tc>
        <w:tc>
          <w:tcPr>
            <w:tcW w:w="1865"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梅特勒一托利多仪器有限公司</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15</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电子天平</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AL204</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梅特勒一托利多仪器有限公司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16</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气相色谱仪</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GC-9790</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浙江福利分析仪器有限公司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17</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气相色谱仪</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GC-14C</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岛津国际贸易（上海）有限公司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18</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气相色谱仪</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GC-97890II</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上海天美科学仪器有限公司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19</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气相色谱仪</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7820A</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安捷伦（中国）有限公司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20</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分度吸量:管</w:t>
            </w:r>
          </w:p>
        </w:tc>
        <w:tc>
          <w:tcPr>
            <w:tcW w:w="1865" w:type="dxa"/>
            <w:vAlign w:val="center"/>
          </w:tcPr>
          <w:p>
            <w:pPr>
              <w:keepNext w:val="0"/>
              <w:keepLines w:val="0"/>
              <w:widowControl/>
              <w:suppressLineNumbers w:val="0"/>
              <w:jc w:val="center"/>
              <w:textAlignment w:val="top"/>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5ml. 10ml.</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1</w:t>
            </w:r>
            <w:r>
              <w:rPr>
                <w:rStyle w:val="31"/>
                <w:rFonts w:ascii="Times New Roman" w:hAnsi="Times New Roman" w:eastAsia="宋体"/>
                <w:sz w:val="21"/>
                <w:szCs w:val="21"/>
                <w:lang w:val="en-US" w:eastAsia="zh-CN"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21</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电子天平</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FA2004</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上海上平分析仪器厂</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22</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分析天平</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TG328A</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上海精科仪器有限公司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23</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电子天平</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FA2004</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上海菁海仪器有限公司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24</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电子天平</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FA2004N</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上海菁海仪器有限公司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25</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无塞滴定管</w:t>
            </w:r>
          </w:p>
        </w:tc>
        <w:tc>
          <w:tcPr>
            <w:tcW w:w="1865"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50ml</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26</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具塞滴定管</w:t>
            </w:r>
          </w:p>
        </w:tc>
        <w:tc>
          <w:tcPr>
            <w:tcW w:w="1865"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50ml</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27</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量筒</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1000ml.500ml. 250ml. 100ml. 50ml</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1</w:t>
            </w:r>
            <w:r>
              <w:rPr>
                <w:rStyle w:val="31"/>
                <w:rFonts w:ascii="Times New Roman" w:hAnsi="Times New Roman" w:eastAsia="宋体"/>
                <w:sz w:val="21"/>
                <w:szCs w:val="21"/>
                <w:lang w:val="en-US" w:eastAsia="zh-CN"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28</w:t>
            </w:r>
          </w:p>
        </w:tc>
        <w:tc>
          <w:tcPr>
            <w:tcW w:w="2331"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单标线容量瓶</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1000ml.500ml. 250ml. 100ml.50ml</w:t>
            </w:r>
          </w:p>
        </w:tc>
        <w:tc>
          <w:tcPr>
            <w:tcW w:w="2704"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w:t>
            </w:r>
          </w:p>
        </w:tc>
        <w:tc>
          <w:tcPr>
            <w:tcW w:w="706" w:type="dxa"/>
            <w:vAlign w:val="center"/>
          </w:tcPr>
          <w:p>
            <w:pPr>
              <w:keepNext w:val="0"/>
              <w:keepLines w:val="0"/>
              <w:widowControl/>
              <w:suppressLineNumbers w:val="0"/>
              <w:jc w:val="center"/>
              <w:textAlignment w:val="center"/>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1</w:t>
            </w:r>
            <w:r>
              <w:rPr>
                <w:rStyle w:val="31"/>
                <w:rFonts w:ascii="Times New Roman" w:hAnsi="Times New Roman" w:eastAsia="宋体"/>
                <w:sz w:val="21"/>
                <w:szCs w:val="21"/>
                <w:lang w:val="en-US" w:eastAsia="zh-CN"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29</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电导率仪</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DDS-11A</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上海大普仪器有限公司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30</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酸度计</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PHS-3C</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上海大普仪器有限公司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31</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气相色谱仪</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GC-2000</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腾海分析仪器有限公司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32</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气相色谱仪</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GC-9800</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上海科创仪器有限公司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33</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紫外可见分光光度计</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UVuminil240</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岛津国际贸易（上海）有限公司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34</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电子天平</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FA2004N</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上海菁海仪器有限公司</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35</w:t>
            </w:r>
          </w:p>
        </w:tc>
        <w:tc>
          <w:tcPr>
            <w:tcW w:w="2331"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阿贝折射仪</w:t>
            </w:r>
            <w:r>
              <w:rPr>
                <w:rStyle w:val="32"/>
                <w:rFonts w:ascii="Times New Roman" w:hAnsi="Times New Roman" w:eastAsia="宋体"/>
                <w:sz w:val="21"/>
                <w:szCs w:val="21"/>
                <w:lang w:val="en-US" w:eastAsia="zh-CN" w:bidi="ar"/>
              </w:rPr>
              <w:t>WAY-2S</w:t>
            </w:r>
          </w:p>
        </w:tc>
        <w:tc>
          <w:tcPr>
            <w:tcW w:w="1865"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2"/>
                <w:rFonts w:ascii="Times New Roman" w:hAnsi="Times New Roman" w:eastAsia="宋体"/>
                <w:sz w:val="21"/>
                <w:szCs w:val="21"/>
                <w:lang w:val="en-US" w:eastAsia="zh-CN" w:bidi="ar"/>
              </w:rPr>
              <w:t>WAY-2S</w:t>
            </w:r>
          </w:p>
        </w:tc>
        <w:tc>
          <w:tcPr>
            <w:tcW w:w="2704"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Style w:val="31"/>
                <w:rFonts w:ascii="Times New Roman" w:hAnsi="Times New Roman" w:eastAsia="宋体"/>
                <w:sz w:val="21"/>
                <w:szCs w:val="21"/>
                <w:lang w:val="en-US" w:eastAsia="zh-CN" w:bidi="ar"/>
              </w:rPr>
              <w:t>上海申光仪器仪表厂</w:t>
            </w:r>
          </w:p>
        </w:tc>
        <w:tc>
          <w:tcPr>
            <w:tcW w:w="706" w:type="dxa"/>
            <w:vAlign w:val="center"/>
          </w:tcPr>
          <w:p>
            <w:pPr>
              <w:keepNext w:val="0"/>
              <w:keepLines w:val="0"/>
              <w:widowControl/>
              <w:suppressLineNumbers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36</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ind w:firstLine="420" w:firstLineChars="20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无塞滴定管</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50ml</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37</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单标线容量瓶</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cs="MingLiU"/>
                <w:i w:val="0"/>
                <w:iCs w:val="0"/>
                <w:color w:val="000000"/>
                <w:kern w:val="0"/>
                <w:sz w:val="21"/>
                <w:szCs w:val="21"/>
                <w:u w:val="none"/>
                <w:lang w:val="en-US" w:eastAsia="zh-CN" w:bidi="ar"/>
              </w:rPr>
            </w:pPr>
            <w:r>
              <w:rPr>
                <w:rFonts w:hint="default" w:ascii="Times New Roman" w:hAnsi="Times New Roman" w:eastAsia="宋体" w:cs="Arial"/>
                <w:i w:val="0"/>
                <w:iCs w:val="0"/>
                <w:color w:val="000000"/>
                <w:kern w:val="0"/>
                <w:sz w:val="21"/>
                <w:szCs w:val="21"/>
                <w:u w:val="none"/>
                <w:lang w:val="en-US" w:eastAsia="zh-CN" w:bidi="ar"/>
              </w:rPr>
              <w:t>1000ml</w:t>
            </w:r>
            <w:r>
              <w:rPr>
                <w:rFonts w:hint="eastAsia" w:ascii="Times New Roman" w:hAnsi="Times New Roman" w:eastAsia="宋体" w:cs="Arial"/>
                <w:i w:val="0"/>
                <w:iCs w:val="0"/>
                <w:color w:val="000000"/>
                <w:kern w:val="0"/>
                <w:sz w:val="21"/>
                <w:szCs w:val="21"/>
                <w:u w:val="none"/>
                <w:lang w:val="en-US" w:eastAsia="zh-CN" w:bidi="ar"/>
              </w:rPr>
              <w:t xml:space="preserve"> </w:t>
            </w:r>
            <w:r>
              <w:rPr>
                <w:rFonts w:hint="default" w:ascii="Times New Roman" w:hAnsi="Times New Roman" w:eastAsia="宋体" w:cs="Arial"/>
                <w:i w:val="0"/>
                <w:iCs w:val="0"/>
                <w:color w:val="000000"/>
                <w:kern w:val="0"/>
                <w:sz w:val="21"/>
                <w:szCs w:val="21"/>
                <w:u w:val="none"/>
                <w:lang w:val="en-US" w:eastAsia="zh-CN" w:bidi="ar"/>
              </w:rPr>
              <w:t>2</w:t>
            </w:r>
            <w:r>
              <w:rPr>
                <w:rFonts w:hint="default" w:ascii="Times New Roman" w:hAnsi="Times New Roman" w:eastAsia="宋体" w:cs="MingLiU"/>
                <w:i w:val="0"/>
                <w:iCs w:val="0"/>
                <w:color w:val="000000"/>
                <w:kern w:val="0"/>
                <w:sz w:val="21"/>
                <w:szCs w:val="21"/>
                <w:u w:val="none"/>
                <w:lang w:val="en-US" w:eastAsia="zh-CN" w:bidi="ar"/>
              </w:rPr>
              <w:t>个</w:t>
            </w:r>
            <w:r>
              <w:rPr>
                <w:rFonts w:hint="eastAsia" w:ascii="Times New Roman" w:hAnsi="Times New Roman" w:eastAsia="宋体" w:cs="MingLiU"/>
                <w:i w:val="0"/>
                <w:iCs w:val="0"/>
                <w:color w:val="000000"/>
                <w:kern w:val="0"/>
                <w:sz w:val="21"/>
                <w:szCs w:val="21"/>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cs="MingLiU"/>
                <w:i w:val="0"/>
                <w:iCs w:val="0"/>
                <w:color w:val="000000"/>
                <w:kern w:val="0"/>
                <w:sz w:val="21"/>
                <w:szCs w:val="21"/>
                <w:u w:val="none"/>
                <w:lang w:val="en-US" w:eastAsia="zh-CN" w:bidi="ar"/>
              </w:rPr>
            </w:pPr>
            <w:r>
              <w:rPr>
                <w:rFonts w:hint="default" w:ascii="Times New Roman" w:hAnsi="Times New Roman" w:eastAsia="宋体" w:cs="Arial"/>
                <w:i w:val="0"/>
                <w:iCs w:val="0"/>
                <w:color w:val="000000"/>
                <w:kern w:val="0"/>
                <w:sz w:val="21"/>
                <w:szCs w:val="21"/>
                <w:u w:val="none"/>
                <w:lang w:val="en-US" w:eastAsia="zh-CN" w:bidi="ar"/>
              </w:rPr>
              <w:t>500m</w:t>
            </w:r>
            <w:r>
              <w:rPr>
                <w:rFonts w:hint="eastAsia" w:ascii="Times New Roman" w:hAnsi="Times New Roman" w:eastAsia="宋体" w:cs="Arial"/>
                <w:i w:val="0"/>
                <w:iCs w:val="0"/>
                <w:color w:val="000000"/>
                <w:kern w:val="0"/>
                <w:sz w:val="21"/>
                <w:szCs w:val="21"/>
                <w:u w:val="none"/>
                <w:lang w:val="en-US" w:eastAsia="zh-CN" w:bidi="ar"/>
              </w:rPr>
              <w:t xml:space="preserve">l </w:t>
            </w:r>
            <w:r>
              <w:rPr>
                <w:rFonts w:hint="default" w:ascii="Times New Roman" w:hAnsi="Times New Roman" w:eastAsia="宋体" w:cs="Arial"/>
                <w:i w:val="0"/>
                <w:iCs w:val="0"/>
                <w:color w:val="000000"/>
                <w:kern w:val="0"/>
                <w:sz w:val="21"/>
                <w:szCs w:val="21"/>
                <w:u w:val="none"/>
                <w:lang w:val="en-US" w:eastAsia="zh-CN" w:bidi="ar"/>
              </w:rPr>
              <w:t>2</w:t>
            </w:r>
            <w:r>
              <w:rPr>
                <w:rFonts w:hint="default" w:ascii="Times New Roman" w:hAnsi="Times New Roman" w:eastAsia="宋体" w:cs="MingLiU"/>
                <w:i w:val="0"/>
                <w:iCs w:val="0"/>
                <w:color w:val="000000"/>
                <w:kern w:val="0"/>
                <w:sz w:val="21"/>
                <w:szCs w:val="21"/>
                <w:u w:val="none"/>
                <w:lang w:val="en-US" w:eastAsia="zh-CN" w:bidi="ar"/>
              </w:rPr>
              <w:t>个</w:t>
            </w:r>
            <w:r>
              <w:rPr>
                <w:rFonts w:hint="eastAsia" w:ascii="Times New Roman" w:hAnsi="Times New Roman" w:eastAsia="宋体" w:cs="MingLiU"/>
                <w:i w:val="0"/>
                <w:iCs w:val="0"/>
                <w:color w:val="000000"/>
                <w:kern w:val="0"/>
                <w:sz w:val="21"/>
                <w:szCs w:val="21"/>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cs="MingLiU"/>
                <w:i w:val="0"/>
                <w:iCs w:val="0"/>
                <w:color w:val="000000"/>
                <w:kern w:val="0"/>
                <w:sz w:val="21"/>
                <w:szCs w:val="21"/>
                <w:u w:val="none"/>
                <w:lang w:val="en-US" w:eastAsia="zh-CN" w:bidi="ar"/>
              </w:rPr>
            </w:pPr>
            <w:r>
              <w:rPr>
                <w:rFonts w:hint="default" w:ascii="Times New Roman" w:hAnsi="Times New Roman" w:eastAsia="宋体" w:cs="Arial"/>
                <w:i w:val="0"/>
                <w:iCs w:val="0"/>
                <w:color w:val="000000"/>
                <w:kern w:val="0"/>
                <w:sz w:val="21"/>
                <w:szCs w:val="21"/>
                <w:u w:val="none"/>
                <w:lang w:val="en-US" w:eastAsia="zh-CN" w:bidi="ar"/>
              </w:rPr>
              <w:t>250m</w:t>
            </w:r>
            <w:r>
              <w:rPr>
                <w:rFonts w:hint="eastAsia" w:ascii="Times New Roman" w:hAnsi="Times New Roman" w:eastAsia="宋体" w:cs="Arial"/>
                <w:i w:val="0"/>
                <w:iCs w:val="0"/>
                <w:color w:val="000000"/>
                <w:kern w:val="0"/>
                <w:sz w:val="21"/>
                <w:szCs w:val="21"/>
                <w:u w:val="none"/>
                <w:lang w:val="en-US" w:eastAsia="zh-CN" w:bidi="ar"/>
              </w:rPr>
              <w:t xml:space="preserve">l </w:t>
            </w:r>
            <w:r>
              <w:rPr>
                <w:rFonts w:hint="default" w:ascii="Times New Roman" w:hAnsi="Times New Roman" w:eastAsia="宋体" w:cs="Arial"/>
                <w:i w:val="0"/>
                <w:iCs w:val="0"/>
                <w:color w:val="000000"/>
                <w:kern w:val="0"/>
                <w:sz w:val="21"/>
                <w:szCs w:val="21"/>
                <w:u w:val="none"/>
                <w:lang w:val="en-US" w:eastAsia="zh-CN" w:bidi="ar"/>
              </w:rPr>
              <w:t>2</w:t>
            </w:r>
            <w:r>
              <w:rPr>
                <w:rFonts w:hint="default" w:ascii="Times New Roman" w:hAnsi="Times New Roman" w:eastAsia="宋体" w:cs="MingLiU"/>
                <w:i w:val="0"/>
                <w:iCs w:val="0"/>
                <w:color w:val="000000"/>
                <w:kern w:val="0"/>
                <w:sz w:val="21"/>
                <w:szCs w:val="21"/>
                <w:u w:val="none"/>
                <w:lang w:val="en-US" w:eastAsia="zh-CN" w:bidi="ar"/>
              </w:rPr>
              <w:t>个</w:t>
            </w:r>
            <w:r>
              <w:rPr>
                <w:rFonts w:hint="eastAsia" w:ascii="Times New Roman" w:hAnsi="Times New Roman" w:eastAsia="宋体" w:cs="MingLiU"/>
                <w:i w:val="0"/>
                <w:iCs w:val="0"/>
                <w:color w:val="000000"/>
                <w:kern w:val="0"/>
                <w:sz w:val="21"/>
                <w:szCs w:val="21"/>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200ml</w:t>
            </w:r>
            <w:r>
              <w:rPr>
                <w:rFonts w:hint="eastAsia" w:ascii="Times New Roman" w:hAnsi="Times New Roman" w:eastAsia="宋体" w:cs="Arial"/>
                <w:i w:val="0"/>
                <w:iCs w:val="0"/>
                <w:color w:val="000000"/>
                <w:kern w:val="0"/>
                <w:sz w:val="21"/>
                <w:szCs w:val="21"/>
                <w:u w:val="none"/>
                <w:lang w:val="en-US" w:eastAsia="zh-CN" w:bidi="ar"/>
              </w:rPr>
              <w:t>和</w:t>
            </w:r>
            <w:r>
              <w:rPr>
                <w:rFonts w:hint="default" w:ascii="Times New Roman" w:hAnsi="Times New Roman" w:eastAsia="宋体" w:cs="Arial"/>
                <w:i w:val="0"/>
                <w:iCs w:val="0"/>
                <w:color w:val="000000"/>
                <w:kern w:val="0"/>
                <w:sz w:val="21"/>
                <w:szCs w:val="21"/>
                <w:u w:val="none"/>
                <w:lang w:val="en-US" w:eastAsia="zh-CN" w:bidi="ar"/>
              </w:rPr>
              <w:t>100ml</w:t>
            </w:r>
            <w:r>
              <w:rPr>
                <w:rFonts w:hint="eastAsia" w:ascii="Times New Roman" w:hAnsi="Times New Roman" w:eastAsia="宋体" w:cs="Arial"/>
                <w:i w:val="0"/>
                <w:iCs w:val="0"/>
                <w:color w:val="000000"/>
                <w:kern w:val="0"/>
                <w:sz w:val="21"/>
                <w:szCs w:val="21"/>
                <w:u w:val="none"/>
                <w:lang w:val="en-US" w:eastAsia="zh-CN" w:bidi="ar"/>
              </w:rPr>
              <w:t xml:space="preserve"> </w:t>
            </w:r>
            <w:r>
              <w:rPr>
                <w:rFonts w:hint="default" w:ascii="Times New Roman" w:hAnsi="Times New Roman" w:eastAsia="宋体" w:cs="Arial"/>
                <w:i w:val="0"/>
                <w:iCs w:val="0"/>
                <w:color w:val="000000"/>
                <w:kern w:val="0"/>
                <w:sz w:val="21"/>
                <w:szCs w:val="21"/>
                <w:u w:val="none"/>
                <w:lang w:val="en-US" w:eastAsia="zh-CN" w:bidi="ar"/>
              </w:rPr>
              <w:t>4</w:t>
            </w:r>
            <w:r>
              <w:rPr>
                <w:rFonts w:hint="default" w:ascii="Times New Roman" w:hAnsi="Times New Roman" w:eastAsia="宋体" w:cs="MingLiU"/>
                <w:i w:val="0"/>
                <w:iCs w:val="0"/>
                <w:color w:val="000000"/>
                <w:kern w:val="0"/>
                <w:sz w:val="21"/>
                <w:szCs w:val="21"/>
                <w:u w:val="none"/>
                <w:lang w:val="en-US" w:eastAsia="zh-CN" w:bidi="ar"/>
              </w:rPr>
              <w:t>个</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r>
              <w:rPr>
                <w:rFonts w:hint="default" w:ascii="Times New Roman" w:hAnsi="Times New Roman" w:eastAsia="宋体" w:cs="MingLiU"/>
                <w:i w:val="0"/>
                <w:iCs w:val="0"/>
                <w:color w:val="000000"/>
                <w:kern w:val="0"/>
                <w:sz w:val="21"/>
                <w:szCs w:val="21"/>
                <w:u w:val="none"/>
                <w:lang w:val="en-US" w:eastAsia="zh-CN"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38</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具塞滴定管</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50ml</w:t>
            </w:r>
            <w:r>
              <w:rPr>
                <w:rFonts w:hint="eastAsia" w:ascii="Times New Roman" w:hAnsi="Times New Roman" w:eastAsia="宋体" w:cs="Arial"/>
                <w:i w:val="0"/>
                <w:iCs w:val="0"/>
                <w:color w:val="000000"/>
                <w:kern w:val="0"/>
                <w:sz w:val="21"/>
                <w:szCs w:val="21"/>
                <w:u w:val="none"/>
                <w:lang w:val="en-US" w:eastAsia="zh-CN" w:bidi="ar"/>
              </w:rPr>
              <w:t>；</w:t>
            </w:r>
            <w:r>
              <w:rPr>
                <w:rFonts w:hint="default" w:ascii="Times New Roman" w:hAnsi="Times New Roman" w:eastAsia="宋体" w:cs="Arial"/>
                <w:i w:val="0"/>
                <w:iCs w:val="0"/>
                <w:color w:val="000000"/>
                <w:kern w:val="0"/>
                <w:sz w:val="21"/>
                <w:szCs w:val="21"/>
                <w:u w:val="none"/>
                <w:lang w:val="en-US" w:eastAsia="zh-CN" w:bidi="ar"/>
              </w:rPr>
              <w:t>50ml</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r>
              <w:rPr>
                <w:rFonts w:hint="default" w:ascii="Times New Roman" w:hAnsi="Times New Roman" w:eastAsia="宋体" w:cs="MingLiU"/>
                <w:i w:val="0"/>
                <w:iCs w:val="0"/>
                <w:color w:val="000000"/>
                <w:kern w:val="0"/>
                <w:sz w:val="21"/>
                <w:szCs w:val="21"/>
                <w:u w:val="none"/>
                <w:lang w:val="en-US" w:eastAsia="zh-CN"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39</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单标线容量瓶</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100ml</w:t>
            </w:r>
            <w:r>
              <w:rPr>
                <w:rFonts w:hint="eastAsia" w:ascii="Times New Roman" w:hAnsi="Times New Roman" w:eastAsia="宋体" w:cs="Arial"/>
                <w:i w:val="0"/>
                <w:iCs w:val="0"/>
                <w:color w:val="000000"/>
                <w:kern w:val="0"/>
                <w:sz w:val="21"/>
                <w:szCs w:val="21"/>
                <w:u w:val="none"/>
                <w:lang w:val="en-US" w:eastAsia="zh-CN" w:bidi="ar"/>
              </w:rPr>
              <w:t xml:space="preserve">  </w:t>
            </w:r>
            <w:r>
              <w:rPr>
                <w:rFonts w:hint="default" w:ascii="Times New Roman" w:hAnsi="Times New Roman" w:eastAsia="宋体" w:cs="Arial"/>
                <w:i w:val="0"/>
                <w:iCs w:val="0"/>
                <w:color w:val="000000"/>
                <w:kern w:val="0"/>
                <w:sz w:val="21"/>
                <w:szCs w:val="21"/>
                <w:u w:val="none"/>
                <w:lang w:val="en-US" w:eastAsia="zh-CN" w:bidi="ar"/>
              </w:rPr>
              <w:t>5</w:t>
            </w:r>
            <w:r>
              <w:rPr>
                <w:rFonts w:hint="default" w:ascii="Times New Roman" w:hAnsi="Times New Roman" w:eastAsia="宋体" w:cs="MingLiU"/>
                <w:i w:val="0"/>
                <w:iCs w:val="0"/>
                <w:color w:val="000000"/>
                <w:kern w:val="0"/>
                <w:sz w:val="21"/>
                <w:szCs w:val="21"/>
                <w:u w:val="none"/>
                <w:lang w:val="en-US" w:eastAsia="zh-CN" w:bidi="ar"/>
              </w:rPr>
              <w:t>个</w:t>
            </w:r>
            <w:r>
              <w:rPr>
                <w:rFonts w:hint="eastAsia" w:ascii="Times New Roman" w:hAnsi="Times New Roman" w:eastAsia="宋体" w:cs="MingLiU"/>
                <w:i w:val="0"/>
                <w:iCs w:val="0"/>
                <w:color w:val="000000"/>
                <w:kern w:val="0"/>
                <w:sz w:val="21"/>
                <w:szCs w:val="21"/>
                <w:u w:val="none"/>
                <w:lang w:val="en-US" w:eastAsia="zh-CN" w:bidi="ar"/>
              </w:rPr>
              <w:t>；</w:t>
            </w:r>
            <w:r>
              <w:rPr>
                <w:rFonts w:hint="default" w:ascii="Times New Roman" w:hAnsi="Times New Roman" w:eastAsia="宋体" w:cs="Arial"/>
                <w:i w:val="0"/>
                <w:iCs w:val="0"/>
                <w:color w:val="000000"/>
                <w:kern w:val="0"/>
                <w:sz w:val="21"/>
                <w:szCs w:val="21"/>
                <w:u w:val="none"/>
                <w:lang w:val="en-US" w:eastAsia="zh-CN" w:bidi="ar"/>
              </w:rPr>
              <w:t xml:space="preserve">50ml8 </w:t>
            </w:r>
            <w:r>
              <w:rPr>
                <w:rFonts w:hint="default" w:ascii="Times New Roman" w:hAnsi="Times New Roman" w:eastAsia="宋体" w:cs="MingLiU"/>
                <w:i w:val="0"/>
                <w:iCs w:val="0"/>
                <w:color w:val="000000"/>
                <w:kern w:val="0"/>
                <w:sz w:val="21"/>
                <w:szCs w:val="21"/>
                <w:u w:val="none"/>
                <w:lang w:val="en-US" w:eastAsia="zh-CN" w:bidi="ar"/>
              </w:rPr>
              <w:t>个</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r>
              <w:rPr>
                <w:rFonts w:hint="default" w:ascii="Times New Roman" w:hAnsi="Times New Roman" w:eastAsia="宋体" w:cs="MingLiU"/>
                <w:i w:val="0"/>
                <w:iCs w:val="0"/>
                <w:color w:val="000000"/>
                <w:kern w:val="0"/>
                <w:sz w:val="21"/>
                <w:szCs w:val="21"/>
                <w:u w:val="none"/>
                <w:lang w:val="en-US" w:eastAsia="zh-CN"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40</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量筒</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50mL10ml. 100ml.250ml. 500ml. 1000ml</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2</w:t>
            </w:r>
            <w:r>
              <w:rPr>
                <w:rFonts w:hint="default" w:ascii="Times New Roman" w:hAnsi="Times New Roman" w:eastAsia="宋体" w:cs="MingLiU"/>
                <w:i w:val="0"/>
                <w:iCs w:val="0"/>
                <w:color w:val="000000"/>
                <w:kern w:val="0"/>
                <w:sz w:val="21"/>
                <w:szCs w:val="21"/>
                <w:u w:val="none"/>
                <w:lang w:val="en-US" w:eastAsia="zh-CN"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41</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单标线吸量管</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5ml.5ml.10ml. 10ml.50ml.50ml .20ml.25ml.25ml</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3</w:t>
            </w:r>
            <w:r>
              <w:rPr>
                <w:rFonts w:hint="default" w:ascii="Times New Roman" w:hAnsi="Times New Roman" w:eastAsia="宋体" w:cs="MingLiU"/>
                <w:i w:val="0"/>
                <w:iCs w:val="0"/>
                <w:color w:val="000000"/>
                <w:kern w:val="0"/>
                <w:sz w:val="21"/>
                <w:szCs w:val="21"/>
                <w:u w:val="none"/>
                <w:lang w:val="en-US" w:eastAsia="zh-CN"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42</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分度吸量:管</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top"/>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5ml. 10ml.</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2</w:t>
            </w:r>
            <w:r>
              <w:rPr>
                <w:rFonts w:hint="default" w:ascii="Times New Roman" w:hAnsi="Times New Roman" w:eastAsia="宋体" w:cs="MingLiU"/>
                <w:i w:val="0"/>
                <w:iCs w:val="0"/>
                <w:color w:val="000000"/>
                <w:kern w:val="0"/>
                <w:sz w:val="21"/>
                <w:szCs w:val="21"/>
                <w:u w:val="none"/>
                <w:lang w:val="en-US" w:eastAsia="zh-CN" w:bidi="ar"/>
              </w:rPr>
              <w:t>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43</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气相色谱仪</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GC-2014C</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日本岛津分析仪器有限公司</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44</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气相色谱仪</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7820A</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美国安捷伦</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45</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气相色谱仪</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7820A</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美国安捷伦</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46</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气相色谱仪</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GC-201C</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日本岛津分析仪器有限公司</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47</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紫外可见分光光度计</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UV-1750</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日本岛津分析仪器有限公司</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48</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电导率仪</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sension5</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美国哈希</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49</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酸度计</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PHS-3C</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上海今迈仪器仪表有限公司</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50</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微量:滴定管</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5 ml</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51</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无塞滴定管</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50ml</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52</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具塞滴定管</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50ml</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53</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玻璃液体温度计</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0-100,C</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天津玻璃仪器厂</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bottom"/>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54</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箱式电阻炉</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SX8-13</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龙口市电炉总厂</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16"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55</w:t>
            </w:r>
          </w:p>
        </w:tc>
        <w:tc>
          <w:tcPr>
            <w:tcW w:w="2331"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无塞滴定管</w:t>
            </w:r>
          </w:p>
        </w:tc>
        <w:tc>
          <w:tcPr>
            <w:tcW w:w="1865"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50ml</w:t>
            </w:r>
          </w:p>
        </w:tc>
        <w:tc>
          <w:tcPr>
            <w:tcW w:w="2704"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MingLiU"/>
                <w:i w:val="0"/>
                <w:iCs w:val="0"/>
                <w:color w:val="000000"/>
                <w:kern w:val="0"/>
                <w:sz w:val="21"/>
                <w:szCs w:val="21"/>
                <w:u w:val="none"/>
                <w:lang w:val="en-US" w:eastAsia="zh-CN" w:bidi="ar"/>
              </w:rPr>
              <w:t>/</w:t>
            </w:r>
          </w:p>
        </w:tc>
        <w:tc>
          <w:tcPr>
            <w:tcW w:w="706" w:type="dxa"/>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宋体"/>
                <w:sz w:val="21"/>
                <w:szCs w:val="21"/>
                <w:vertAlign w:val="baseline"/>
                <w:lang w:val="en-US" w:eastAsia="zh-CN"/>
              </w:rPr>
            </w:pPr>
            <w:r>
              <w:rPr>
                <w:rFonts w:hint="default" w:ascii="Times New Roman" w:hAnsi="Times New Roman" w:eastAsia="宋体" w:cs="Arial"/>
                <w:i w:val="0"/>
                <w:iCs w:val="0"/>
                <w:color w:val="000000"/>
                <w:kern w:val="0"/>
                <w:sz w:val="21"/>
                <w:szCs w:val="21"/>
                <w:u w:val="none"/>
                <w:lang w:val="en-US" w:eastAsia="zh-CN" w:bidi="ar"/>
              </w:rPr>
              <w:t>1</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本项目需配备的监测仪器、设备见下表。</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sz w:val="24"/>
          <w:szCs w:val="24"/>
          <w:lang w:val="en-US" w:eastAsia="zh-CN"/>
        </w:rPr>
      </w:pPr>
      <w:r>
        <w:rPr>
          <w:rFonts w:hint="eastAsia" w:ascii="Times New Roman" w:hAnsi="Times New Roman" w:eastAsia="宋体"/>
          <w:b/>
          <w:bCs/>
          <w:sz w:val="24"/>
          <w:szCs w:val="24"/>
          <w:lang w:val="en-US" w:eastAsia="zh-CN"/>
        </w:rPr>
        <w:t>表</w:t>
      </w:r>
      <w:r>
        <w:rPr>
          <w:rFonts w:hint="eastAsia" w:ascii="Times New Roman" w:hAnsi="Times New Roman" w:cs="Times New Roman"/>
          <w:b/>
          <w:bCs/>
          <w:sz w:val="24"/>
          <w:szCs w:val="24"/>
          <w:lang w:val="en-US" w:eastAsia="zh-CN"/>
        </w:rPr>
        <w:t>10.2</w:t>
      </w:r>
      <w:r>
        <w:rPr>
          <w:rFonts w:hint="default" w:ascii="Times New Roman" w:hAnsi="Times New Roman" w:eastAsia="宋体"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eastAsia" w:ascii="Times New Roman" w:hAnsi="Times New Roman" w:eastAsia="宋体"/>
          <w:b/>
          <w:bCs/>
          <w:sz w:val="24"/>
          <w:szCs w:val="24"/>
          <w:lang w:val="en-US" w:eastAsia="zh-CN"/>
        </w:rPr>
        <w:t xml:space="preserve">  监测仪器、设备一览表</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2"/>
        <w:gridCol w:w="3957"/>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序号</w:t>
            </w:r>
          </w:p>
        </w:tc>
        <w:tc>
          <w:tcPr>
            <w:tcW w:w="39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设备名称</w:t>
            </w: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数量（台）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c>
          <w:tcPr>
            <w:tcW w:w="39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非甲烷总烃测定仪</w:t>
            </w: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5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2</w:t>
            </w:r>
          </w:p>
        </w:tc>
        <w:tc>
          <w:tcPr>
            <w:tcW w:w="39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CO气体检测仪</w:t>
            </w:r>
          </w:p>
        </w:tc>
        <w:tc>
          <w:tcPr>
            <w:tcW w:w="28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sz w:val="21"/>
                <w:szCs w:val="21"/>
                <w:vertAlign w:val="baseline"/>
                <w:lang w:val="en-US" w:eastAsia="zh-CN"/>
              </w:rPr>
            </w:pPr>
            <w:r>
              <w:rPr>
                <w:rFonts w:hint="eastAsia" w:ascii="Times New Roman" w:hAnsi="Times New Roman"/>
                <w:sz w:val="21"/>
                <w:szCs w:val="21"/>
                <w:vertAlign w:val="baseline"/>
                <w:lang w:val="en-US" w:eastAsia="zh-CN"/>
              </w:rPr>
              <w:t>1</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default" w:ascii="Times New Roman" w:hAnsi="Times New Roman"/>
          <w:b/>
          <w:bCs/>
          <w:sz w:val="28"/>
          <w:szCs w:val="28"/>
          <w:lang w:val="en-US" w:eastAsia="zh-CN"/>
        </w:rPr>
      </w:pPr>
      <w:r>
        <w:rPr>
          <w:rFonts w:hint="eastAsia" w:ascii="Times New Roman" w:hAnsi="Times New Roman"/>
          <w:b/>
          <w:bCs/>
          <w:sz w:val="28"/>
          <w:szCs w:val="28"/>
          <w:lang w:val="en-US" w:eastAsia="zh-CN"/>
        </w:rPr>
        <w:t>10.2.4人员培训</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为确保监测数据的真实可靠性，对于现场的采样、分析及其数据的处理，都需要监测人员具有一定的相关能力和素质。因此，应针对监测项目的监测人员进行技术培训与考核，合格后上岗。</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sz w:val="28"/>
          <w:szCs w:val="28"/>
          <w:lang w:val="en-US" w:eastAsia="zh-CN"/>
        </w:rPr>
      </w:pPr>
      <w:r>
        <w:rPr>
          <w:rFonts w:hint="eastAsia" w:ascii="Times New Roman" w:hAnsi="Times New Roman"/>
          <w:b/>
          <w:bCs/>
          <w:sz w:val="28"/>
          <w:szCs w:val="28"/>
          <w:lang w:val="en-US" w:eastAsia="zh-CN"/>
        </w:rPr>
        <w:t>10.2.5退役期的环境管理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本项目服务期满后必须对厂址所在地进行水、气、土壤的监测工作，并委托有资质的单位进行退役期环境影响后评价工作。</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sectPr>
          <w:headerReference r:id="rId84" w:type="default"/>
          <w:footerReference r:id="rId85"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7"/>
        <w:bidi w:val="0"/>
        <w:jc w:val="center"/>
        <w:rPr>
          <w:rFonts w:hint="default"/>
          <w:lang w:val="en-US" w:eastAsia="zh-CN"/>
        </w:rPr>
      </w:pPr>
      <w:bookmarkStart w:id="90" w:name="_Toc28041"/>
      <w:bookmarkStart w:id="91" w:name="_Toc1901"/>
      <w:r>
        <w:rPr>
          <w:rFonts w:hint="eastAsia" w:ascii="Times New Roman" w:hAnsi="Times New Roman" w:cs="Times New Roman"/>
          <w:lang w:val="en-US" w:eastAsia="zh-CN"/>
        </w:rPr>
        <w:t xml:space="preserve">11 </w:t>
      </w:r>
      <w:r>
        <w:rPr>
          <w:rFonts w:hint="eastAsia"/>
          <w:lang w:val="en-US" w:eastAsia="zh-CN"/>
        </w:rPr>
        <w:t>污染物总量控制分析</w:t>
      </w:r>
      <w:bookmarkEnd w:id="90"/>
      <w:bookmarkEnd w:id="91"/>
    </w:p>
    <w:p>
      <w:pPr>
        <w:pStyle w:val="8"/>
        <w:pageBreakBefore w:val="0"/>
        <w:widowControl w:val="0"/>
        <w:kinsoku/>
        <w:wordWrap/>
        <w:overflowPunct/>
        <w:topLinePunct w:val="0"/>
        <w:autoSpaceDE/>
        <w:autoSpaceDN/>
        <w:bidi w:val="0"/>
        <w:adjustRightInd/>
        <w:snapToGrid w:val="0"/>
        <w:spacing w:before="0" w:beforeLines="0" w:after="0" w:afterLines="0" w:line="360" w:lineRule="auto"/>
        <w:textAlignment w:val="auto"/>
        <w:rPr>
          <w:rFonts w:hint="default" w:ascii="宋体" w:hAnsi="宋体" w:eastAsia="宋体" w:cs="宋体"/>
          <w:lang w:val="en-US" w:eastAsia="zh-CN"/>
        </w:rPr>
      </w:pPr>
      <w:bookmarkStart w:id="92" w:name="_Toc15843"/>
      <w:bookmarkStart w:id="93" w:name="_Toc9882"/>
      <w:r>
        <w:rPr>
          <w:rFonts w:hint="eastAsia" w:ascii="Times New Roman" w:hAnsi="Times New Roman" w:eastAsia="宋体" w:cs="Times New Roman"/>
          <w:lang w:val="en-US" w:eastAsia="zh-CN"/>
        </w:rPr>
        <w:t>11</w:t>
      </w:r>
      <w:r>
        <w:rPr>
          <w:rFonts w:hint="default" w:ascii="Times New Roman" w:hAnsi="Times New Roman" w:eastAsia="宋体" w:cs="Times New Roman"/>
          <w:lang w:val="en-US" w:eastAsia="zh-CN"/>
        </w:rPr>
        <w:t>.1</w:t>
      </w:r>
      <w:r>
        <w:rPr>
          <w:rFonts w:hint="eastAsia" w:ascii="宋体" w:hAnsi="宋体" w:eastAsia="宋体" w:cs="宋体"/>
          <w:lang w:val="en-US" w:eastAsia="zh-CN"/>
        </w:rPr>
        <w:t>排污总量控制制度</w:t>
      </w:r>
      <w:bookmarkEnd w:id="92"/>
      <w:bookmarkEnd w:id="93"/>
    </w:p>
    <w:p>
      <w:pPr>
        <w:pStyle w:val="2"/>
        <w:keepNext w:val="0"/>
        <w:keepLines w:val="0"/>
        <w:pageBreakBefore w:val="0"/>
        <w:widowControl w:val="0"/>
        <w:kinsoku/>
        <w:wordWrap/>
        <w:overflowPunct/>
        <w:topLinePunct w:val="0"/>
        <w:autoSpaceDE/>
        <w:autoSpaceDN/>
        <w:bidi w:val="0"/>
        <w:snapToGrid w:val="0"/>
        <w:spacing w:line="360" w:lineRule="auto"/>
        <w:ind w:left="0" w:leftChars="0" w:firstLine="480" w:firstLineChars="200"/>
        <w:rPr>
          <w:rFonts w:hint="default"/>
          <w:sz w:val="24"/>
          <w:szCs w:val="24"/>
          <w:lang w:val="en-US" w:eastAsia="zh-CN"/>
        </w:rPr>
      </w:pPr>
      <w:r>
        <w:rPr>
          <w:rFonts w:hint="default"/>
          <w:sz w:val="24"/>
          <w:szCs w:val="24"/>
          <w:lang w:val="en-US" w:eastAsia="zh-CN"/>
        </w:rPr>
        <w:t>排污总量控制制度，是指国家对污染物的排放实施总量控制的法律制度。在此概念中，“总量”一词指的是在一定区域和时间范围内的排污量总和或一定时间范围内某个企业的排污量总和。</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hint="eastAsia"/>
          <w:b/>
          <w:bCs/>
          <w:color w:val="auto"/>
          <w:sz w:val="30"/>
          <w:szCs w:val="30"/>
        </w:rPr>
      </w:pPr>
      <w:bookmarkStart w:id="94" w:name="_Toc20940"/>
      <w:bookmarkStart w:id="95" w:name="_Toc17600"/>
      <w:bookmarkStart w:id="96" w:name="_Toc27947"/>
      <w:r>
        <w:rPr>
          <w:rFonts w:hint="default" w:ascii="Times New Roman" w:hAnsi="Times New Roman" w:cs="Times New Roman"/>
          <w:b/>
          <w:bCs/>
          <w:color w:val="auto"/>
          <w:sz w:val="30"/>
          <w:szCs w:val="30"/>
          <w:lang w:val="en-US" w:eastAsia="zh-CN"/>
        </w:rPr>
        <w:t>11.2</w:t>
      </w:r>
      <w:r>
        <w:rPr>
          <w:rFonts w:hint="default" w:ascii="Times New Roman" w:hAnsi="Times New Roman" w:cs="Times New Roman"/>
          <w:b/>
          <w:bCs/>
          <w:color w:val="auto"/>
          <w:sz w:val="30"/>
          <w:szCs w:val="30"/>
        </w:rPr>
        <w:t xml:space="preserve"> </w:t>
      </w:r>
      <w:r>
        <w:rPr>
          <w:rFonts w:hint="eastAsia"/>
          <w:b/>
          <w:bCs/>
          <w:color w:val="auto"/>
          <w:sz w:val="30"/>
          <w:szCs w:val="30"/>
        </w:rPr>
        <w:t>排污总量控制原则</w:t>
      </w:r>
      <w:bookmarkEnd w:id="94"/>
      <w:bookmarkEnd w:id="95"/>
      <w:bookmarkEnd w:id="96"/>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lang w:val="en-US" w:eastAsia="zh-CN"/>
        </w:rPr>
      </w:pPr>
      <w:r>
        <w:rPr>
          <w:rFonts w:hint="default" w:ascii="Times New Roman" w:hAnsi="Times New Roman"/>
          <w:sz w:val="24"/>
          <w:szCs w:val="24"/>
          <w:lang w:val="en-US" w:eastAsia="zh-CN"/>
        </w:rPr>
        <w:t>根据山东省环保局《关于加强建设项目污染物排放总量控制有关问题的通知》（鲁环发［2007］108号）的要求，“所有新（扩改）”建项目在履行环境影响评价审手续前，必须取得污染物总量控制指标。各级环保部门在核定新（扩改）建项目指标时，应认真依照国家主要污染物总量排放指标核定的有关技术要求，明确新增总量的来源，做到存量与增量的平衡，不得挤占区域减排指标。其中，国家、省环保部门审批的建设项目，须由建设单位填写《山东省建设项目污染物总量确认书》，申请总量指标，经市级环保部门审查同意后，报省环保局总量管理部门核定，并作为环评审批的重要依据。根据相关环保要求，“十三五”期间总量控制指标为COD</w:t>
      </w:r>
      <w:r>
        <w:rPr>
          <w:rFonts w:hint="default" w:ascii="Times New Roman" w:hAnsi="Times New Roman"/>
          <w:sz w:val="24"/>
          <w:szCs w:val="24"/>
          <w:vertAlign w:val="subscript"/>
          <w:lang w:val="en-US" w:eastAsia="zh-CN"/>
        </w:rPr>
        <w:t>Cr</w:t>
      </w:r>
      <w:r>
        <w:rPr>
          <w:rFonts w:hint="default" w:ascii="Times New Roman" w:hAnsi="Times New Roman"/>
          <w:sz w:val="24"/>
          <w:szCs w:val="24"/>
          <w:lang w:val="en-US" w:eastAsia="zh-CN"/>
        </w:rPr>
        <w:t>、氨氮、SO</w:t>
      </w:r>
      <w:r>
        <w:rPr>
          <w:rFonts w:hint="default" w:ascii="Times New Roman" w:hAnsi="Times New Roman"/>
          <w:sz w:val="24"/>
          <w:szCs w:val="24"/>
          <w:vertAlign w:val="subscript"/>
          <w:lang w:val="en-US" w:eastAsia="zh-CN"/>
        </w:rPr>
        <w:t>2</w:t>
      </w:r>
      <w:r>
        <w:rPr>
          <w:rFonts w:hint="default" w:ascii="Times New Roman" w:hAnsi="Times New Roman"/>
          <w:sz w:val="24"/>
          <w:szCs w:val="24"/>
          <w:lang w:val="en-US" w:eastAsia="zh-CN"/>
        </w:rPr>
        <w:t>和NO</w:t>
      </w:r>
      <w:r>
        <w:rPr>
          <w:rFonts w:hint="default" w:ascii="Times New Roman" w:hAnsi="Times New Roman"/>
          <w:sz w:val="24"/>
          <w:szCs w:val="24"/>
          <w:vertAlign w:val="subscript"/>
          <w:lang w:val="en-US" w:eastAsia="zh-CN"/>
        </w:rPr>
        <w:t>x</w:t>
      </w:r>
      <w:r>
        <w:rPr>
          <w:rFonts w:hint="default" w:ascii="Times New Roman" w:hAnsi="Times New Roman"/>
          <w:sz w:val="24"/>
          <w:szCs w:val="24"/>
          <w:lang w:val="en-US" w:eastAsia="zh-CN"/>
        </w:rPr>
        <w:t>。</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hint="eastAsia" w:ascii="Times New Roman" w:hAnsi="Times New Roman"/>
          <w:b/>
          <w:bCs/>
          <w:color w:val="auto"/>
          <w:sz w:val="30"/>
          <w:szCs w:val="30"/>
        </w:rPr>
      </w:pPr>
      <w:bookmarkStart w:id="97" w:name="_Toc9840"/>
      <w:bookmarkStart w:id="98" w:name="_Toc11291"/>
      <w:bookmarkStart w:id="99" w:name="_Toc19792"/>
      <w:r>
        <w:rPr>
          <w:rFonts w:hint="eastAsia" w:ascii="Times New Roman" w:hAnsi="Times New Roman"/>
          <w:b/>
          <w:bCs/>
          <w:color w:val="auto"/>
          <w:sz w:val="30"/>
          <w:szCs w:val="30"/>
          <w:lang w:val="en-US" w:eastAsia="zh-CN"/>
        </w:rPr>
        <w:t>10.3</w:t>
      </w:r>
      <w:r>
        <w:rPr>
          <w:rFonts w:ascii="Times New Roman" w:hAnsi="Times New Roman"/>
          <w:b/>
          <w:bCs/>
          <w:color w:val="auto"/>
          <w:sz w:val="30"/>
          <w:szCs w:val="30"/>
        </w:rPr>
        <w:t xml:space="preserve"> </w:t>
      </w:r>
      <w:r>
        <w:rPr>
          <w:rFonts w:hint="eastAsia" w:ascii="Times New Roman" w:hAnsi="Times New Roman"/>
          <w:b/>
          <w:bCs/>
          <w:color w:val="auto"/>
          <w:sz w:val="30"/>
          <w:szCs w:val="30"/>
        </w:rPr>
        <w:t>总量控制对象</w:t>
      </w:r>
      <w:bookmarkEnd w:id="97"/>
      <w:bookmarkEnd w:id="98"/>
      <w:bookmarkEnd w:id="99"/>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根据《国家环境保护“十三五”规划》，目前我国已经实行污染物排放总量控制。根据《山东省“十三五”期间主要污染物排放总量实施方案》，“十三五”期间我省实行总量控制项目有：SO</w:t>
      </w:r>
      <w:r>
        <w:rPr>
          <w:rFonts w:hint="default" w:ascii="Times New Roman" w:hAnsi="Times New Roman"/>
          <w:sz w:val="24"/>
          <w:szCs w:val="24"/>
          <w:vertAlign w:val="subscript"/>
          <w:lang w:val="en-US" w:eastAsia="zh-CN"/>
        </w:rPr>
        <w:t>2</w:t>
      </w:r>
      <w:r>
        <w:rPr>
          <w:rFonts w:hint="default" w:ascii="Times New Roman" w:hAnsi="Times New Roman"/>
          <w:sz w:val="24"/>
          <w:szCs w:val="24"/>
          <w:lang w:val="en-US" w:eastAsia="zh-CN"/>
        </w:rPr>
        <w:t>、NO</w:t>
      </w:r>
      <w:r>
        <w:rPr>
          <w:rFonts w:hint="default" w:ascii="Times New Roman" w:hAnsi="Times New Roman"/>
          <w:sz w:val="24"/>
          <w:szCs w:val="24"/>
          <w:vertAlign w:val="subscript"/>
          <w:lang w:val="en-US" w:eastAsia="zh-CN"/>
        </w:rPr>
        <w:t>2</w:t>
      </w:r>
      <w:r>
        <w:rPr>
          <w:rFonts w:hint="default" w:ascii="Times New Roman" w:hAnsi="Times New Roman"/>
          <w:sz w:val="24"/>
          <w:szCs w:val="24"/>
          <w:lang w:val="en-US" w:eastAsia="zh-CN"/>
        </w:rPr>
        <w:t>、COD</w:t>
      </w:r>
      <w:r>
        <w:rPr>
          <w:rFonts w:hint="default" w:ascii="Times New Roman" w:hAnsi="Times New Roman"/>
          <w:sz w:val="24"/>
          <w:szCs w:val="24"/>
          <w:vertAlign w:val="subscript"/>
          <w:lang w:val="en-US" w:eastAsia="zh-CN"/>
        </w:rPr>
        <w:t>Cr</w:t>
      </w:r>
      <w:r>
        <w:rPr>
          <w:rFonts w:hint="default" w:ascii="Times New Roman" w:hAnsi="Times New Roman"/>
          <w:sz w:val="24"/>
          <w:szCs w:val="24"/>
          <w:lang w:val="en-US" w:eastAsia="zh-CN"/>
        </w:rPr>
        <w:t>和NH</w:t>
      </w:r>
      <w:r>
        <w:rPr>
          <w:rFonts w:hint="default" w:ascii="Times New Roman" w:hAnsi="Times New Roman"/>
          <w:sz w:val="24"/>
          <w:szCs w:val="24"/>
          <w:vertAlign w:val="subscript"/>
          <w:lang w:val="en-US" w:eastAsia="zh-CN"/>
        </w:rPr>
        <w:t>3</w:t>
      </w:r>
      <w:r>
        <w:rPr>
          <w:rFonts w:hint="default" w:ascii="Times New Roman" w:hAnsi="Times New Roman"/>
          <w:sz w:val="24"/>
          <w:szCs w:val="24"/>
          <w:lang w:val="en-US" w:eastAsia="zh-CN"/>
        </w:rPr>
        <w:t>-N。</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根据该建设项目的排污特点，综合考虑厂址周围环境质量现状以及</w:t>
      </w:r>
      <w:r>
        <w:rPr>
          <w:rFonts w:hint="eastAsia" w:ascii="Times New Roman" w:hAnsi="Times New Roman"/>
          <w:sz w:val="24"/>
          <w:szCs w:val="24"/>
          <w:lang w:val="en-US" w:eastAsia="zh-CN"/>
        </w:rPr>
        <w:t>淄博</w:t>
      </w:r>
      <w:r>
        <w:rPr>
          <w:rFonts w:hint="default" w:ascii="Times New Roman" w:hAnsi="Times New Roman"/>
          <w:sz w:val="24"/>
          <w:szCs w:val="24"/>
          <w:lang w:val="en-US" w:eastAsia="zh-CN"/>
        </w:rPr>
        <w:t>市生态环境局的要求，确定本次评价总量控制对象为：该项目污染源颗粒物</w:t>
      </w:r>
      <w:r>
        <w:rPr>
          <w:rFonts w:hint="eastAsia" w:ascii="Times New Roman" w:hAnsi="Times New Roman"/>
          <w:sz w:val="24"/>
          <w:szCs w:val="24"/>
          <w:lang w:val="en-US" w:eastAsia="zh-CN"/>
        </w:rPr>
        <w:t>、</w:t>
      </w:r>
      <w:r>
        <w:rPr>
          <w:rFonts w:hint="default" w:ascii="Times New Roman" w:hAnsi="Times New Roman"/>
          <w:sz w:val="24"/>
          <w:szCs w:val="24"/>
          <w:lang w:val="en-US" w:eastAsia="zh-CN"/>
        </w:rPr>
        <w:t>SO</w:t>
      </w:r>
      <w:r>
        <w:rPr>
          <w:rFonts w:hint="default" w:ascii="Times New Roman" w:hAnsi="Times New Roman"/>
          <w:sz w:val="24"/>
          <w:szCs w:val="24"/>
          <w:vertAlign w:val="subscript"/>
          <w:lang w:val="en-US" w:eastAsia="zh-CN"/>
        </w:rPr>
        <w:t>2</w:t>
      </w:r>
      <w:r>
        <w:rPr>
          <w:rFonts w:hint="default" w:ascii="Times New Roman" w:hAnsi="Times New Roman"/>
          <w:sz w:val="24"/>
          <w:szCs w:val="24"/>
          <w:lang w:val="en-US" w:eastAsia="zh-CN"/>
        </w:rPr>
        <w:t>、NO</w:t>
      </w:r>
      <w:r>
        <w:rPr>
          <w:rFonts w:hint="default" w:ascii="Times New Roman" w:hAnsi="Times New Roman"/>
          <w:sz w:val="24"/>
          <w:szCs w:val="24"/>
          <w:vertAlign w:val="subscript"/>
          <w:lang w:val="en-US" w:eastAsia="zh-CN"/>
        </w:rPr>
        <w:t>2</w:t>
      </w:r>
      <w:r>
        <w:rPr>
          <w:rFonts w:hint="eastAsia" w:ascii="Times New Roman" w:hAnsi="Times New Roman"/>
          <w:sz w:val="24"/>
          <w:szCs w:val="24"/>
          <w:vertAlign w:val="baseline"/>
          <w:lang w:val="en-US" w:eastAsia="zh-CN"/>
        </w:rPr>
        <w:t>、VOCs</w:t>
      </w:r>
      <w:r>
        <w:rPr>
          <w:rFonts w:hint="default" w:ascii="Times New Roman" w:hAnsi="Times New Roman"/>
          <w:sz w:val="24"/>
          <w:szCs w:val="24"/>
          <w:lang w:val="en-US" w:eastAsia="zh-CN"/>
        </w:rPr>
        <w:t>。</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hint="eastAsia" w:ascii="Times New Roman" w:hAnsi="Times New Roman"/>
          <w:b/>
          <w:bCs/>
          <w:color w:val="auto"/>
          <w:sz w:val="30"/>
          <w:szCs w:val="30"/>
        </w:rPr>
      </w:pPr>
      <w:bookmarkStart w:id="100" w:name="_Toc22923"/>
      <w:bookmarkStart w:id="101" w:name="_Toc18410"/>
      <w:bookmarkStart w:id="102" w:name="_Toc21026"/>
      <w:r>
        <w:rPr>
          <w:rFonts w:hint="eastAsia" w:ascii="Times New Roman" w:hAnsi="Times New Roman"/>
          <w:b/>
          <w:bCs/>
          <w:color w:val="auto"/>
          <w:sz w:val="30"/>
          <w:szCs w:val="30"/>
          <w:lang w:val="en-US" w:eastAsia="zh-CN"/>
        </w:rPr>
        <w:t>10.4</w:t>
      </w:r>
      <w:r>
        <w:rPr>
          <w:rFonts w:hint="eastAsia" w:ascii="Times New Roman" w:hAnsi="Times New Roman"/>
          <w:b/>
          <w:bCs/>
          <w:color w:val="auto"/>
          <w:sz w:val="30"/>
          <w:szCs w:val="30"/>
        </w:rPr>
        <w:t>项目污染物排放总量控制分析</w:t>
      </w:r>
      <w:bookmarkEnd w:id="100"/>
      <w:bookmarkEnd w:id="101"/>
      <w:bookmarkEnd w:id="102"/>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b/>
          <w:bCs/>
          <w:sz w:val="28"/>
          <w:szCs w:val="28"/>
          <w:lang w:val="en-US" w:eastAsia="zh-CN"/>
        </w:rPr>
      </w:pPr>
      <w:r>
        <w:rPr>
          <w:rFonts w:hint="eastAsia" w:ascii="Times New Roman" w:hAnsi="Times New Roman"/>
          <w:b/>
          <w:bCs/>
          <w:sz w:val="28"/>
          <w:szCs w:val="28"/>
          <w:lang w:val="en-US" w:eastAsia="zh-CN"/>
        </w:rPr>
        <w:t>10.4.1项目污染物排放情况</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cs="Times New Roman"/>
          <w:sz w:val="24"/>
          <w:szCs w:val="24"/>
          <w:lang w:val="en-US" w:eastAsia="zh-CN"/>
        </w:rPr>
        <w:t>1</w:t>
      </w:r>
      <w:r>
        <w:rPr>
          <w:rFonts w:hint="eastAsia" w:ascii="Times New Roman" w:hAnsi="Times New Roman"/>
          <w:sz w:val="24"/>
          <w:szCs w:val="24"/>
          <w:lang w:val="en-US" w:eastAsia="zh-CN"/>
        </w:rPr>
        <w:t>、废气污染物</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sz w:val="24"/>
          <w:szCs w:val="24"/>
          <w:highlight w:val="yellow"/>
          <w:lang w:val="en-US" w:eastAsia="zh-CN"/>
        </w:rPr>
      </w:pPr>
      <w:r>
        <w:rPr>
          <w:rFonts w:hint="default" w:ascii="Times New Roman" w:hAnsi="Times New Roman"/>
          <w:sz w:val="24"/>
          <w:szCs w:val="24"/>
          <w:lang w:val="en-US" w:eastAsia="zh-CN"/>
        </w:rPr>
        <w:t>项目</w:t>
      </w:r>
      <w:r>
        <w:rPr>
          <w:rFonts w:hint="default" w:ascii="Times New Roman" w:hAnsi="Times New Roman"/>
          <w:sz w:val="24"/>
          <w:szCs w:val="24"/>
          <w:highlight w:val="none"/>
          <w:lang w:val="en-US" w:eastAsia="zh-CN"/>
        </w:rPr>
        <w:t>运营</w:t>
      </w:r>
      <w:r>
        <w:rPr>
          <w:rFonts w:hint="eastAsia" w:ascii="Times New Roman" w:hAnsi="Times New Roman"/>
          <w:sz w:val="24"/>
          <w:szCs w:val="24"/>
          <w:highlight w:val="none"/>
          <w:lang w:val="en-US" w:eastAsia="zh-CN"/>
        </w:rPr>
        <w:t>期</w:t>
      </w:r>
      <w:r>
        <w:rPr>
          <w:rFonts w:hint="default" w:ascii="Times New Roman" w:hAnsi="Times New Roman"/>
          <w:sz w:val="24"/>
          <w:szCs w:val="24"/>
          <w:highlight w:val="none"/>
          <w:lang w:val="en-US" w:eastAsia="zh-CN"/>
        </w:rPr>
        <w:t>，</w:t>
      </w:r>
      <w:r>
        <w:rPr>
          <w:rFonts w:hint="eastAsia" w:ascii="Times New Roman" w:hAnsi="Times New Roman"/>
          <w:sz w:val="24"/>
          <w:szCs w:val="24"/>
          <w:highlight w:val="none"/>
          <w:lang w:val="en-US" w:eastAsia="zh-CN"/>
        </w:rPr>
        <w:t>有</w:t>
      </w:r>
      <w:r>
        <w:rPr>
          <w:rFonts w:hint="default" w:ascii="Times New Roman" w:hAnsi="Times New Roman"/>
          <w:sz w:val="24"/>
          <w:szCs w:val="24"/>
          <w:highlight w:val="none"/>
          <w:lang w:val="en-US" w:eastAsia="zh-CN"/>
        </w:rPr>
        <w:t>SO</w:t>
      </w:r>
      <w:r>
        <w:rPr>
          <w:rFonts w:hint="default" w:ascii="Times New Roman" w:hAnsi="Times New Roman"/>
          <w:sz w:val="24"/>
          <w:szCs w:val="24"/>
          <w:highlight w:val="none"/>
          <w:vertAlign w:val="subscript"/>
          <w:lang w:val="en-US" w:eastAsia="zh-CN"/>
        </w:rPr>
        <w:t>2</w:t>
      </w:r>
      <w:r>
        <w:rPr>
          <w:rFonts w:hint="default" w:ascii="Times New Roman" w:hAnsi="Times New Roman"/>
          <w:sz w:val="24"/>
          <w:szCs w:val="24"/>
          <w:highlight w:val="none"/>
          <w:lang w:val="en-US" w:eastAsia="zh-CN"/>
        </w:rPr>
        <w:t>、NO</w:t>
      </w:r>
      <w:r>
        <w:rPr>
          <w:rFonts w:hint="default" w:ascii="Times New Roman" w:hAnsi="Times New Roman"/>
          <w:sz w:val="24"/>
          <w:szCs w:val="24"/>
          <w:highlight w:val="none"/>
          <w:vertAlign w:val="subscript"/>
          <w:lang w:val="en-US" w:eastAsia="zh-CN"/>
        </w:rPr>
        <w:t>X</w:t>
      </w:r>
      <w:r>
        <w:rPr>
          <w:rFonts w:hint="eastAsia" w:ascii="Times New Roman" w:hAnsi="Times New Roman"/>
          <w:sz w:val="24"/>
          <w:szCs w:val="24"/>
          <w:highlight w:val="none"/>
          <w:vertAlign w:val="baseline"/>
          <w:lang w:val="en-US" w:eastAsia="zh-CN"/>
        </w:rPr>
        <w:t>、颗粒物和VOCs</w:t>
      </w:r>
      <w:r>
        <w:rPr>
          <w:rFonts w:hint="default" w:ascii="Times New Roman" w:hAnsi="Times New Roman"/>
          <w:sz w:val="24"/>
          <w:szCs w:val="24"/>
          <w:highlight w:val="none"/>
          <w:lang w:val="en-US" w:eastAsia="zh-CN"/>
        </w:rPr>
        <w:t>产生。</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highlight w:val="none"/>
          <w:lang w:val="en-US" w:eastAsia="zh-CN"/>
        </w:rPr>
        <w:t>项目</w:t>
      </w:r>
      <w:r>
        <w:rPr>
          <w:rFonts w:hint="eastAsia" w:ascii="Times New Roman" w:hAnsi="Times New Roman"/>
          <w:sz w:val="24"/>
          <w:szCs w:val="24"/>
          <w:highlight w:val="none"/>
          <w:lang w:val="en-US" w:eastAsia="zh-CN"/>
        </w:rPr>
        <w:t>SO</w:t>
      </w:r>
      <w:r>
        <w:rPr>
          <w:rFonts w:hint="eastAsia" w:ascii="Times New Roman" w:hAnsi="Times New Roman"/>
          <w:sz w:val="24"/>
          <w:szCs w:val="24"/>
          <w:highlight w:val="none"/>
          <w:vertAlign w:val="subscript"/>
          <w:lang w:val="en-US" w:eastAsia="zh-CN"/>
        </w:rPr>
        <w:t>2</w:t>
      </w:r>
      <w:r>
        <w:rPr>
          <w:rFonts w:hint="eastAsia" w:ascii="Times New Roman" w:hAnsi="Times New Roman"/>
          <w:sz w:val="24"/>
          <w:szCs w:val="24"/>
          <w:highlight w:val="none"/>
          <w:lang w:val="en-US" w:eastAsia="zh-CN"/>
        </w:rPr>
        <w:t>、NO</w:t>
      </w:r>
      <w:r>
        <w:rPr>
          <w:rFonts w:hint="eastAsia" w:ascii="Times New Roman" w:hAnsi="Times New Roman"/>
          <w:sz w:val="24"/>
          <w:szCs w:val="24"/>
          <w:highlight w:val="none"/>
          <w:vertAlign w:val="subscript"/>
          <w:lang w:val="en-US" w:eastAsia="zh-CN"/>
        </w:rPr>
        <w:t>X</w:t>
      </w:r>
      <w:r>
        <w:rPr>
          <w:rFonts w:hint="eastAsia" w:ascii="Times New Roman" w:hAnsi="Times New Roman"/>
          <w:sz w:val="24"/>
          <w:szCs w:val="24"/>
          <w:highlight w:val="none"/>
          <w:lang w:val="en-US" w:eastAsia="zh-CN"/>
        </w:rPr>
        <w:t>、颗粒物和VOCs排放总量分别为4.703</w:t>
      </w:r>
      <w:r>
        <w:rPr>
          <w:rFonts w:hint="default" w:ascii="Times New Roman" w:hAnsi="Times New Roman"/>
          <w:sz w:val="24"/>
          <w:szCs w:val="24"/>
          <w:highlight w:val="none"/>
          <w:lang w:val="en-US" w:eastAsia="zh-CN"/>
        </w:rPr>
        <w:t>t/a</w:t>
      </w:r>
      <w:r>
        <w:rPr>
          <w:rFonts w:hint="eastAsia" w:ascii="Times New Roman" w:hAnsi="Times New Roman"/>
          <w:sz w:val="24"/>
          <w:szCs w:val="24"/>
          <w:highlight w:val="none"/>
          <w:lang w:val="en-US" w:eastAsia="zh-CN"/>
        </w:rPr>
        <w:t>、24.361</w:t>
      </w:r>
      <w:r>
        <w:rPr>
          <w:rFonts w:hint="default" w:ascii="Times New Roman" w:hAnsi="Times New Roman"/>
          <w:sz w:val="24"/>
          <w:szCs w:val="24"/>
          <w:highlight w:val="none"/>
          <w:lang w:val="en-US" w:eastAsia="zh-CN"/>
        </w:rPr>
        <w:t>t/a</w:t>
      </w:r>
      <w:r>
        <w:rPr>
          <w:rFonts w:hint="eastAsia" w:ascii="Times New Roman" w:hAnsi="Times New Roman"/>
          <w:sz w:val="24"/>
          <w:szCs w:val="24"/>
          <w:highlight w:val="none"/>
          <w:lang w:val="en-US" w:eastAsia="zh-CN"/>
        </w:rPr>
        <w:t>、4.558</w:t>
      </w:r>
      <w:r>
        <w:rPr>
          <w:rFonts w:hint="default" w:ascii="Times New Roman" w:hAnsi="Times New Roman"/>
          <w:sz w:val="24"/>
          <w:szCs w:val="24"/>
          <w:highlight w:val="none"/>
          <w:lang w:val="en-US" w:eastAsia="zh-CN"/>
        </w:rPr>
        <w:t>t/a</w:t>
      </w:r>
      <w:r>
        <w:rPr>
          <w:rFonts w:hint="eastAsia" w:ascii="Times New Roman" w:hAnsi="Times New Roman"/>
          <w:sz w:val="24"/>
          <w:szCs w:val="24"/>
          <w:highlight w:val="none"/>
          <w:lang w:val="en-US" w:eastAsia="zh-CN"/>
        </w:rPr>
        <w:t>、0.034</w:t>
      </w:r>
      <w:r>
        <w:rPr>
          <w:rFonts w:hint="default" w:ascii="Times New Roman" w:hAnsi="Times New Roman"/>
          <w:sz w:val="24"/>
          <w:szCs w:val="24"/>
          <w:highlight w:val="none"/>
          <w:lang w:val="en-US" w:eastAsia="zh-CN"/>
        </w:rPr>
        <w:t>t/a</w:t>
      </w:r>
      <w:r>
        <w:rPr>
          <w:rFonts w:hint="eastAsia" w:ascii="Times New Roman" w:hAnsi="Times New Roman"/>
          <w:sz w:val="24"/>
          <w:szCs w:val="24"/>
          <w:highlight w:val="none"/>
          <w:lang w:val="en-US" w:eastAsia="zh-CN"/>
        </w:rPr>
        <w:t>。</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highlight w:val="none"/>
          <w:lang w:val="en-US" w:eastAsia="zh-CN"/>
        </w:rPr>
      </w:pPr>
      <w:r>
        <w:rPr>
          <w:rFonts w:hint="eastAsia" w:ascii="Times New Roman" w:hAnsi="Times New Roman" w:cs="Times New Roman"/>
          <w:sz w:val="24"/>
          <w:szCs w:val="24"/>
          <w:highlight w:val="none"/>
          <w:lang w:val="en-US" w:eastAsia="zh-CN"/>
        </w:rPr>
        <w:t>2</w:t>
      </w:r>
      <w:r>
        <w:rPr>
          <w:rFonts w:hint="eastAsia" w:ascii="Times New Roman" w:hAnsi="Times New Roman"/>
          <w:sz w:val="24"/>
          <w:szCs w:val="24"/>
          <w:highlight w:val="none"/>
          <w:lang w:val="en-US" w:eastAsia="zh-CN"/>
        </w:rPr>
        <w:t>、废水污染物</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本项目化机浆车间生产废水和RTO碱喷淋废水经过MVR系统和碱回收系统处理后全部回用，不排放；本项目不新增生活废水的产生，无新增生活废水排放。</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sectPr>
          <w:headerReference r:id="rId86" w:type="default"/>
          <w:footerReference r:id="rId8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7"/>
        <w:bidi w:val="0"/>
        <w:jc w:val="center"/>
        <w:rPr>
          <w:rFonts w:hint="default"/>
          <w:lang w:val="en-US" w:eastAsia="zh-CN"/>
        </w:rPr>
      </w:pPr>
      <w:bookmarkStart w:id="103" w:name="_Toc7163"/>
      <w:bookmarkStart w:id="104" w:name="_Toc21020"/>
      <w:r>
        <w:rPr>
          <w:rFonts w:hint="eastAsia" w:ascii="Times New Roman" w:hAnsi="Times New Roman" w:cs="Times New Roman"/>
          <w:lang w:val="en-US" w:eastAsia="zh-CN"/>
        </w:rPr>
        <w:t xml:space="preserve">12 </w:t>
      </w:r>
      <w:r>
        <w:rPr>
          <w:rFonts w:hint="eastAsia"/>
          <w:lang w:val="en-US" w:eastAsia="zh-CN"/>
        </w:rPr>
        <w:t>环境影响评价结论及建议</w:t>
      </w:r>
      <w:bookmarkEnd w:id="103"/>
      <w:bookmarkEnd w:id="104"/>
    </w:p>
    <w:p>
      <w:pPr>
        <w:rPr>
          <w:rFonts w:hint="default"/>
          <w:lang w:val="en-US" w:eastAsia="zh-CN"/>
        </w:rPr>
      </w:pP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hint="default" w:ascii="Times New Roman" w:hAnsi="Times New Roman"/>
          <w:lang w:val="en-US" w:eastAsia="zh-CN"/>
        </w:rPr>
      </w:pPr>
      <w:bookmarkStart w:id="105" w:name="_Toc5012"/>
      <w:bookmarkStart w:id="106" w:name="_Toc23063"/>
      <w:bookmarkStart w:id="107" w:name="_Toc1009"/>
      <w:r>
        <w:rPr>
          <w:rFonts w:hint="eastAsia" w:ascii="Times New Roman" w:hAnsi="Times New Roman"/>
          <w:b/>
          <w:bCs/>
          <w:color w:val="auto"/>
          <w:sz w:val="30"/>
          <w:szCs w:val="30"/>
          <w:lang w:val="en-US" w:eastAsia="zh-CN"/>
        </w:rPr>
        <w:t>12.1</w:t>
      </w:r>
      <w:r>
        <w:rPr>
          <w:rFonts w:hint="eastAsia" w:ascii="Times New Roman" w:hAnsi="Times New Roman"/>
          <w:b/>
          <w:bCs/>
          <w:color w:val="auto"/>
          <w:sz w:val="30"/>
          <w:szCs w:val="30"/>
        </w:rPr>
        <w:t>评价结论</w:t>
      </w:r>
      <w:bookmarkEnd w:id="105"/>
      <w:bookmarkEnd w:id="106"/>
      <w:bookmarkEnd w:id="107"/>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lang w:val="en-US" w:eastAsia="zh-CN"/>
        </w:rPr>
      </w:pPr>
      <w:r>
        <w:rPr>
          <w:rFonts w:hint="eastAsia" w:ascii="Times New Roman" w:hAnsi="Times New Roman"/>
          <w:b/>
          <w:bCs/>
          <w:sz w:val="28"/>
          <w:szCs w:val="28"/>
          <w:lang w:val="en-US" w:eastAsia="zh-CN"/>
        </w:rPr>
        <w:t>12.1.1工程基本情况概述</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b/>
          <w:bCs/>
          <w:sz w:val="24"/>
          <w:szCs w:val="24"/>
          <w:lang w:val="en-US" w:eastAsia="zh-CN"/>
        </w:rPr>
        <w:t>项目概况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bidi="ar"/>
        </w:rPr>
      </w:pPr>
      <w:r>
        <w:rPr>
          <w:rFonts w:hint="default" w:ascii="Times New Roman" w:hAnsi="Times New Roman" w:cs="Times New Roman"/>
          <w:color w:val="auto"/>
          <w:sz w:val="24"/>
          <w:szCs w:val="24"/>
          <w:highlight w:val="none"/>
          <w:lang w:bidi="ar"/>
        </w:rPr>
        <w:t>项目名称：</w:t>
      </w:r>
      <w:r>
        <w:rPr>
          <w:rFonts w:hint="eastAsia" w:ascii="Times New Roman" w:hAnsi="Times New Roman" w:eastAsia="宋体" w:cs="Times New Roman"/>
          <w:color w:val="auto"/>
          <w:sz w:val="24"/>
          <w:szCs w:val="24"/>
          <w:highlight w:val="none"/>
          <w:lang w:val="en-US" w:eastAsia="zh-CN"/>
        </w:rPr>
        <w:t>年产20万吨化机浆项目（2#）</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bidi="ar"/>
        </w:rPr>
        <w:t>建设性质：新建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bidi="ar"/>
        </w:rPr>
        <w:t>建设地点：</w:t>
      </w:r>
      <w:r>
        <w:rPr>
          <w:rFonts w:hint="default" w:ascii="Times New Roman" w:hAnsi="Times New Roman" w:eastAsia="宋体" w:cs="Times New Roman"/>
          <w:color w:val="auto"/>
          <w:sz w:val="24"/>
          <w:szCs w:val="24"/>
          <w:highlight w:val="none"/>
        </w:rPr>
        <w:t>淄博市桓台县马桥化工产业园山东博汇纸业股份有限公司厂区内</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bidi="ar"/>
        </w:rPr>
        <w:t>建设单位：</w:t>
      </w:r>
      <w:r>
        <w:rPr>
          <w:rFonts w:hint="default" w:ascii="Times New Roman" w:hAnsi="Times New Roman" w:eastAsia="宋体" w:cs="Times New Roman"/>
          <w:color w:val="auto"/>
          <w:sz w:val="24"/>
          <w:szCs w:val="24"/>
          <w:highlight w:val="none"/>
        </w:rPr>
        <w:t>山东博汇纸业股份有限公司</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bidi="ar"/>
        </w:rPr>
        <w:t>生产规模：</w:t>
      </w:r>
      <w:r>
        <w:rPr>
          <w:rFonts w:hint="default" w:ascii="Times New Roman" w:hAnsi="Times New Roman" w:cs="Times New Roman"/>
          <w:color w:val="auto"/>
          <w:sz w:val="24"/>
          <w:szCs w:val="24"/>
          <w:highlight w:val="none"/>
          <w:lang w:eastAsia="zh-CN" w:bidi="ar"/>
        </w:rPr>
        <w:t>年产</w:t>
      </w:r>
      <w:r>
        <w:rPr>
          <w:rFonts w:hint="eastAsia" w:ascii="Times New Roman" w:hAnsi="Times New Roman" w:cs="Times New Roman"/>
          <w:color w:val="auto"/>
          <w:sz w:val="24"/>
          <w:szCs w:val="24"/>
          <w:highlight w:val="none"/>
          <w:lang w:val="en-US" w:eastAsia="zh-CN"/>
        </w:rPr>
        <w:t>20万吨化机浆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highlight w:val="none"/>
          <w:lang w:bidi="ar"/>
        </w:rPr>
      </w:pPr>
      <w:r>
        <w:rPr>
          <w:rFonts w:hint="default" w:ascii="Times New Roman" w:hAnsi="Times New Roman" w:cs="Times New Roman"/>
          <w:color w:val="auto"/>
          <w:sz w:val="24"/>
          <w:szCs w:val="24"/>
          <w:highlight w:val="none"/>
          <w:lang w:bidi="ar"/>
        </w:rPr>
        <w:t>项目投资：总投资</w:t>
      </w:r>
      <w:r>
        <w:rPr>
          <w:rFonts w:hint="eastAsia" w:ascii="Times New Roman" w:hAnsi="Times New Roman" w:cs="Times New Roman"/>
          <w:color w:val="auto"/>
          <w:sz w:val="24"/>
          <w:szCs w:val="24"/>
          <w:highlight w:val="none"/>
          <w:lang w:val="en-US" w:eastAsia="zh-CN" w:bidi="ar"/>
        </w:rPr>
        <w:t>12033</w:t>
      </w:r>
      <w:r>
        <w:rPr>
          <w:rFonts w:hint="default" w:ascii="Times New Roman" w:hAnsi="Times New Roman" w:cs="Times New Roman"/>
          <w:color w:val="auto"/>
          <w:sz w:val="24"/>
          <w:szCs w:val="24"/>
          <w:highlight w:val="none"/>
          <w:lang w:bidi="ar"/>
        </w:rPr>
        <w:t>万元</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bidi="ar"/>
        </w:rPr>
        <w:t>占地面积：</w:t>
      </w:r>
      <w:r>
        <w:rPr>
          <w:rFonts w:hint="eastAsia" w:ascii="Times New Roman" w:hAnsi="Times New Roman" w:cs="Times New Roman"/>
          <w:color w:val="auto"/>
          <w:sz w:val="24"/>
          <w:szCs w:val="24"/>
          <w:highlight w:val="none"/>
          <w:lang w:val="en-US" w:eastAsia="zh-CN" w:bidi="ar"/>
        </w:rPr>
        <w:t>45600</w:t>
      </w:r>
      <w:r>
        <w:rPr>
          <w:rFonts w:hint="default" w:ascii="Times New Roman" w:hAnsi="Times New Roman" w:cs="Times New Roman"/>
          <w:color w:val="auto"/>
          <w:sz w:val="24"/>
          <w:szCs w:val="24"/>
          <w:highlight w:val="none"/>
          <w:lang w:eastAsia="zh-CN" w:bidi="ar"/>
        </w:rPr>
        <w:t>m</w:t>
      </w:r>
      <w:r>
        <w:rPr>
          <w:rFonts w:hint="default" w:ascii="Times New Roman" w:hAnsi="Times New Roman" w:cs="Times New Roman"/>
          <w:color w:val="auto"/>
          <w:sz w:val="24"/>
          <w:szCs w:val="24"/>
          <w:highlight w:val="none"/>
          <w:vertAlign w:val="superscript"/>
          <w:lang w:eastAsia="zh-CN" w:bidi="ar"/>
        </w:rPr>
        <w:t>2</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bidi="ar"/>
        </w:rPr>
        <w:t>建设周期：项目</w:t>
      </w:r>
      <w:r>
        <w:rPr>
          <w:rFonts w:hint="default" w:ascii="Times New Roman" w:hAnsi="Times New Roman" w:cs="Times New Roman"/>
          <w:color w:val="auto"/>
          <w:sz w:val="24"/>
          <w:szCs w:val="24"/>
          <w:highlight w:val="none"/>
          <w:lang w:eastAsia="zh-CN" w:bidi="ar"/>
        </w:rPr>
        <w:t>为未批先建项目，建设于</w:t>
      </w:r>
      <w:r>
        <w:rPr>
          <w:rFonts w:hint="eastAsia" w:ascii="Times New Roman" w:hAnsi="Times New Roman" w:cs="Times New Roman"/>
          <w:color w:val="auto"/>
          <w:sz w:val="24"/>
          <w:szCs w:val="24"/>
          <w:highlight w:val="none"/>
          <w:lang w:val="en-US" w:eastAsia="zh-CN" w:bidi="ar"/>
        </w:rPr>
        <w:t>2009</w:t>
      </w:r>
      <w:r>
        <w:rPr>
          <w:rFonts w:hint="default" w:ascii="Times New Roman" w:hAnsi="Times New Roman" w:cs="Times New Roman"/>
          <w:color w:val="auto"/>
          <w:sz w:val="24"/>
          <w:szCs w:val="24"/>
          <w:highlight w:val="none"/>
          <w:lang w:val="en-US" w:eastAsia="zh-CN" w:bidi="ar"/>
        </w:rPr>
        <w:t>年，于20</w:t>
      </w:r>
      <w:r>
        <w:rPr>
          <w:rFonts w:hint="eastAsia" w:ascii="Times New Roman" w:hAnsi="Times New Roman" w:cs="Times New Roman"/>
          <w:color w:val="auto"/>
          <w:sz w:val="24"/>
          <w:szCs w:val="24"/>
          <w:highlight w:val="none"/>
          <w:lang w:val="en-US" w:eastAsia="zh-CN" w:bidi="ar"/>
        </w:rPr>
        <w:t>10</w:t>
      </w:r>
      <w:r>
        <w:rPr>
          <w:rFonts w:hint="default" w:ascii="Times New Roman" w:hAnsi="Times New Roman" w:cs="Times New Roman"/>
          <w:color w:val="auto"/>
          <w:sz w:val="24"/>
          <w:szCs w:val="24"/>
          <w:highlight w:val="none"/>
          <w:lang w:val="en-US" w:eastAsia="zh-CN" w:bidi="ar"/>
        </w:rPr>
        <w:t>年</w:t>
      </w:r>
      <w:r>
        <w:rPr>
          <w:rFonts w:hint="default" w:ascii="Times New Roman" w:hAnsi="Times New Roman" w:eastAsia="宋体" w:cs="Times New Roman"/>
          <w:color w:val="auto"/>
          <w:sz w:val="24"/>
          <w:szCs w:val="24"/>
          <w:highlight w:val="none"/>
        </w:rPr>
        <w:t>建成投</w:t>
      </w:r>
      <w:r>
        <w:rPr>
          <w:rFonts w:hint="default" w:ascii="Times New Roman" w:hAnsi="Times New Roman" w:cs="Times New Roman"/>
          <w:color w:val="auto"/>
          <w:sz w:val="24"/>
          <w:szCs w:val="24"/>
          <w:highlight w:val="none"/>
          <w:lang w:eastAsia="zh-CN"/>
        </w:rPr>
        <w:t>产</w:t>
      </w:r>
      <w:r>
        <w:rPr>
          <w:rFonts w:hint="default" w:ascii="Times New Roman" w:hAnsi="Times New Roman" w:cs="Times New Roman"/>
          <w:color w:val="auto"/>
          <w:sz w:val="24"/>
          <w:szCs w:val="24"/>
          <w:highlight w:val="none"/>
          <w:lang w:bidi="ar"/>
        </w:rPr>
        <w:t>。</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工作制度：劳动定员</w:t>
      </w:r>
      <w:r>
        <w:rPr>
          <w:rFonts w:hint="eastAsia" w:ascii="Times New Roman" w:hAnsi="Times New Roman" w:cs="Times New Roman"/>
          <w:color w:val="auto"/>
          <w:sz w:val="24"/>
          <w:szCs w:val="24"/>
          <w:highlight w:val="none"/>
          <w:lang w:val="en-US" w:eastAsia="zh-CN"/>
        </w:rPr>
        <w:t>70</w:t>
      </w:r>
      <w:r>
        <w:rPr>
          <w:rFonts w:hint="default" w:ascii="Times New Roman" w:hAnsi="Times New Roman" w:cs="Times New Roman"/>
          <w:color w:val="auto"/>
          <w:sz w:val="24"/>
          <w:szCs w:val="24"/>
          <w:highlight w:val="none"/>
          <w:lang w:val="en-US" w:eastAsia="zh-CN"/>
        </w:rPr>
        <w:t>人，年工作时间</w:t>
      </w:r>
      <w:r>
        <w:rPr>
          <w:rFonts w:hint="eastAsia" w:ascii="Times New Roman" w:hAnsi="Times New Roman" w:cs="Times New Roman"/>
          <w:color w:val="auto"/>
          <w:sz w:val="24"/>
          <w:szCs w:val="24"/>
          <w:highlight w:val="none"/>
          <w:lang w:val="en-US" w:eastAsia="zh-CN"/>
        </w:rPr>
        <w:t>340</w:t>
      </w:r>
      <w:r>
        <w:rPr>
          <w:rFonts w:hint="default" w:ascii="Times New Roman" w:hAnsi="Times New Roman" w:cs="Times New Roman"/>
          <w:color w:val="auto"/>
          <w:sz w:val="24"/>
          <w:szCs w:val="24"/>
          <w:highlight w:val="none"/>
          <w:lang w:val="en-US" w:eastAsia="zh-CN"/>
        </w:rPr>
        <w:t>天，每天</w:t>
      </w:r>
      <w:r>
        <w:rPr>
          <w:rFonts w:hint="eastAsia" w:ascii="Times New Roman" w:hAnsi="Times New Roman" w:cs="Times New Roman"/>
          <w:color w:val="auto"/>
          <w:sz w:val="24"/>
          <w:szCs w:val="24"/>
          <w:highlight w:val="none"/>
          <w:lang w:val="en-US" w:eastAsia="zh-CN"/>
        </w:rPr>
        <w:t>三班，每班</w:t>
      </w:r>
      <w:r>
        <w:rPr>
          <w:rFonts w:hint="default" w:ascii="Times New Roman" w:hAnsi="Times New Roman" w:cs="Times New Roman"/>
          <w:color w:val="auto"/>
          <w:sz w:val="24"/>
          <w:szCs w:val="24"/>
          <w:highlight w:val="none"/>
          <w:lang w:val="en-US" w:eastAsia="zh-CN"/>
        </w:rPr>
        <w:t>8小时。</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ascii="Times New Roman" w:hAnsi="Times New Roman"/>
          <w:b/>
          <w:bCs/>
          <w:sz w:val="24"/>
          <w:szCs w:val="24"/>
          <w:lang w:val="en-US" w:eastAsia="zh-CN"/>
        </w:rPr>
        <w:t>产业政策符合性分析和规划的符合性分析</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经查询，该项目属于《产业结构调整指导目录(2019年本)》中“十九、轻工：1、单条化学木浆30万吨/年及以上、化学机械木浆10万吨/年及以上、化学竹浆10万吨/年及以上的林纸一体化生产线及相应配套的纸及纸板生产线（新闻纸、铜版纸除外）建设”，属于 “鼓励类”建设项目，符合国家产业政策要求。</w:t>
      </w:r>
    </w:p>
    <w:p>
      <w:pPr>
        <w:pStyle w:val="2"/>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本项目厂址位于于淄博市桓台县马桥化工产业园，行业类别为“C2211木竹浆制造”，根据《马桥化工产业园总体发展规划（2017-2035年）》、《桓台县城市总体规划（2008-2030年）》，本项目列入马桥化工产业园规划的准入行业清单，符合马桥化工产业园行业准入条件，建设厂址位用地性质为工业用地，用地性质符合桓台县城市总体规划及马桥工业园总体发展规划的要求。</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lang w:val="en-US" w:eastAsia="zh-CN"/>
        </w:rPr>
      </w:pPr>
      <w:r>
        <w:rPr>
          <w:rFonts w:hint="eastAsia" w:ascii="Times New Roman" w:hAnsi="Times New Roman"/>
          <w:b/>
          <w:bCs/>
          <w:sz w:val="28"/>
          <w:szCs w:val="28"/>
          <w:lang w:val="en-US" w:eastAsia="zh-CN"/>
        </w:rPr>
        <w:t>12.1.2污染物排放情况</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b/>
          <w:bCs/>
          <w:sz w:val="24"/>
          <w:szCs w:val="24"/>
          <w:lang w:val="en-US" w:eastAsia="zh-CN"/>
        </w:rPr>
        <w:t>废气</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有组织废气为颗粒物、二氧化硫、氮氧化物、非甲烷总烃、异丙醇、VOCs、臭气浓度。碱回收系统石灰破碎工段产生的废气经“布袋除尘器”处理后经15m排气筒</w:t>
      </w:r>
      <w:r>
        <w:rPr>
          <w:rFonts w:hint="eastAsia" w:ascii="Times New Roman" w:hAnsi="Times New Roman"/>
          <w:sz w:val="24"/>
          <w:szCs w:val="24"/>
          <w:lang w:val="en-US" w:eastAsia="zh-CN"/>
        </w:rPr>
        <w:t>DA020</w:t>
      </w:r>
      <w:r>
        <w:rPr>
          <w:rFonts w:hint="default" w:ascii="Times New Roman" w:hAnsi="Times New Roman"/>
          <w:sz w:val="24"/>
          <w:szCs w:val="24"/>
          <w:lang w:val="en-US" w:eastAsia="zh-CN"/>
        </w:rPr>
        <w:t>排放，排气筒外排颗粒物满足山东省《区域性大气污染物综合排放标准》（DB37/2376-2019）表1重点控制区排放限值要求；碱回收炉产生的废气经“SNCR脱硝+双列四电场除尘（除尘效率99%）+碱液一塔吸收（附带除尘效率50%）+塔顶除尘（除尘效率40%）处理工艺”处理后经80m排气筒</w:t>
      </w:r>
      <w:r>
        <w:rPr>
          <w:rFonts w:hint="eastAsia" w:ascii="Times New Roman" w:hAnsi="Times New Roman"/>
          <w:sz w:val="24"/>
          <w:szCs w:val="24"/>
          <w:lang w:val="en-US" w:eastAsia="zh-CN"/>
        </w:rPr>
        <w:t>DA006</w:t>
      </w:r>
      <w:r>
        <w:rPr>
          <w:rFonts w:hint="default" w:ascii="Times New Roman" w:hAnsi="Times New Roman"/>
          <w:sz w:val="24"/>
          <w:szCs w:val="24"/>
          <w:lang w:val="en-US" w:eastAsia="zh-CN"/>
        </w:rPr>
        <w:t>排放，排气筒外排颗粒物、二氧化硫、氮氧化物排放满足山东省《火电厂大气污染物排放标准》（DB37/664-2019）表2排放限值要求；RTO系统产生的废气经“碱液喷淋塔”处理后经20m排气筒</w:t>
      </w:r>
      <w:r>
        <w:rPr>
          <w:rFonts w:hint="eastAsia" w:ascii="Times New Roman" w:hAnsi="Times New Roman"/>
          <w:sz w:val="24"/>
          <w:szCs w:val="24"/>
          <w:lang w:val="en-US" w:eastAsia="zh-CN"/>
        </w:rPr>
        <w:t>DA019</w:t>
      </w:r>
      <w:r>
        <w:rPr>
          <w:rFonts w:hint="default" w:ascii="Times New Roman" w:hAnsi="Times New Roman"/>
          <w:sz w:val="24"/>
          <w:szCs w:val="24"/>
          <w:lang w:val="en-US" w:eastAsia="zh-CN"/>
        </w:rPr>
        <w:t>排放，排气筒外排颗粒物、二氧化硫、氮氧化物排放满足山东省《区域性大气污染物综合排放标准》（DB37/2376-2019）表1重点控制区排放限值要求，外排非甲烷总烃、异丙醇和VOCs满足《挥发性有机物排放标准 第7部分：其他行业》（DB37/ 2801.7—2019），外排臭气浓度满足《恶臭污染物排放标准》（GB14554-93）表1二级标准要求。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厂界</w:t>
      </w:r>
      <w:r>
        <w:rPr>
          <w:rFonts w:hint="eastAsia" w:ascii="Times New Roman" w:hAnsi="Times New Roman"/>
          <w:sz w:val="24"/>
          <w:szCs w:val="24"/>
          <w:lang w:val="en-US" w:eastAsia="zh-CN"/>
        </w:rPr>
        <w:t>无组织</w:t>
      </w:r>
      <w:r>
        <w:rPr>
          <w:rFonts w:hint="default" w:ascii="Times New Roman" w:hAnsi="Times New Roman"/>
          <w:sz w:val="24"/>
          <w:szCs w:val="24"/>
          <w:lang w:val="en-US" w:eastAsia="zh-CN"/>
        </w:rPr>
        <w:t>颗粒物排放满足《大气污染物综合排放标准》（GB16297-1996）表2厂界无组织排放监控浓度限值。</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ascii="Times New Roman" w:hAnsi="Times New Roman"/>
          <w:b/>
          <w:bCs/>
          <w:sz w:val="24"/>
          <w:szCs w:val="24"/>
          <w:lang w:val="en-US" w:eastAsia="zh-CN"/>
        </w:rPr>
        <w:t>废水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化机浆车间生产废水和RTO碱喷淋废水经过MVR系统和碱回收系统处理后全部回用，不排放；生活废水经化管网排入博汇纸业废水处理系统进行深度处理后，出水各污染物排放浓度满足《流域水污染物综合排放标准 第3部分：小清河流域》（DB37/3416.3-2018）以及《中共淄博市委 淄博市人民政府印发&lt;2021年高质量发展“十二大攻坚行动”实施方案&gt;的通知》（淄发[2021]5号）标准要求。</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eastAsia" w:ascii="Times New Roman" w:hAnsi="Times New Roman"/>
          <w:b/>
          <w:bCs/>
          <w:sz w:val="24"/>
          <w:szCs w:val="24"/>
          <w:lang w:val="en-US" w:eastAsia="zh-CN"/>
        </w:rPr>
        <w:t>固废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本项目产生的固体废物包括木屑、浆渣、石灰渣、碱回收系统石灰研磨布袋除尘器收集粉尘、RTO系统碱喷淋塔收集颗粒物、白泥；设备保养维护产生的废机油；生活垃圾等。</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备料车间木片筛选过程中产生的木屑送山东博汇纸业股份有限公司固体废物焚烧处置项目焚烧；化机浆车间产生的浆渣，收集后进一步风干后，送山东博汇纸业股份有限公司固体废物焚烧处置项目焚烧；碱回收系统苛化工段产生的石灰渣，外卖建材企业；碱回收系统配套石灰研磨工序的布袋除尘器收集的粉尘，外卖建材企业；RTO系统碱喷淋塔定期清理收集的颗粒物，收集后由环卫部门定期清理；碱回收系统产生白泥，送山东博汇纸业股份有限公司日产300吨石灰回收项目回收石灰；项目设备的日常维护、检修产生的废机油经收集后在厂区内按规定暂存，定期委托有资质单位处理；活垃圾由环卫部门定期排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本工程固废均能妥善处置。</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eastAsia" w:ascii="Times New Roman" w:hAnsi="Times New Roman"/>
          <w:b/>
          <w:bCs/>
          <w:sz w:val="24"/>
          <w:szCs w:val="24"/>
          <w:lang w:val="en-US" w:eastAsia="zh-CN"/>
        </w:rPr>
        <w:t>噪声</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本工程噪声设备主要为生产车间噪声，项目噪声源按产生机理可分为空气动力性噪声和机械噪声两大类。其中，脱水机、磨浆机等设备产生的为机械噪声，各类风机和水泵产生的为空气动力性噪声，其噪声级(单机)一般为80～100dB(A)，采取隔音、基础减振等措施。</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lang w:val="en-US" w:eastAsia="zh-CN"/>
        </w:rPr>
      </w:pPr>
      <w:r>
        <w:rPr>
          <w:rFonts w:hint="eastAsia" w:ascii="Times New Roman" w:hAnsi="Times New Roman"/>
          <w:b/>
          <w:bCs/>
          <w:sz w:val="28"/>
          <w:szCs w:val="28"/>
          <w:lang w:val="en-US" w:eastAsia="zh-CN"/>
        </w:rPr>
        <w:t>12.1.3环境质量现状</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b/>
          <w:bCs/>
          <w:sz w:val="24"/>
          <w:szCs w:val="24"/>
          <w:lang w:val="en-US" w:eastAsia="zh-CN"/>
        </w:rPr>
        <w:t>环境空气环境质量现状</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default" w:ascii="Times New Roman" w:hAnsi="Times New Roman"/>
          <w:sz w:val="24"/>
          <w:szCs w:val="24"/>
          <w:lang w:val="en-US" w:eastAsia="zh-CN"/>
        </w:rPr>
        <w:t>2020年</w:t>
      </w:r>
      <w:r>
        <w:rPr>
          <w:rFonts w:hint="eastAsia" w:ascii="Times New Roman" w:hAnsi="Times New Roman"/>
          <w:sz w:val="24"/>
          <w:szCs w:val="24"/>
          <w:lang w:val="en-US" w:eastAsia="zh-CN"/>
        </w:rPr>
        <w:t>淄博市</w:t>
      </w:r>
      <w:r>
        <w:rPr>
          <w:rFonts w:hint="default" w:ascii="Times New Roman" w:hAnsi="Times New Roman"/>
          <w:sz w:val="24"/>
          <w:szCs w:val="24"/>
          <w:lang w:val="en-US" w:eastAsia="zh-CN"/>
        </w:rPr>
        <w:t>环境空气中PM</w:t>
      </w:r>
      <w:r>
        <w:rPr>
          <w:rFonts w:hint="default" w:ascii="Times New Roman" w:hAnsi="Times New Roman"/>
          <w:sz w:val="24"/>
          <w:szCs w:val="24"/>
          <w:vertAlign w:val="subscript"/>
          <w:lang w:val="en-US" w:eastAsia="zh-CN"/>
        </w:rPr>
        <w:t>10</w:t>
      </w:r>
      <w:r>
        <w:rPr>
          <w:rFonts w:hint="default" w:ascii="Times New Roman" w:hAnsi="Times New Roman"/>
          <w:sz w:val="24"/>
          <w:szCs w:val="24"/>
          <w:lang w:val="en-US" w:eastAsia="zh-CN"/>
        </w:rPr>
        <w:t>、PM</w:t>
      </w:r>
      <w:r>
        <w:rPr>
          <w:rFonts w:hint="default" w:ascii="Times New Roman" w:hAnsi="Times New Roman"/>
          <w:sz w:val="24"/>
          <w:szCs w:val="24"/>
          <w:vertAlign w:val="subscript"/>
          <w:lang w:val="en-US" w:eastAsia="zh-CN"/>
        </w:rPr>
        <w:t>2.5</w:t>
      </w:r>
      <w:r>
        <w:rPr>
          <w:rFonts w:hint="default" w:ascii="Times New Roman" w:hAnsi="Times New Roman"/>
          <w:sz w:val="24"/>
          <w:szCs w:val="24"/>
          <w:lang w:val="en-US" w:eastAsia="zh-CN"/>
        </w:rPr>
        <w:t>均超过《环境空气质量标准》(GB3095-2012)二级标准要求，</w:t>
      </w:r>
      <w:r>
        <w:rPr>
          <w:rFonts w:hint="eastAsia" w:ascii="Times New Roman" w:hAnsi="Times New Roman"/>
          <w:sz w:val="24"/>
          <w:szCs w:val="24"/>
          <w:lang w:val="en-US" w:eastAsia="zh-CN"/>
        </w:rPr>
        <w:t>其余指标</w:t>
      </w:r>
      <w:r>
        <w:rPr>
          <w:rFonts w:hint="default" w:ascii="Times New Roman" w:hAnsi="Times New Roman"/>
          <w:sz w:val="24"/>
          <w:szCs w:val="24"/>
          <w:lang w:val="en-US" w:eastAsia="zh-CN"/>
        </w:rPr>
        <w:t>达标，因此项目所在区域属于不达标区。</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ascii="Times New Roman" w:hAnsi="Times New Roman"/>
          <w:b/>
          <w:bCs/>
          <w:sz w:val="24"/>
          <w:szCs w:val="24"/>
          <w:lang w:val="en-US" w:eastAsia="zh-CN"/>
        </w:rPr>
        <w:t>地表水环境质量现状</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建设项目附近的地表水为杏花河和小清河，根据收集《山东清河化工科技有限公司30万吨/年双氧水法环氧丙烷装置及配套90万吨/年双氧水装置项目环境影响报告书》中“地表水环境质量现状调查与评价”章节的监测数据和山东博汇纸业股份有限公司第三季度例行监测报告（山中检字（2020）第ZB774-1）中对地表水的相关检测数据可知，氨氮、总氮、全盐量、氟化物、氯化物、硫酸盐超标不能满足《地表水环境质量标准》（GB3838-2002） 中的V类标准要求。主要原因是附近村庄生活垃圾随意堆放、生活污水随意排放及化肥农药的过量使用。</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eastAsia" w:ascii="Times New Roman" w:hAnsi="Times New Roman"/>
          <w:b/>
          <w:bCs/>
          <w:sz w:val="24"/>
          <w:szCs w:val="24"/>
          <w:lang w:val="en-US" w:eastAsia="zh-CN"/>
        </w:rPr>
        <w:t>地下水环境质量现状</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sz w:val="24"/>
          <w:szCs w:val="24"/>
          <w:lang w:val="en-US" w:eastAsia="zh-CN"/>
        </w:rPr>
      </w:pPr>
      <w:r>
        <w:rPr>
          <w:rFonts w:hint="default"/>
          <w:sz w:val="24"/>
          <w:szCs w:val="24"/>
          <w:lang w:val="en-US" w:eastAsia="zh-CN"/>
        </w:rPr>
        <w:t>现状监测结果表明，厂</w:t>
      </w:r>
      <w:r>
        <w:rPr>
          <w:rFonts w:hint="eastAsia"/>
          <w:sz w:val="24"/>
          <w:szCs w:val="24"/>
          <w:lang w:val="en-US" w:eastAsia="zh-CN"/>
        </w:rPr>
        <w:t>区及周围监测井</w:t>
      </w:r>
      <w:r>
        <w:rPr>
          <w:rFonts w:hint="default"/>
          <w:sz w:val="24"/>
          <w:szCs w:val="24"/>
          <w:lang w:val="en-US" w:eastAsia="zh-CN"/>
        </w:rPr>
        <w:t>的总硬度、溶解性固体、硫酸盐、氯化物、氟化物、耗氧量、钠超标，其他指标均满足《地下水质量标准》</w:t>
      </w:r>
      <w:r>
        <w:rPr>
          <w:rFonts w:hint="default" w:ascii="Times New Roman" w:hAnsi="Times New Roman" w:cs="Times New Roman"/>
          <w:sz w:val="24"/>
          <w:szCs w:val="24"/>
          <w:lang w:val="en-US" w:eastAsia="zh-CN"/>
        </w:rPr>
        <w:t>（GB/T14848-93）Ⅲ</w:t>
      </w:r>
      <w:r>
        <w:rPr>
          <w:rFonts w:hint="default"/>
          <w:sz w:val="24"/>
          <w:szCs w:val="24"/>
          <w:lang w:val="en-US" w:eastAsia="zh-CN"/>
        </w:rPr>
        <w:t>类水标准要求。其中总硬度、溶解性固体、耗氧量超标原因与当地的地下水类型以重碳酸钙或钙镁型水为主水文地质条件有关，硝氯化物、氟化物、钠超标可能是监测点位为浅层地下水，受地面生活污水排放及化肥使用影响所致。</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eastAsia" w:ascii="Times New Roman" w:hAnsi="Times New Roman"/>
          <w:b/>
          <w:bCs/>
          <w:sz w:val="24"/>
          <w:szCs w:val="24"/>
          <w:lang w:val="en-US" w:eastAsia="zh-CN"/>
        </w:rPr>
        <w:t>噪声环境质量现状</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山东博汇纸业股份有限公司</w:t>
      </w:r>
      <w:r>
        <w:rPr>
          <w:rFonts w:hint="default" w:ascii="Times New Roman" w:hAnsi="Times New Roman"/>
          <w:sz w:val="24"/>
          <w:szCs w:val="24"/>
          <w:lang w:val="en-US" w:eastAsia="zh-CN"/>
        </w:rPr>
        <w:t>，各监测点位各厂界噪声值均能满足《工业企业 厂界环境噪声排放标准》(GB12348-2008) 3类标准的要求。</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eastAsia" w:ascii="Times New Roman" w:hAnsi="Times New Roman"/>
          <w:b/>
          <w:bCs/>
          <w:sz w:val="24"/>
          <w:szCs w:val="24"/>
          <w:lang w:val="en-US" w:eastAsia="zh-CN"/>
        </w:rPr>
        <w:t>土壤环境质量现状</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厂区内监测点各项土壤监测因子均低于《土壤环境质量 建设用地土壤污染风险管控标准(试行)》(GB36600-2018)筛选值，对人体健康的风险可以忽略；厂区外监测点各项土壤监测因子均低于《土壤环境质量 农用地土壤污染风险管控标准(试行)》(GB15618-2018)筛选值，对农产品质量安全、农作物生长或土壤生态环境的风险可以忽略。</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lang w:val="en-US" w:eastAsia="zh-CN"/>
        </w:rPr>
      </w:pPr>
      <w:r>
        <w:rPr>
          <w:rFonts w:hint="eastAsia" w:ascii="Times New Roman" w:hAnsi="Times New Roman"/>
          <w:b/>
          <w:bCs/>
          <w:sz w:val="28"/>
          <w:szCs w:val="28"/>
          <w:lang w:val="en-US" w:eastAsia="zh-CN"/>
        </w:rPr>
        <w:t>12.1.4工程环境影响评价</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eastAsia" w:ascii="Times New Roman" w:hAnsi="Times New Roman"/>
          <w:b/>
          <w:bCs/>
          <w:sz w:val="24"/>
          <w:szCs w:val="24"/>
          <w:lang w:val="en-US" w:eastAsia="zh-CN"/>
        </w:rPr>
        <w:t>大气环境影响评价</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eastAsia" w:ascii="Times New Roman" w:hAnsi="Times New Roman"/>
          <w:b w:val="0"/>
          <w:bCs w:val="0"/>
          <w:sz w:val="24"/>
          <w:szCs w:val="24"/>
          <w:lang w:val="en-US" w:eastAsia="zh-CN"/>
        </w:rPr>
      </w:pPr>
      <w:r>
        <w:rPr>
          <w:rFonts w:hint="eastAsia" w:ascii="Times New Roman" w:hAnsi="Times New Roman"/>
          <w:b w:val="0"/>
          <w:bCs w:val="0"/>
          <w:sz w:val="24"/>
          <w:szCs w:val="24"/>
          <w:lang w:val="en-US" w:eastAsia="zh-CN"/>
        </w:rPr>
        <w:t>根据《环境影响评价技术导则 大气环境》(HJ2.2-2018)分级判据，确定本项目大气环境影响评价工作等级为三级，评价范围为以项目厂址为中心，边长为5km的矩形区域。根据估算模型AERSCREEN计算结果可知，本项目各污染物厂界外大气污染物短期贡献浓度均未超过环境质量浓度限值，无需设置大气环境防护距离。</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2</w:t>
      </w:r>
      <w:r>
        <w:rPr>
          <w:rFonts w:hint="eastAsia" w:ascii="Times New Roman" w:hAnsi="Times New Roman"/>
          <w:b/>
          <w:bCs/>
          <w:sz w:val="24"/>
          <w:szCs w:val="24"/>
          <w:lang w:val="en-US" w:eastAsia="zh-CN"/>
        </w:rPr>
        <w:t>地表水环境影响评价</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lang w:val="en-US" w:eastAsia="zh-CN"/>
        </w:rPr>
      </w:pPr>
      <w:r>
        <w:rPr>
          <w:rFonts w:hint="default" w:ascii="Times New Roman" w:hAnsi="Times New Roman" w:eastAsia="宋体" w:cs="Times New Roman"/>
          <w:b w:val="0"/>
          <w:bCs w:val="0"/>
          <w:color w:val="000000"/>
          <w:kern w:val="2"/>
          <w:sz w:val="24"/>
          <w:szCs w:val="24"/>
          <w:lang w:val="en-US" w:eastAsia="zh-CN" w:bidi="ar-SA"/>
        </w:rPr>
        <w:t>项目生产废水及RTO喷淋废水不排放，收集后经过MVR+碱回收系统处理后重新利用；</w:t>
      </w:r>
      <w:r>
        <w:rPr>
          <w:rFonts w:hint="eastAsia" w:ascii="Times New Roman" w:hAnsi="Times New Roman" w:cs="Times New Roman"/>
          <w:b w:val="0"/>
          <w:bCs w:val="0"/>
          <w:color w:val="000000"/>
          <w:kern w:val="2"/>
          <w:sz w:val="24"/>
          <w:szCs w:val="24"/>
          <w:lang w:val="en-US" w:eastAsia="zh-CN" w:bidi="ar-SA"/>
        </w:rPr>
        <w:t>不新增</w:t>
      </w:r>
      <w:r>
        <w:rPr>
          <w:rFonts w:hint="default" w:ascii="Times New Roman" w:hAnsi="Times New Roman" w:eastAsia="宋体" w:cs="Times New Roman"/>
          <w:b w:val="0"/>
          <w:bCs w:val="0"/>
          <w:color w:val="000000"/>
          <w:kern w:val="2"/>
          <w:sz w:val="24"/>
          <w:szCs w:val="24"/>
          <w:lang w:val="en-US" w:eastAsia="zh-CN" w:bidi="ar-SA"/>
        </w:rPr>
        <w:t>生活废水</w:t>
      </w:r>
      <w:r>
        <w:rPr>
          <w:rFonts w:hint="eastAsia" w:ascii="Times New Roman" w:hAnsi="Times New Roman" w:cs="Times New Roman"/>
          <w:b w:val="0"/>
          <w:bCs w:val="0"/>
          <w:color w:val="000000"/>
          <w:kern w:val="2"/>
          <w:sz w:val="24"/>
          <w:szCs w:val="24"/>
          <w:lang w:val="en-US" w:eastAsia="zh-CN" w:bidi="ar-SA"/>
        </w:rPr>
        <w:t>产生及</w:t>
      </w:r>
      <w:r>
        <w:rPr>
          <w:rFonts w:hint="default" w:ascii="Times New Roman" w:hAnsi="Times New Roman" w:eastAsia="宋体" w:cs="Times New Roman"/>
          <w:b w:val="0"/>
          <w:bCs w:val="0"/>
          <w:color w:val="000000"/>
          <w:kern w:val="2"/>
          <w:sz w:val="24"/>
          <w:szCs w:val="24"/>
          <w:lang w:val="en-US" w:eastAsia="zh-CN" w:bidi="ar-SA"/>
        </w:rPr>
        <w:t>排放。项目运营后</w:t>
      </w:r>
      <w:r>
        <w:rPr>
          <w:rFonts w:hint="eastAsia" w:ascii="Times New Roman" w:hAnsi="Times New Roman" w:cs="Times New Roman"/>
          <w:b w:val="0"/>
          <w:bCs w:val="0"/>
          <w:color w:val="000000"/>
          <w:kern w:val="2"/>
          <w:sz w:val="24"/>
          <w:szCs w:val="24"/>
          <w:lang w:val="en-US" w:eastAsia="zh-CN" w:bidi="ar-SA"/>
        </w:rPr>
        <w:t>无</w:t>
      </w:r>
      <w:r>
        <w:rPr>
          <w:rFonts w:hint="default" w:ascii="Times New Roman" w:hAnsi="Times New Roman" w:eastAsia="宋体" w:cs="Times New Roman"/>
          <w:b w:val="0"/>
          <w:bCs w:val="0"/>
          <w:color w:val="000000"/>
          <w:kern w:val="2"/>
          <w:sz w:val="24"/>
          <w:szCs w:val="24"/>
          <w:lang w:val="en-US" w:eastAsia="zh-CN" w:bidi="ar-SA"/>
        </w:rPr>
        <w:t>废水进入外环境，对地表水环境影响较小。</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3</w:t>
      </w:r>
      <w:r>
        <w:rPr>
          <w:rFonts w:hint="eastAsia" w:ascii="Times New Roman" w:hAnsi="Times New Roman"/>
          <w:b/>
          <w:bCs/>
          <w:sz w:val="24"/>
          <w:szCs w:val="24"/>
          <w:lang w:val="en-US" w:eastAsia="zh-CN"/>
        </w:rPr>
        <w:t>地下水环境影响评价</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根据《环境影响评价技术导则－地下水环境》（HJ610-2016）要求，确定本次地下水环境影响评价工作等级确定为三级。项目建设时对污水处理构筑物、事故水池等设施采取严格的防腐防渗措施。本项目通过严格落实各项环保治理措施，对场区输水管网、污水处理设施进行防渗漏处理，杜绝各种污水下渗对地下水造成的污染，综合考虑水文地质条件、地下水保护目标等因素，从水文地质角度分析，该项目建设可行。</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eastAsia" w:ascii="Times New Roman" w:hAnsi="Times New Roman"/>
          <w:b/>
          <w:bCs/>
          <w:sz w:val="24"/>
          <w:szCs w:val="24"/>
          <w:lang w:val="en-US" w:eastAsia="zh-CN"/>
        </w:rPr>
        <w:t>声环境影响评价</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厂界处噪声满足《工业企业厂界环境噪声排放标准》(GB12348-2008)中的3类标准要求。</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5</w:t>
      </w:r>
      <w:r>
        <w:rPr>
          <w:rFonts w:hint="eastAsia" w:ascii="Times New Roman" w:hAnsi="Times New Roman"/>
          <w:b/>
          <w:bCs/>
          <w:sz w:val="24"/>
          <w:szCs w:val="24"/>
          <w:lang w:val="en-US" w:eastAsia="zh-CN"/>
        </w:rPr>
        <w:t>固体废物环境影响评价</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在加强对固体废物贮运过程的现场管理，并在加强对各项污染防治措施和固 体废物综合利用、安全处置措施的前提下，</w:t>
      </w:r>
      <w:r>
        <w:rPr>
          <w:rFonts w:hint="eastAsia" w:ascii="Times New Roman" w:hAnsi="Times New Roman" w:cs="Times New Roman"/>
          <w:b w:val="0"/>
          <w:bCs w:val="0"/>
          <w:color w:val="000000"/>
          <w:kern w:val="2"/>
          <w:sz w:val="24"/>
          <w:szCs w:val="24"/>
          <w:lang w:val="en-US" w:eastAsia="zh-CN" w:bidi="ar-SA"/>
        </w:rPr>
        <w:t>本</w:t>
      </w:r>
      <w:r>
        <w:rPr>
          <w:rFonts w:hint="default" w:ascii="Times New Roman" w:hAnsi="Times New Roman" w:eastAsia="宋体" w:cs="Times New Roman"/>
          <w:b w:val="0"/>
          <w:bCs w:val="0"/>
          <w:color w:val="000000"/>
          <w:kern w:val="2"/>
          <w:sz w:val="24"/>
          <w:szCs w:val="24"/>
          <w:lang w:val="en-US" w:eastAsia="zh-CN" w:bidi="ar-SA"/>
        </w:rPr>
        <w:t>工程产生的固体废物对环境空气、 水、生态等环境的影响较小。</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6</w:t>
      </w:r>
      <w:r>
        <w:rPr>
          <w:rFonts w:hint="eastAsia" w:ascii="Times New Roman" w:hAnsi="Times New Roman"/>
          <w:b/>
          <w:bCs/>
          <w:sz w:val="24"/>
          <w:szCs w:val="24"/>
          <w:lang w:val="en-US" w:eastAsia="zh-CN"/>
        </w:rPr>
        <w:t>土壤环境影响评价</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lang w:val="en-US" w:eastAsia="zh-CN"/>
        </w:rPr>
      </w:pPr>
      <w:r>
        <w:rPr>
          <w:rFonts w:hint="default" w:ascii="Times New Roman" w:hAnsi="Times New Roman" w:eastAsia="宋体" w:cs="Times New Roman"/>
          <w:b w:val="0"/>
          <w:bCs w:val="0"/>
          <w:color w:val="000000"/>
          <w:kern w:val="2"/>
          <w:sz w:val="24"/>
          <w:szCs w:val="24"/>
          <w:lang w:val="en-US" w:eastAsia="zh-CN" w:bidi="ar-SA"/>
        </w:rPr>
        <w:t>根据《环境影响评价技术导则 土壤环境》（HJ964-2018）要求，确定本项目土壤环境影响评价工作等级为二级。 根据预测，厂内各点土壤监测因子均低于《土壤环境质量 建设用地土壤污染风险管控标准（试行）》（GB36600-2018）筛选值，土壤环境敏感目标处且占地范围内各评价因子均满足《土壤环境质量 农用地土壤污染风险管控标准》(GB15618-2018)风险筛选值标准。工程运行对土壤环境影响不大。</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auto"/>
        <w:rPr>
          <w:rFonts w:hint="eastAsia" w:ascii="Times New Roman" w:hAnsi="Times New Roman"/>
          <w:b/>
          <w:bCs/>
          <w:sz w:val="24"/>
          <w:szCs w:val="24"/>
          <w:lang w:val="en-US" w:eastAsia="zh-CN"/>
        </w:rPr>
      </w:pPr>
      <w:r>
        <w:rPr>
          <w:rFonts w:hint="eastAsia" w:ascii="Times New Roman" w:hAnsi="Times New Roman" w:cs="Times New Roman"/>
          <w:b/>
          <w:bCs/>
          <w:sz w:val="24"/>
          <w:szCs w:val="24"/>
          <w:lang w:val="en-US" w:eastAsia="zh-CN"/>
        </w:rPr>
        <w:t>12</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w:t>
      </w:r>
      <w:r>
        <w:rPr>
          <w:rFonts w:hint="eastAsia" w:ascii="Times New Roman" w:hAnsi="Times New Roman" w:cs="Times New Roman"/>
          <w:b/>
          <w:bCs/>
          <w:sz w:val="24"/>
          <w:szCs w:val="24"/>
          <w:lang w:val="en-US" w:eastAsia="zh-CN"/>
        </w:rPr>
        <w:t>7</w:t>
      </w:r>
      <w:r>
        <w:rPr>
          <w:rFonts w:hint="eastAsia" w:ascii="Times New Roman" w:hAnsi="Times New Roman"/>
          <w:b/>
          <w:bCs/>
          <w:sz w:val="24"/>
          <w:szCs w:val="24"/>
          <w:lang w:val="en-US" w:eastAsia="zh-CN"/>
        </w:rPr>
        <w:t>环境风险评价</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本项目原料储存区配有围堰，事故废气及废液有足够的事故池等容纳设施，能确保其不外排，对周围水环境产生污染的可能性较小。在建设单位严格落实环评提出的各项防范措施和应急预案后，其环境风险可防控。</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lang w:val="en-US" w:eastAsia="zh-CN"/>
        </w:rPr>
      </w:pPr>
      <w:r>
        <w:rPr>
          <w:rFonts w:hint="eastAsia" w:ascii="Times New Roman" w:hAnsi="Times New Roman"/>
          <w:b/>
          <w:bCs/>
          <w:sz w:val="28"/>
          <w:szCs w:val="28"/>
          <w:lang w:val="en-US" w:eastAsia="zh-CN"/>
        </w:rPr>
        <w:t>12.1.5清洁生产分析</w:t>
      </w:r>
    </w:p>
    <w:p>
      <w:pPr>
        <w:pStyle w:val="2"/>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eastAsia" w:ascii="Times New Roman" w:hAnsi="Times New Roman"/>
          <w:b/>
          <w:bCs/>
          <w:sz w:val="24"/>
          <w:szCs w:val="24"/>
          <w:lang w:val="en-US" w:eastAsia="zh-CN"/>
        </w:rPr>
      </w:pPr>
      <w:r>
        <w:rPr>
          <w:rFonts w:hint="eastAsia" w:ascii="Times New Roman" w:hAnsi="Times New Roman"/>
          <w:b w:val="0"/>
          <w:bCs w:val="0"/>
          <w:sz w:val="24"/>
          <w:szCs w:val="24"/>
          <w:lang w:val="en-US" w:eastAsia="zh-CN"/>
        </w:rPr>
        <w:t>本项目建设符合国家产业政策，在原辅料来源、生产工艺、生产设备等方面相对现有工程均有明显改善，综合能耗及污染物排放量相对现有工程均有明显 下降；项目所选用的工艺技术与装备先进可靠，资源能源利用指标、污染控制均符合清洁生产的要求。通过物耗、能耗及产污情况分析，本装置物耗、能耗相对较低，“三废”排放较少，符合清洁生产的原则。</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lang w:val="en-US" w:eastAsia="zh-CN"/>
        </w:rPr>
      </w:pPr>
      <w:r>
        <w:rPr>
          <w:rFonts w:hint="eastAsia" w:ascii="Times New Roman" w:hAnsi="Times New Roman"/>
          <w:b/>
          <w:bCs/>
          <w:sz w:val="28"/>
          <w:szCs w:val="28"/>
          <w:lang w:val="en-US" w:eastAsia="zh-CN"/>
        </w:rPr>
        <w:t>12.1.6总量控制</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1、废气污染物</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项目运营期，有SO</w:t>
      </w:r>
      <w:r>
        <w:rPr>
          <w:rFonts w:hint="default" w:ascii="Times New Roman" w:hAnsi="Times New Roman" w:eastAsia="宋体" w:cs="Times New Roman"/>
          <w:b w:val="0"/>
          <w:bCs w:val="0"/>
          <w:color w:val="000000"/>
          <w:kern w:val="2"/>
          <w:sz w:val="24"/>
          <w:szCs w:val="24"/>
          <w:vertAlign w:val="subscript"/>
          <w:lang w:val="en-US" w:eastAsia="zh-CN" w:bidi="ar-SA"/>
        </w:rPr>
        <w:t>2</w:t>
      </w:r>
      <w:r>
        <w:rPr>
          <w:rFonts w:hint="default" w:ascii="Times New Roman" w:hAnsi="Times New Roman" w:eastAsia="宋体" w:cs="Times New Roman"/>
          <w:b w:val="0"/>
          <w:bCs w:val="0"/>
          <w:color w:val="000000"/>
          <w:kern w:val="2"/>
          <w:sz w:val="24"/>
          <w:szCs w:val="24"/>
          <w:lang w:val="en-US" w:eastAsia="zh-CN" w:bidi="ar-SA"/>
        </w:rPr>
        <w:t>、NO</w:t>
      </w:r>
      <w:r>
        <w:rPr>
          <w:rFonts w:hint="default" w:ascii="Times New Roman" w:hAnsi="Times New Roman" w:eastAsia="宋体" w:cs="Times New Roman"/>
          <w:b w:val="0"/>
          <w:bCs w:val="0"/>
          <w:color w:val="000000"/>
          <w:kern w:val="2"/>
          <w:sz w:val="24"/>
          <w:szCs w:val="24"/>
          <w:vertAlign w:val="subscript"/>
          <w:lang w:val="en-US" w:eastAsia="zh-CN" w:bidi="ar-SA"/>
        </w:rPr>
        <w:t>X</w:t>
      </w:r>
      <w:r>
        <w:rPr>
          <w:rFonts w:hint="default" w:ascii="Times New Roman" w:hAnsi="Times New Roman" w:eastAsia="宋体" w:cs="Times New Roman"/>
          <w:b w:val="0"/>
          <w:bCs w:val="0"/>
          <w:color w:val="000000"/>
          <w:kern w:val="2"/>
          <w:sz w:val="24"/>
          <w:szCs w:val="24"/>
          <w:lang w:val="en-US" w:eastAsia="zh-CN" w:bidi="ar-SA"/>
        </w:rPr>
        <w:t>、颗粒物和VOCs产生。</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项目SO</w:t>
      </w:r>
      <w:r>
        <w:rPr>
          <w:rFonts w:hint="default" w:ascii="Times New Roman" w:hAnsi="Times New Roman" w:eastAsia="宋体" w:cs="Times New Roman"/>
          <w:b w:val="0"/>
          <w:bCs w:val="0"/>
          <w:color w:val="000000"/>
          <w:kern w:val="2"/>
          <w:sz w:val="24"/>
          <w:szCs w:val="24"/>
          <w:vertAlign w:val="subscript"/>
          <w:lang w:val="en-US" w:eastAsia="zh-CN" w:bidi="ar-SA"/>
        </w:rPr>
        <w:t>2</w:t>
      </w:r>
      <w:r>
        <w:rPr>
          <w:rFonts w:hint="default" w:ascii="Times New Roman" w:hAnsi="Times New Roman" w:eastAsia="宋体" w:cs="Times New Roman"/>
          <w:b w:val="0"/>
          <w:bCs w:val="0"/>
          <w:color w:val="000000"/>
          <w:kern w:val="2"/>
          <w:sz w:val="24"/>
          <w:szCs w:val="24"/>
          <w:lang w:val="en-US" w:eastAsia="zh-CN" w:bidi="ar-SA"/>
        </w:rPr>
        <w:t>、NO</w:t>
      </w:r>
      <w:r>
        <w:rPr>
          <w:rFonts w:hint="default" w:ascii="Times New Roman" w:hAnsi="Times New Roman" w:eastAsia="宋体" w:cs="Times New Roman"/>
          <w:b w:val="0"/>
          <w:bCs w:val="0"/>
          <w:color w:val="000000"/>
          <w:kern w:val="2"/>
          <w:sz w:val="24"/>
          <w:szCs w:val="24"/>
          <w:vertAlign w:val="subscript"/>
          <w:lang w:val="en-US" w:eastAsia="zh-CN" w:bidi="ar-SA"/>
        </w:rPr>
        <w:t>X</w:t>
      </w:r>
      <w:r>
        <w:rPr>
          <w:rFonts w:hint="default" w:ascii="Times New Roman" w:hAnsi="Times New Roman" w:eastAsia="宋体" w:cs="Times New Roman"/>
          <w:b w:val="0"/>
          <w:bCs w:val="0"/>
          <w:color w:val="000000"/>
          <w:kern w:val="2"/>
          <w:sz w:val="24"/>
          <w:szCs w:val="24"/>
          <w:lang w:val="en-US" w:eastAsia="zh-CN" w:bidi="ar-SA"/>
        </w:rPr>
        <w:t>、颗粒物和VOCs排放总量分别为4.703t/a、24.361t/a、4.558t/a、0.034t/a。</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2、废水污染物</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本项目化机浆车间生产废水和RTO碱喷淋废水经过MVR系统和碱回收系统处理后全部回用，不排放；</w:t>
      </w:r>
      <w:r>
        <w:rPr>
          <w:rFonts w:hint="eastAsia" w:ascii="Times New Roman" w:hAnsi="Times New Roman" w:cs="Times New Roman"/>
          <w:b w:val="0"/>
          <w:bCs w:val="0"/>
          <w:color w:val="000000"/>
          <w:kern w:val="2"/>
          <w:sz w:val="24"/>
          <w:szCs w:val="24"/>
          <w:lang w:val="en-US" w:eastAsia="zh-CN" w:bidi="ar-SA"/>
        </w:rPr>
        <w:t>无新增</w:t>
      </w:r>
      <w:r>
        <w:rPr>
          <w:rFonts w:hint="default" w:ascii="Times New Roman" w:hAnsi="Times New Roman" w:eastAsia="宋体" w:cs="Times New Roman"/>
          <w:b w:val="0"/>
          <w:bCs w:val="0"/>
          <w:color w:val="000000"/>
          <w:kern w:val="2"/>
          <w:sz w:val="24"/>
          <w:szCs w:val="24"/>
          <w:lang w:val="en-US" w:eastAsia="zh-CN" w:bidi="ar-SA"/>
        </w:rPr>
        <w:t>生活废水</w:t>
      </w:r>
      <w:r>
        <w:rPr>
          <w:rFonts w:hint="eastAsia" w:ascii="Times New Roman" w:hAnsi="Times New Roman" w:cs="Times New Roman"/>
          <w:b w:val="0"/>
          <w:bCs w:val="0"/>
          <w:color w:val="000000"/>
          <w:kern w:val="2"/>
          <w:sz w:val="24"/>
          <w:szCs w:val="24"/>
          <w:lang w:val="en-US" w:eastAsia="zh-CN" w:bidi="ar-SA"/>
        </w:rPr>
        <w:t>产生及排放</w:t>
      </w:r>
      <w:r>
        <w:rPr>
          <w:rFonts w:hint="default" w:ascii="Times New Roman" w:hAnsi="Times New Roman" w:eastAsia="宋体" w:cs="Times New Roman"/>
          <w:b w:val="0"/>
          <w:bCs w:val="0"/>
          <w:color w:val="000000"/>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lang w:val="en-US" w:eastAsia="zh-CN"/>
        </w:rPr>
      </w:pPr>
      <w:r>
        <w:rPr>
          <w:rFonts w:hint="eastAsia" w:ascii="Times New Roman" w:hAnsi="Times New Roman"/>
          <w:b/>
          <w:bCs/>
          <w:sz w:val="28"/>
          <w:szCs w:val="28"/>
          <w:lang w:val="en-US" w:eastAsia="zh-CN"/>
        </w:rPr>
        <w:t>12.1.7公众参与</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b w:val="0"/>
          <w:bCs w:val="0"/>
          <w:color w:val="000000"/>
          <w:kern w:val="2"/>
          <w:sz w:val="24"/>
          <w:szCs w:val="24"/>
          <w:lang w:val="en-US" w:eastAsia="zh-CN" w:bidi="ar-SA"/>
        </w:rPr>
      </w:pPr>
      <w:r>
        <w:rPr>
          <w:rFonts w:hint="eastAsia" w:ascii="Times New Roman" w:hAnsi="Times New Roman" w:cs="Times New Roman"/>
          <w:b w:val="0"/>
          <w:bCs w:val="0"/>
          <w:color w:val="000000"/>
          <w:kern w:val="2"/>
          <w:sz w:val="24"/>
          <w:szCs w:val="24"/>
          <w:lang w:val="en-US" w:eastAsia="zh-CN" w:bidi="ar-SA"/>
        </w:rPr>
        <w:t>山东博汇纸业股份有限公</w:t>
      </w:r>
      <w:r>
        <w:rPr>
          <w:rFonts w:hint="default" w:ascii="Times New Roman" w:hAnsi="Times New Roman" w:eastAsia="宋体" w:cs="Times New Roman"/>
          <w:b w:val="0"/>
          <w:bCs w:val="0"/>
          <w:color w:val="000000"/>
          <w:kern w:val="2"/>
          <w:sz w:val="24"/>
          <w:szCs w:val="24"/>
          <w:lang w:val="en-US" w:eastAsia="zh-CN" w:bidi="ar-SA"/>
        </w:rPr>
        <w:t>司严格按照《环境影响评价公众参与办法》(生态 环境部令第</w:t>
      </w:r>
      <w:r>
        <w:rPr>
          <w:rFonts w:hint="eastAsia" w:ascii="Times New Roman" w:hAnsi="Times New Roman" w:cs="Times New Roman"/>
          <w:b w:val="0"/>
          <w:bCs w:val="0"/>
          <w:color w:val="000000"/>
          <w:kern w:val="2"/>
          <w:sz w:val="24"/>
          <w:szCs w:val="24"/>
          <w:lang w:val="en-US" w:eastAsia="zh-CN" w:bidi="ar-SA"/>
        </w:rPr>
        <w:t>4</w:t>
      </w:r>
      <w:r>
        <w:rPr>
          <w:rFonts w:hint="default" w:ascii="Times New Roman" w:hAnsi="Times New Roman" w:eastAsia="宋体" w:cs="Times New Roman"/>
          <w:b w:val="0"/>
          <w:bCs w:val="0"/>
          <w:color w:val="000000"/>
          <w:kern w:val="2"/>
          <w:sz w:val="24"/>
          <w:szCs w:val="24"/>
          <w:lang w:val="en-US" w:eastAsia="zh-CN" w:bidi="ar-SA"/>
        </w:rPr>
        <w:t>号)开展</w:t>
      </w:r>
      <w:r>
        <w:rPr>
          <w:rFonts w:hint="eastAsia" w:ascii="Times New Roman" w:hAnsi="Times New Roman" w:cs="Times New Roman"/>
          <w:b w:val="0"/>
          <w:bCs w:val="0"/>
          <w:color w:val="000000"/>
          <w:kern w:val="2"/>
          <w:sz w:val="24"/>
          <w:szCs w:val="24"/>
          <w:lang w:val="en-US" w:eastAsia="zh-CN" w:bidi="ar-SA"/>
        </w:rPr>
        <w:t>年产20万吨化机浆项目（2#）</w:t>
      </w:r>
      <w:r>
        <w:rPr>
          <w:rFonts w:hint="default" w:ascii="Times New Roman" w:hAnsi="Times New Roman" w:eastAsia="宋体" w:cs="Times New Roman"/>
          <w:b w:val="0"/>
          <w:bCs w:val="0"/>
          <w:color w:val="000000"/>
          <w:kern w:val="2"/>
          <w:sz w:val="24"/>
          <w:szCs w:val="24"/>
          <w:lang w:val="en-US" w:eastAsia="zh-CN" w:bidi="ar-SA"/>
        </w:rPr>
        <w:t>环境影响评价公众参与调查工作，于20</w:t>
      </w:r>
      <w:r>
        <w:rPr>
          <w:rFonts w:hint="eastAsia" w:ascii="Times New Roman" w:hAnsi="Times New Roman" w:cs="Times New Roman"/>
          <w:b w:val="0"/>
          <w:bCs w:val="0"/>
          <w:color w:val="000000"/>
          <w:kern w:val="2"/>
          <w:sz w:val="24"/>
          <w:szCs w:val="24"/>
          <w:lang w:val="en-US" w:eastAsia="zh-CN" w:bidi="ar-SA"/>
        </w:rPr>
        <w:t>21</w:t>
      </w:r>
      <w:r>
        <w:rPr>
          <w:rFonts w:hint="default" w:ascii="Times New Roman" w:hAnsi="Times New Roman" w:eastAsia="宋体" w:cs="Times New Roman"/>
          <w:b w:val="0"/>
          <w:bCs w:val="0"/>
          <w:color w:val="000000"/>
          <w:kern w:val="2"/>
          <w:sz w:val="24"/>
          <w:szCs w:val="24"/>
          <w:lang w:val="en-US" w:eastAsia="zh-CN" w:bidi="ar-SA"/>
        </w:rPr>
        <w:t>年</w:t>
      </w:r>
      <w:r>
        <w:rPr>
          <w:rFonts w:hint="eastAsia" w:ascii="Times New Roman" w:hAnsi="Times New Roman" w:cs="Times New Roman"/>
          <w:b w:val="0"/>
          <w:bCs w:val="0"/>
          <w:color w:val="000000"/>
          <w:kern w:val="2"/>
          <w:sz w:val="24"/>
          <w:szCs w:val="24"/>
          <w:lang w:val="en-US" w:eastAsia="zh-CN" w:bidi="ar-SA"/>
        </w:rPr>
        <w:t>06</w:t>
      </w:r>
      <w:r>
        <w:rPr>
          <w:rFonts w:hint="default" w:ascii="Times New Roman" w:hAnsi="Times New Roman" w:eastAsia="宋体" w:cs="Times New Roman"/>
          <w:b w:val="0"/>
          <w:bCs w:val="0"/>
          <w:color w:val="000000"/>
          <w:kern w:val="2"/>
          <w:sz w:val="24"/>
          <w:szCs w:val="24"/>
          <w:lang w:val="en-US" w:eastAsia="zh-CN" w:bidi="ar-SA"/>
        </w:rPr>
        <w:t>月</w:t>
      </w:r>
      <w:r>
        <w:rPr>
          <w:rFonts w:hint="eastAsia" w:ascii="Times New Roman" w:hAnsi="Times New Roman" w:cs="Times New Roman"/>
          <w:b w:val="0"/>
          <w:bCs w:val="0"/>
          <w:color w:val="000000"/>
          <w:kern w:val="2"/>
          <w:sz w:val="24"/>
          <w:szCs w:val="24"/>
          <w:lang w:val="en-US" w:eastAsia="zh-CN" w:bidi="ar-SA"/>
        </w:rPr>
        <w:t>23</w:t>
      </w:r>
      <w:r>
        <w:rPr>
          <w:rFonts w:hint="default" w:ascii="Times New Roman" w:hAnsi="Times New Roman" w:eastAsia="宋体" w:cs="Times New Roman"/>
          <w:b w:val="0"/>
          <w:bCs w:val="0"/>
          <w:color w:val="000000"/>
          <w:kern w:val="2"/>
          <w:sz w:val="24"/>
          <w:szCs w:val="24"/>
          <w:lang w:val="en-US" w:eastAsia="zh-CN" w:bidi="ar-SA"/>
        </w:rPr>
        <w:t>日在山东博汇纸业股份有限公司官网开始进行首次环境影响评价信息公开；</w:t>
      </w:r>
      <w:r>
        <w:rPr>
          <w:rFonts w:hint="eastAsia" w:ascii="Times New Roman" w:hAnsi="Times New Roman" w:cs="Times New Roman"/>
          <w:b w:val="0"/>
          <w:bCs w:val="0"/>
          <w:color w:val="000000"/>
          <w:kern w:val="2"/>
          <w:sz w:val="24"/>
          <w:szCs w:val="24"/>
          <w:lang w:val="en-US" w:eastAsia="zh-CN" w:bidi="ar-SA"/>
        </w:rPr>
        <w:t>征求意见稿</w:t>
      </w:r>
      <w:r>
        <w:rPr>
          <w:rFonts w:hint="default" w:ascii="Times New Roman" w:hAnsi="Times New Roman" w:eastAsia="宋体" w:cs="Times New Roman"/>
          <w:b w:val="0"/>
          <w:bCs w:val="0"/>
          <w:color w:val="000000"/>
          <w:kern w:val="2"/>
          <w:sz w:val="24"/>
          <w:szCs w:val="24"/>
          <w:lang w:val="en-US" w:eastAsia="zh-CN" w:bidi="ar-SA"/>
        </w:rPr>
        <w:t>在</w:t>
      </w:r>
      <w:r>
        <w:rPr>
          <w:rFonts w:hint="eastAsia" w:ascii="Times New Roman" w:hAnsi="Times New Roman" w:cs="Times New Roman"/>
          <w:b w:val="0"/>
          <w:bCs w:val="0"/>
          <w:color w:val="000000"/>
          <w:kern w:val="2"/>
          <w:sz w:val="24"/>
          <w:szCs w:val="24"/>
          <w:lang w:val="en-US" w:eastAsia="zh-CN" w:bidi="ar-SA"/>
        </w:rPr>
        <w:t>山东博汇纸业股份有限公司</w:t>
      </w:r>
      <w:r>
        <w:rPr>
          <w:rFonts w:hint="default" w:ascii="Times New Roman" w:hAnsi="Times New Roman" w:eastAsia="宋体" w:cs="Times New Roman"/>
          <w:b w:val="0"/>
          <w:bCs w:val="0"/>
          <w:color w:val="000000"/>
          <w:kern w:val="2"/>
          <w:sz w:val="24"/>
          <w:szCs w:val="24"/>
          <w:lang w:val="en-US" w:eastAsia="zh-CN" w:bidi="ar-SA"/>
        </w:rPr>
        <w:t>网站进行了网络公示，在</w:t>
      </w:r>
      <w:r>
        <w:rPr>
          <w:rFonts w:hint="default" w:ascii="Times New Roman" w:hAnsi="Times New Roman" w:eastAsia="宋体" w:cs="Times New Roman"/>
          <w:b w:val="0"/>
          <w:bCs w:val="0"/>
          <w:color w:val="000000"/>
          <w:kern w:val="2"/>
          <w:sz w:val="24"/>
          <w:szCs w:val="24"/>
          <w:highlight w:val="none"/>
          <w:lang w:val="en-US" w:eastAsia="zh-CN" w:bidi="ar-SA"/>
        </w:rPr>
        <w:t>《桓台大众》</w:t>
      </w:r>
      <w:r>
        <w:rPr>
          <w:rFonts w:hint="default" w:ascii="Times New Roman" w:hAnsi="Times New Roman" w:eastAsia="宋体" w:cs="Times New Roman"/>
          <w:b w:val="0"/>
          <w:bCs w:val="0"/>
          <w:color w:val="000000"/>
          <w:kern w:val="2"/>
          <w:sz w:val="24"/>
          <w:szCs w:val="24"/>
          <w:lang w:val="en-US" w:eastAsia="zh-CN" w:bidi="ar-SA"/>
        </w:rPr>
        <w:t>进行了报纸公示，且在离建设项目较近的</w:t>
      </w:r>
      <w:r>
        <w:rPr>
          <w:rFonts w:hint="eastAsia" w:ascii="Times New Roman" w:hAnsi="Times New Roman" w:cs="Times New Roman"/>
          <w:b w:val="0"/>
          <w:bCs w:val="0"/>
          <w:color w:val="000000"/>
          <w:kern w:val="2"/>
          <w:sz w:val="24"/>
          <w:szCs w:val="24"/>
          <w:lang w:val="en-US" w:eastAsia="zh-CN" w:bidi="ar-SA"/>
        </w:rPr>
        <w:t>村庄</w:t>
      </w:r>
      <w:r>
        <w:rPr>
          <w:rFonts w:hint="default" w:ascii="Times New Roman" w:hAnsi="Times New Roman" w:eastAsia="宋体" w:cs="Times New Roman"/>
          <w:b w:val="0"/>
          <w:bCs w:val="0"/>
          <w:color w:val="000000"/>
          <w:kern w:val="2"/>
          <w:sz w:val="24"/>
          <w:szCs w:val="24"/>
          <w:lang w:val="en-US" w:eastAsia="zh-CN" w:bidi="ar-SA"/>
        </w:rPr>
        <w:t>点进行了张贴公示，公示期间均未收到周围公众意见表，公众对“山东博汇纸业股份有限公司年产20万吨化机浆项目（2#）”无建议或意见。</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b/>
          <w:bCs/>
          <w:lang w:val="en-US" w:eastAsia="zh-CN"/>
        </w:rPr>
      </w:pPr>
      <w:r>
        <w:rPr>
          <w:rFonts w:hint="eastAsia" w:ascii="Times New Roman" w:hAnsi="Times New Roman"/>
          <w:b/>
          <w:bCs/>
          <w:sz w:val="28"/>
          <w:szCs w:val="28"/>
          <w:lang w:val="en-US" w:eastAsia="zh-CN"/>
        </w:rPr>
        <w:t>12.1.8评价总结论</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项目符合国家产业政策，属于鼓励类项目，具有很好的社会效益和经济效益； 符合当地发展规划；厂址选择可行；</w:t>
      </w:r>
      <w:r>
        <w:rPr>
          <w:rFonts w:hint="eastAsia" w:ascii="Times New Roman" w:hAnsi="Times New Roman" w:cs="Times New Roman"/>
          <w:b w:val="0"/>
          <w:bCs w:val="0"/>
          <w:color w:val="000000"/>
          <w:kern w:val="2"/>
          <w:sz w:val="24"/>
          <w:szCs w:val="24"/>
          <w:lang w:val="en-US" w:eastAsia="zh-CN" w:bidi="ar-SA"/>
        </w:rPr>
        <w:t>本项目</w:t>
      </w:r>
      <w:r>
        <w:rPr>
          <w:rFonts w:hint="default" w:ascii="Times New Roman" w:hAnsi="Times New Roman" w:eastAsia="宋体" w:cs="Times New Roman"/>
          <w:b w:val="0"/>
          <w:bCs w:val="0"/>
          <w:color w:val="000000"/>
          <w:kern w:val="2"/>
          <w:sz w:val="24"/>
          <w:szCs w:val="24"/>
          <w:lang w:val="en-US" w:eastAsia="zh-CN" w:bidi="ar-SA"/>
        </w:rPr>
        <w:t>在国内同类行业中处于先进水平；总体上污染程度较轻，污染物排放量较少。项目“三废”污染物都能达标排放。项目生物安全性较好，存在的环境风险水平在可接受范围内。严格落实报告书提出的各项污染防治措施及风险防范措施情况下，从环境保护的角度分析，项目建设是可行的</w:t>
      </w:r>
      <w:r>
        <w:rPr>
          <w:rFonts w:hint="eastAsia" w:ascii="Times New Roman" w:hAnsi="Times New Roman" w:cs="Times New Roman"/>
          <w:b w:val="0"/>
          <w:bCs w:val="0"/>
          <w:color w:val="000000"/>
          <w:kern w:val="2"/>
          <w:sz w:val="24"/>
          <w:szCs w:val="24"/>
          <w:lang w:val="en-US" w:eastAsia="zh-CN" w:bidi="ar-SA"/>
        </w:rPr>
        <w:t>。</w:t>
      </w:r>
    </w:p>
    <w:p>
      <w:pPr>
        <w:pStyle w:val="17"/>
        <w:keepNext w:val="0"/>
        <w:keepLines w:val="0"/>
        <w:pageBreakBefore w:val="0"/>
        <w:widowControl w:val="0"/>
        <w:kinsoku/>
        <w:wordWrap/>
        <w:overflowPunct/>
        <w:topLinePunct w:val="0"/>
        <w:autoSpaceDE/>
        <w:autoSpaceDN/>
        <w:bidi w:val="0"/>
        <w:adjustRightInd/>
        <w:snapToGrid w:val="0"/>
        <w:spacing w:after="0" w:line="360" w:lineRule="auto"/>
        <w:ind w:right="601" w:firstLine="0" w:firstLineChars="0"/>
        <w:textAlignment w:val="auto"/>
        <w:outlineLvl w:val="1"/>
        <w:rPr>
          <w:rFonts w:hint="default" w:ascii="Times New Roman" w:hAnsi="Times New Roman"/>
          <w:lang w:val="en-US" w:eastAsia="zh-CN"/>
        </w:rPr>
      </w:pPr>
      <w:bookmarkStart w:id="108" w:name="_Toc7801"/>
      <w:bookmarkStart w:id="109" w:name="_Toc26697"/>
      <w:r>
        <w:rPr>
          <w:rFonts w:hint="eastAsia" w:ascii="Times New Roman" w:hAnsi="Times New Roman"/>
          <w:b/>
          <w:bCs/>
          <w:color w:val="auto"/>
          <w:sz w:val="30"/>
          <w:szCs w:val="30"/>
          <w:lang w:val="en-US" w:eastAsia="zh-CN"/>
        </w:rPr>
        <w:t>12.2</w:t>
      </w:r>
      <w:r>
        <w:rPr>
          <w:rFonts w:hint="eastAsia" w:ascii="Times New Roman" w:hAnsi="Times New Roman"/>
          <w:b/>
          <w:bCs/>
          <w:color w:val="auto"/>
          <w:sz w:val="30"/>
          <w:szCs w:val="30"/>
        </w:rPr>
        <w:t>建议</w:t>
      </w:r>
      <w:bookmarkEnd w:id="108"/>
      <w:bookmarkEnd w:id="109"/>
    </w:p>
    <w:p>
      <w:pPr>
        <w:pStyle w:val="2"/>
        <w:keepNext w:val="0"/>
        <w:keepLines w:val="0"/>
        <w:pageBreakBefore w:val="0"/>
        <w:widowControl w:val="0"/>
        <w:numPr>
          <w:ilvl w:val="0"/>
          <w:numId w:val="10"/>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项目应注重清洁生产，在生产过程中尽量减降“三废”的产生量。</w:t>
      </w:r>
    </w:p>
    <w:p>
      <w:pPr>
        <w:pStyle w:val="2"/>
        <w:keepNext w:val="0"/>
        <w:keepLines w:val="0"/>
        <w:pageBreakBefore w:val="0"/>
        <w:widowControl w:val="0"/>
        <w:numPr>
          <w:ilvl w:val="0"/>
          <w:numId w:val="10"/>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为净化空气、降低噪音、美化厂区环境，建议充分利用自然条件加强厂区的绿化美化工作。</w:t>
      </w:r>
    </w:p>
    <w:p>
      <w:pPr>
        <w:pStyle w:val="2"/>
        <w:keepNext w:val="0"/>
        <w:keepLines w:val="0"/>
        <w:pageBreakBefore w:val="0"/>
        <w:widowControl w:val="0"/>
        <w:numPr>
          <w:ilvl w:val="0"/>
          <w:numId w:val="10"/>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加强生产现场的综合管理，严格按操作规程操作，提高职工的操作水平，减少和杜绝跑、冒、滴、漏现象的发生，以减少项目无组织排放造成的物料流失和对环境的影响。</w:t>
      </w:r>
    </w:p>
    <w:p>
      <w:pPr>
        <w:pStyle w:val="2"/>
        <w:keepNext w:val="0"/>
        <w:keepLines w:val="0"/>
        <w:pageBreakBefore w:val="0"/>
        <w:widowControl w:val="0"/>
        <w:numPr>
          <w:ilvl w:val="0"/>
          <w:numId w:val="10"/>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建议企业在节能降耗方面再加强科研攻关力度，进一步提高工程的清 洁生产水平，使企业与国际管理标准化接轨，从而节约原材料、降低能耗及生产 成本，最大限度减小对环境的影响。</w:t>
      </w:r>
    </w:p>
    <w:p>
      <w:pPr>
        <w:pStyle w:val="2"/>
        <w:keepNext w:val="0"/>
        <w:keepLines w:val="0"/>
        <w:pageBreakBefore w:val="0"/>
        <w:widowControl w:val="0"/>
        <w:numPr>
          <w:ilvl w:val="0"/>
          <w:numId w:val="10"/>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加强对废气处理设施的运行管理，提高操作人员的技术水平，建立非正常情况下的污水处理应急措施，以确保各处理设施的平稳运行。</w:t>
      </w:r>
    </w:p>
    <w:p>
      <w:pPr>
        <w:pStyle w:val="2"/>
        <w:keepNext w:val="0"/>
        <w:keepLines w:val="0"/>
        <w:pageBreakBefore w:val="0"/>
        <w:widowControl w:val="0"/>
        <w:numPr>
          <w:ilvl w:val="0"/>
          <w:numId w:val="10"/>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企业应按照ISO14000标准要求，逐步理顺全厂环境管理关系，抓好企业环境管理工作。同时，应全面开展清洁生产审核，持续改进和提高企业环境管理水平。</w:t>
      </w:r>
    </w:p>
    <w:p>
      <w:pPr>
        <w:pStyle w:val="2"/>
        <w:keepNext w:val="0"/>
        <w:keepLines w:val="0"/>
        <w:pageBreakBefore w:val="0"/>
        <w:widowControl w:val="0"/>
        <w:numPr>
          <w:ilvl w:val="0"/>
          <w:numId w:val="10"/>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b w:val="0"/>
          <w:bCs w:val="0"/>
          <w:color w:val="000000"/>
          <w:kern w:val="2"/>
          <w:sz w:val="24"/>
          <w:szCs w:val="24"/>
          <w:lang w:val="en-US" w:eastAsia="zh-CN" w:bidi="ar-SA"/>
        </w:rPr>
      </w:pPr>
      <w:r>
        <w:rPr>
          <w:rFonts w:hint="default" w:ascii="Times New Roman" w:hAnsi="Times New Roman" w:eastAsia="宋体" w:cs="Times New Roman"/>
          <w:b w:val="0"/>
          <w:bCs w:val="0"/>
          <w:color w:val="000000"/>
          <w:kern w:val="2"/>
          <w:sz w:val="24"/>
          <w:szCs w:val="24"/>
          <w:lang w:val="en-US" w:eastAsia="zh-CN" w:bidi="ar-SA"/>
        </w:rPr>
        <w:t>加强生产管理，严格按规程操作，加强职工的安全教育及防范风险教育，防止风险事故的发生。进一步制订严格的管理制度和操作规程</w:t>
      </w:r>
      <w:r>
        <w:rPr>
          <w:rFonts w:hint="eastAsia" w:ascii="Times New Roman" w:hAnsi="Times New Roman" w:eastAsia="宋体" w:cs="Times New Roman"/>
          <w:b w:val="0"/>
          <w:bCs w:val="0"/>
          <w:color w:val="000000"/>
          <w:kern w:val="2"/>
          <w:sz w:val="24"/>
          <w:szCs w:val="24"/>
          <w:lang w:val="en-US" w:eastAsia="zh-CN" w:bidi="ar-SA"/>
        </w:rPr>
        <w:t>。</w:t>
      </w:r>
    </w:p>
    <w:p>
      <w:pPr>
        <w:pStyle w:val="17"/>
        <w:keepNext w:val="0"/>
        <w:keepLines w:val="0"/>
        <w:pageBreakBefore w:val="0"/>
        <w:widowControl w:val="0"/>
        <w:kinsoku/>
        <w:wordWrap/>
        <w:overflowPunct/>
        <w:topLinePunct w:val="0"/>
        <w:autoSpaceDE/>
        <w:autoSpaceDN/>
        <w:bidi w:val="0"/>
        <w:adjustRightInd/>
        <w:snapToGrid w:val="0"/>
        <w:spacing w:after="0" w:line="360" w:lineRule="auto"/>
        <w:textAlignment w:val="auto"/>
        <w:rPr>
          <w:rFonts w:hint="default" w:ascii="Times New Roman" w:hAnsi="Times New Roman" w:eastAsia="宋体" w:cs="Times New Roman"/>
          <w:b w:val="0"/>
          <w:bCs w:val="0"/>
          <w:color w:val="000000"/>
          <w:kern w:val="2"/>
          <w:sz w:val="24"/>
          <w:szCs w:val="24"/>
          <w:lang w:val="en-US" w:eastAsia="zh-CN" w:bidi="ar-SA"/>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rPr>
          <w:rFonts w:hint="default"/>
          <w:lang w:val="en-US" w:eastAsia="zh-CN"/>
        </w:rPr>
      </w:pPr>
    </w:p>
    <w:p>
      <w:pPr>
        <w:pStyle w:val="2"/>
        <w:rPr>
          <w:rFonts w:hint="default"/>
          <w:lang w:val="en-US" w:eastAsia="zh-CN"/>
        </w:rPr>
      </w:pPr>
    </w:p>
    <w:p>
      <w:pPr>
        <w:pStyle w:val="17"/>
        <w:rPr>
          <w:rFonts w:hint="default"/>
          <w:lang w:val="en-US" w:eastAsia="zh-CN"/>
        </w:rPr>
      </w:pPr>
    </w:p>
    <w:p>
      <w:pPr>
        <w:pStyle w:val="16"/>
        <w:ind w:left="0" w:leftChars="0" w:firstLine="0" w:firstLineChars="0"/>
        <w:rPr>
          <w:rFonts w:hint="default"/>
          <w:lang w:val="en-US" w:eastAsia="zh-CN"/>
        </w:rPr>
      </w:pPr>
    </w:p>
    <w:p/>
    <w:p/>
    <w:p/>
    <w:p/>
    <w:p/>
    <w:sectPr>
      <w:headerReference r:id="rId88" w:type="default"/>
      <w:footerReference r:id="rId89"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ngLiU">
    <w:altName w:val="PMingLiU-ExtB"/>
    <w:panose1 w:val="02020509000000000000"/>
    <w:charset w:val="88"/>
    <w:family w:val="auto"/>
    <w:pitch w:val="default"/>
    <w:sig w:usb0="00000000" w:usb1="00000000" w:usb2="00000016" w:usb3="00000000" w:csb0="00100001" w:csb1="00000000"/>
  </w:font>
  <w:font w:name="微软雅黑">
    <w:panose1 w:val="020B0503020204020204"/>
    <w:charset w:val="86"/>
    <w:family w:val="auto"/>
    <w:pitch w:val="default"/>
    <w:sig w:usb0="80000287" w:usb1="2ACF3C50" w:usb2="00000016" w:usb3="00000000" w:csb0="0004001F" w:csb1="00000000"/>
  </w:font>
  <w:font w:name="Cambria Math">
    <w:panose1 w:val="02040503050406030204"/>
    <w:charset w:val="00"/>
    <w:family w:val="auto"/>
    <w:pitch w:val="default"/>
    <w:sig w:usb0="E00006FF" w:usb1="420024FF" w:usb2="02000000" w:usb3="00000000" w:csb0="2000019F" w:csb1="00000000"/>
  </w:font>
  <w:font w:name="Arial Unicode MS">
    <w:altName w:val="宋体"/>
    <w:panose1 w:val="020B0604020202020204"/>
    <w:charset w:val="86"/>
    <w:family w:val="swiss"/>
    <w:pitch w:val="default"/>
    <w:sig w:usb0="00000000" w:usb1="00000000" w:usb2="0000003F" w:usb3="00000000" w:csb0="603F01FF" w:csb1="FFFF0000"/>
  </w:font>
  <w:font w:name="等线">
    <w:panose1 w:val="02010600030101010101"/>
    <w:charset w:val="86"/>
    <w:family w:val="auto"/>
    <w:pitch w:val="default"/>
    <w:sig w:usb0="A00002BF" w:usb1="38CF7CFA" w:usb2="00000016" w:usb3="00000000" w:csb0="0004000F" w:csb1="00000000"/>
  </w:font>
  <w:font w:name="Wingdings 2">
    <w:altName w:val="Wingdings"/>
    <w:panose1 w:val="05020102010507070707"/>
    <w:charset w:val="02"/>
    <w:family w:val="auto"/>
    <w:pitch w:val="default"/>
    <w:sig w:usb0="00000000" w:usb1="00000000" w:usb2="00000000" w:usb3="00000000" w:csb0="80000000" w:csb1="00000000"/>
  </w:font>
  <w:font w:name="Italic">
    <w:altName w:val="Segoe Print"/>
    <w:panose1 w:val="00000400000000000000"/>
    <w:charset w:val="00"/>
    <w:family w:val="auto"/>
    <w:pitch w:val="default"/>
    <w:sig w:usb0="00000000" w:usb1="00000000" w:usb2="00000000" w:usb3="00000000" w:csb0="000001FF"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54848" behindDoc="0" locked="0" layoutInCell="1" allowOverlap="1">
              <wp:simplePos x="0" y="0"/>
              <wp:positionH relativeFrom="column">
                <wp:posOffset>10795</wp:posOffset>
              </wp:positionH>
              <wp:positionV relativeFrom="paragraph">
                <wp:posOffset>-73025</wp:posOffset>
              </wp:positionV>
              <wp:extent cx="5264150" cy="16510"/>
              <wp:effectExtent l="0" t="4445" r="12700" b="7620"/>
              <wp:wrapNone/>
              <wp:docPr id="1" name="直接连接符 1"/>
              <wp:cNvGraphicFramePr/>
              <a:graphic xmlns:a="http://schemas.openxmlformats.org/drawingml/2006/main">
                <a:graphicData uri="http://schemas.microsoft.com/office/word/2010/wordprocessingShape">
                  <wps:wsp>
                    <wps:cNvCnPr/>
                    <wps:spPr>
                      <a:xfrm flipV="1">
                        <a:off x="1153795" y="9849485"/>
                        <a:ext cx="5264150" cy="165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75pt;height:1.3pt;width:414.5pt;z-index:251854848;mso-width-relative:page;mso-height-relative:page;" filled="f" stroked="t" coordsize="21600,21600" o:gfxdata="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gl1/D9UAAAAIAQAADwAA&#10;AAAAAAABACAAAAAiAAAAZHJzL2Rvd25yZXYueG1sUEsBAhQAFAAAAAgAh07iQPnREsrgAQAAfQMA&#10;AA4AAAAAAAAAAQAgAAAAJAEAAGRycy9lMm9Eb2MueG1sUEsFBgAAAAAGAAYAWQEAAHYFAA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538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538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AF3HKwEwIAABMEAAAOAAAAAAAAAAEA&#10;IAAAAB8BAABkcnMvZTJvRG9jLnhtbFBLBQYAAAAABgAGAFkBAACk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p>
    <w:pPr>
      <w:pStyle w:val="1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700224" behindDoc="0" locked="0" layoutInCell="1" allowOverlap="1">
              <wp:simplePos x="0" y="0"/>
              <wp:positionH relativeFrom="column">
                <wp:posOffset>19050</wp:posOffset>
              </wp:positionH>
              <wp:positionV relativeFrom="paragraph">
                <wp:posOffset>-86995</wp:posOffset>
              </wp:positionV>
              <wp:extent cx="8832850" cy="30480"/>
              <wp:effectExtent l="0" t="4445" r="6350" b="22225"/>
              <wp:wrapNone/>
              <wp:docPr id="23" name="直接连接符 23"/>
              <wp:cNvGraphicFramePr/>
              <a:graphic xmlns:a="http://schemas.openxmlformats.org/drawingml/2006/main">
                <a:graphicData uri="http://schemas.microsoft.com/office/word/2010/wordprocessingShape">
                  <wps:wsp>
                    <wps:cNvCnPr/>
                    <wps:spPr>
                      <a:xfrm flipV="1">
                        <a:off x="1153795" y="9849485"/>
                        <a:ext cx="8832850" cy="304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1.5pt;margin-top:-6.85pt;height:2.4pt;width:695.5pt;z-index:251700224;mso-width-relative:page;mso-height-relative:page;" filled="f" stroked="t" coordsize="21600,21600" o:gfxdata="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KE7xENcAAAAJAQAA&#10;DwAAAAAAAAABACAAAAAiAAAAZHJzL2Rvd25yZXYueG1sUEsBAhQAFAAAAAgAh07iQPOoNKfhAQAA&#10;fwMAAA4AAAAAAAAAAQAgAAAAJgEAAGRycy9lMm9Eb2MueG1sUEsFBgAAAAAGAAYAWQEAAHkFAAAA&#10;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92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BDUXUUAgAAF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0ENRdRQCAAAXBAAADgAAAAAAAAAB&#10;ACAAAAAfAQAAZHJzL2Uyb0RvYy54bWxQSwUGAAAAAAYABgBZAQAApQ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702272"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113" name="直接连接符 113"/>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702272;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Lzt13WAAAACAEA&#10;AA8AAAAAAAAAAQAgAAAAIgAAAGRycy9kb3ducmV2LnhtbFBLAQIUABQAAAAIAIdO4kBDHYl74wEA&#10;AIEDAAAOAAAAAAAAAAEAIAAAACUBAABkcnMvZTJvRG9jLnhtbFBLBQYAAAAABgAGAFkBAAB6BQAA&#10;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012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12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jG9IgVAgAAFw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CjG9IgVAgAAFw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716608" behindDoc="0" locked="0" layoutInCell="1" allowOverlap="1">
              <wp:simplePos x="0" y="0"/>
              <wp:positionH relativeFrom="column">
                <wp:posOffset>10795</wp:posOffset>
              </wp:positionH>
              <wp:positionV relativeFrom="paragraph">
                <wp:posOffset>-81280</wp:posOffset>
              </wp:positionV>
              <wp:extent cx="8839200" cy="24765"/>
              <wp:effectExtent l="0" t="4445" r="0" b="8890"/>
              <wp:wrapNone/>
              <wp:docPr id="118" name="直接连接符 118"/>
              <wp:cNvGraphicFramePr/>
              <a:graphic xmlns:a="http://schemas.openxmlformats.org/drawingml/2006/main">
                <a:graphicData uri="http://schemas.microsoft.com/office/word/2010/wordprocessingShape">
                  <wps:wsp>
                    <wps:cNvCnPr/>
                    <wps:spPr>
                      <a:xfrm flipV="1">
                        <a:off x="1153795" y="9849485"/>
                        <a:ext cx="8839200" cy="247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6.4pt;height:1.95pt;width:696pt;z-index:251716608;mso-width-relative:page;mso-height-relative:page;" filled="f" stroked="t" coordsize="21600,21600" o:gfxdata="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MEM7V0wAAAAkBAAAPAAAA&#10;AAAAAAEAIAAAACIAAABkcnMvZG93bnJldi54bWxQSwECFAAUAAAACACHTuJA1Lbh5uEBAACBAwAA&#10;DgAAAAAAAAABACAAAAAiAQAAZHJzL2Uyb0RvYy54bWxQSwUGAAAAAAYABgBZAQAAdQUA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155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55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YWH6AVAgAAFwQAAA4AAABkcnMvZTJvRG9jLnhtbK1Ty47TMBTdI/EP&#10;lvc0adG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LYWH6AVAgAAFw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40512"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322" name="直接连接符 322"/>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840512;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y87dd1gAAAAgB&#10;AAAPAAAAAAAAAAEAIAAAACIAAABkcnMvZG93bnJldi54bWxQSwECFAAUAAAACACHTuJAijifQOQB&#10;AACBAwAADgAAAAAAAAABACAAAAAlAQAAZHJzL2Uyb0RvYy54bWxQSwUGAAAAAAYABgBZAQAAewUA&#10;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394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23" name="文本框 3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94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kMQfU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722752" behindDoc="0" locked="0" layoutInCell="1" allowOverlap="1">
              <wp:simplePos x="0" y="0"/>
              <wp:positionH relativeFrom="column">
                <wp:posOffset>10795</wp:posOffset>
              </wp:positionH>
              <wp:positionV relativeFrom="paragraph">
                <wp:posOffset>-66040</wp:posOffset>
              </wp:positionV>
              <wp:extent cx="8844280" cy="9525"/>
              <wp:effectExtent l="0" t="0" r="0" b="0"/>
              <wp:wrapNone/>
              <wp:docPr id="350" name="直接连接符 350"/>
              <wp:cNvGraphicFramePr/>
              <a:graphic xmlns:a="http://schemas.openxmlformats.org/drawingml/2006/main">
                <a:graphicData uri="http://schemas.microsoft.com/office/word/2010/wordprocessingShape">
                  <wps:wsp>
                    <wps:cNvCnPr/>
                    <wps:spPr>
                      <a:xfrm flipV="1">
                        <a:off x="1153795" y="9849485"/>
                        <a:ext cx="884428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2pt;height:0.75pt;width:696.4pt;z-index:251722752;mso-width-relative:page;mso-height-relative:page;" filled="f" stroked="t" coordsize="21600,21600" o:gfxdata="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WdNKftcAAAAJAQAA&#10;DwAAAAAAAAABACAAAAAiAAAAZHJzL2Rvd25yZXYueG1sUEsBAhQAFAAAAAgAh07iQEvVFFjhAQAA&#10;gAMAAA4AAAAAAAAAAQAgAAAAJgEAAGRycy9lMm9Eb2MueG1sUEsFBgAAAAAGAAYAWQEAAHkFAAAA&#10;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21728" behindDoc="0" locked="0" layoutInCell="1" allowOverlap="1">
              <wp:simplePos x="0" y="0"/>
              <wp:positionH relativeFrom="margin">
                <wp:align>center</wp:align>
              </wp:positionH>
              <wp:positionV relativeFrom="paragraph">
                <wp:posOffset>0</wp:posOffset>
              </wp:positionV>
              <wp:extent cx="1828800" cy="1828800"/>
              <wp:effectExtent l="0" t="0" r="0" b="0"/>
              <wp:wrapNone/>
              <wp:docPr id="351" name="文本框 3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17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C0tixf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725824"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352" name="直接连接符 352"/>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725824;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y87dd1gAAAAgB&#10;AAAPAAAAAAAAAAEAIAAAACIAAABkcnMvZG93bnJldi54bWxQSwECFAAUAAAACACHTuJAlurteuQB&#10;AACBAwAADgAAAAAAAAABACAAAAAlAQAAZHJzL2Uyb0RvYy54bWxQSwUGAAAAAAYABgBZAQAAewUA&#10;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24800" behindDoc="0" locked="0" layoutInCell="1" allowOverlap="1">
              <wp:simplePos x="0" y="0"/>
              <wp:positionH relativeFrom="margin">
                <wp:align>center</wp:align>
              </wp:positionH>
              <wp:positionV relativeFrom="paragraph">
                <wp:posOffset>0</wp:posOffset>
              </wp:positionV>
              <wp:extent cx="1828800" cy="1828800"/>
              <wp:effectExtent l="0" t="0" r="0" b="0"/>
              <wp:wrapNone/>
              <wp:docPr id="353" name="文本框 3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48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AjyGC9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728896" behindDoc="0" locked="0" layoutInCell="1" allowOverlap="1">
              <wp:simplePos x="0" y="0"/>
              <wp:positionH relativeFrom="column">
                <wp:posOffset>10795</wp:posOffset>
              </wp:positionH>
              <wp:positionV relativeFrom="paragraph">
                <wp:posOffset>-84455</wp:posOffset>
              </wp:positionV>
              <wp:extent cx="8822690" cy="27940"/>
              <wp:effectExtent l="0" t="4445" r="16510" b="5715"/>
              <wp:wrapNone/>
              <wp:docPr id="389" name="直接连接符 389"/>
              <wp:cNvGraphicFramePr/>
              <a:graphic xmlns:a="http://schemas.openxmlformats.org/drawingml/2006/main">
                <a:graphicData uri="http://schemas.microsoft.com/office/word/2010/wordprocessingShape">
                  <wps:wsp>
                    <wps:cNvCnPr/>
                    <wps:spPr>
                      <a:xfrm flipV="1">
                        <a:off x="1153795" y="9849485"/>
                        <a:ext cx="8822690" cy="279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6.65pt;height:2.2pt;width:694.7pt;z-index:251728896;mso-width-relative:page;mso-height-relative:page;" filled="f" stroked="t" coordsize="21600,21600" o:gfxdata="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zdizYdYAAAAJAQAA&#10;DwAAAAAAAAABACAAAAAiAAAAZHJzL2Rvd25yZXYueG1sUEsBAhQAFAAAAAgAh07iQJi9HZ/iAQAA&#10;gQMAAA4AAAAAAAAAAQAgAAAAJQEAAGRycy9lMm9Eb2MueG1sUEsFBgAAAAAGAAYAWQEAAHkFAAAA&#10;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27872" behindDoc="0" locked="0" layoutInCell="1" allowOverlap="1">
              <wp:simplePos x="0" y="0"/>
              <wp:positionH relativeFrom="margin">
                <wp:align>center</wp:align>
              </wp:positionH>
              <wp:positionV relativeFrom="paragraph">
                <wp:posOffset>0</wp:posOffset>
              </wp:positionV>
              <wp:extent cx="1828800" cy="1828800"/>
              <wp:effectExtent l="0" t="0" r="0" b="0"/>
              <wp:wrapNone/>
              <wp:docPr id="390" name="文本框 3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278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0lY7tAAAAAFAQAADwAAAAAAAAAB&#10;ACAAAAAiAAAAZHJzL2Rvd25yZXYueG1sUEsBAhQAFAAAAAgAh07iQMiz9H8YAgAAFwQAAA4AAAAA&#10;AAAAAQAgAAAAHwEAAGRycy9lMm9Eb2MueG1sUEsFBgAAAAAGAAYAWQEAAKk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731968"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391" name="直接连接符 391"/>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731968;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y87dd1gAAAAgB&#10;AAAPAAAAAAAAAAEAIAAAACIAAABkcnMvZG93bnJldi54bWxQSwECFAAUAAAACACHTuJAML8OL+QB&#10;AACBAwAADgAAAAAAAAABACAAAAAlAQAAZHJzL2Uyb0RvYy54bWxQSwUGAAAAAAYABgBZAQAAewUA&#10;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30944" behindDoc="0" locked="0" layoutInCell="1" allowOverlap="1">
              <wp:simplePos x="0" y="0"/>
              <wp:positionH relativeFrom="margin">
                <wp:align>center</wp:align>
              </wp:positionH>
              <wp:positionV relativeFrom="paragraph">
                <wp:posOffset>0</wp:posOffset>
              </wp:positionV>
              <wp:extent cx="1828800" cy="1828800"/>
              <wp:effectExtent l="0" t="0" r="0" b="0"/>
              <wp:wrapNone/>
              <wp:docPr id="392" name="文本框 3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09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NuJ0WAgAAFwQAAA4AAABkcnMvZTJvRG9jLnhtbK1Ty47TMBTdI/EP&#10;lvc0aUeMSt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fzbid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735040" behindDoc="0" locked="0" layoutInCell="1" allowOverlap="1">
              <wp:simplePos x="0" y="0"/>
              <wp:positionH relativeFrom="column">
                <wp:posOffset>10795</wp:posOffset>
              </wp:positionH>
              <wp:positionV relativeFrom="paragraph">
                <wp:posOffset>-80010</wp:posOffset>
              </wp:positionV>
              <wp:extent cx="8856345" cy="23495"/>
              <wp:effectExtent l="0" t="4445" r="1905" b="10160"/>
              <wp:wrapNone/>
              <wp:docPr id="394" name="直接连接符 394"/>
              <wp:cNvGraphicFramePr/>
              <a:graphic xmlns:a="http://schemas.openxmlformats.org/drawingml/2006/main">
                <a:graphicData uri="http://schemas.microsoft.com/office/word/2010/wordprocessingShape">
                  <wps:wsp>
                    <wps:cNvCnPr/>
                    <wps:spPr>
                      <a:xfrm flipV="1">
                        <a:off x="1153795" y="9849485"/>
                        <a:ext cx="8856345" cy="234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6.3pt;height:1.85pt;width:697.35pt;z-index:251735040;mso-width-relative:page;mso-height-relative:page;" filled="f" stroked="t" coordsize="21600,21600" o:gfxdata="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NjnXAnXAAAACQEA&#10;AA8AAAAAAAAAAQAgAAAAIgAAAGRycy9kb3ducmV2LnhtbFBLAQIUABQAAAAIAIdO4kCFJOvn4gEA&#10;AIEDAAAOAAAAAAAAAAEAIAAAACYBAABkcnMvZTJvRG9jLnhtbFBLBQYAAAAABgAGAFkBAAB6BQAA&#10;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34016" behindDoc="0" locked="0" layoutInCell="1" allowOverlap="1">
              <wp:simplePos x="0" y="0"/>
              <wp:positionH relativeFrom="margin">
                <wp:align>center</wp:align>
              </wp:positionH>
              <wp:positionV relativeFrom="paragraph">
                <wp:posOffset>0</wp:posOffset>
              </wp:positionV>
              <wp:extent cx="1828800" cy="1828800"/>
              <wp:effectExtent l="0" t="0" r="0" b="0"/>
              <wp:wrapNone/>
              <wp:docPr id="395" name="文本框 3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40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M9IP8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739136"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396" name="直接连接符 396"/>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739136;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y87dd1gAAAAgB&#10;AAAPAAAAAAAAAAEAIAAAACIAAABkcnMvZG93bnJldi54bWxQSwECFAAUAAAACACHTuJAUW2N6OQB&#10;AACBAwAADgAAAAAAAAABACAAAAAlAQAAZHJzL2Uyb0RvYy54bWxQSwUGAAAAAAYABgBZAQAAewUA&#10;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381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97" name="文本框 3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81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bis8e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663360" behindDoc="0" locked="0" layoutInCell="1" allowOverlap="1">
              <wp:simplePos x="0" y="0"/>
              <wp:positionH relativeFrom="column">
                <wp:posOffset>10795</wp:posOffset>
              </wp:positionH>
              <wp:positionV relativeFrom="paragraph">
                <wp:posOffset>-64770</wp:posOffset>
              </wp:positionV>
              <wp:extent cx="8846185" cy="8255"/>
              <wp:effectExtent l="0" t="0" r="0" b="0"/>
              <wp:wrapNone/>
              <wp:docPr id="5" name="直接连接符 5"/>
              <wp:cNvGraphicFramePr/>
              <a:graphic xmlns:a="http://schemas.openxmlformats.org/drawingml/2006/main">
                <a:graphicData uri="http://schemas.microsoft.com/office/word/2010/wordprocessingShape">
                  <wps:wsp>
                    <wps:cNvCnPr/>
                    <wps:spPr>
                      <a:xfrm flipV="1">
                        <a:off x="1153795" y="9849485"/>
                        <a:ext cx="8846185" cy="8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1pt;height:0.65pt;width:696.55pt;z-index:251663360;mso-width-relative:page;mso-height-relative:page;" filled="f" stroked="t" coordsize="21600,21600" o:gfxdata="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BcLxwfWAAAACQEAAA8A&#10;AAAAAAAAAQAgAAAAIgAAAGRycy9kb3ducmV2LnhtbFBLAQIUABQAAAAIAIdO4kCV6Y9F4AEAAHwD&#10;AAAOAAAAAAAAAAEAIAAAACUBAABkcnMvZTJvRG9jLnhtbFBLBQYAAAAABgAGAFkBAAB3BQA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NTVs2AVAgAAEw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42560" behindDoc="0" locked="0" layoutInCell="1" allowOverlap="1">
              <wp:simplePos x="0" y="0"/>
              <wp:positionH relativeFrom="column">
                <wp:posOffset>10795</wp:posOffset>
              </wp:positionH>
              <wp:positionV relativeFrom="paragraph">
                <wp:posOffset>-67945</wp:posOffset>
              </wp:positionV>
              <wp:extent cx="8855075" cy="11430"/>
              <wp:effectExtent l="0" t="4445" r="3175" b="12700"/>
              <wp:wrapNone/>
              <wp:docPr id="331" name="直接连接符 331"/>
              <wp:cNvGraphicFramePr/>
              <a:graphic xmlns:a="http://schemas.openxmlformats.org/drawingml/2006/main">
                <a:graphicData uri="http://schemas.microsoft.com/office/word/2010/wordprocessingShape">
                  <wps:wsp>
                    <wps:cNvCnPr/>
                    <wps:spPr>
                      <a:xfrm flipV="1">
                        <a:off x="1153795" y="9849485"/>
                        <a:ext cx="8855075" cy="114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35pt;height:0.9pt;width:697.25pt;z-index:251842560;mso-width-relative:page;mso-height-relative:page;" filled="f" stroked="t" coordsize="21600,21600" o:gfxdata="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FUJX11gAAAAkB&#10;AAAPAAAAAAAAAAEAIAAAACIAAABkcnMvZG93bnJldi54bWxQSwECFAAUAAAACACHTuJA6dvXyuQB&#10;AACBAwAADgAAAAAAAAABACAAAAAlAQAAZHJzL2Uyb0RvYy54bWxQSwUGAAAAAAYABgBZAQAAewUA&#10;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415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32" name="文本框 3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15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jq2WS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44608"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333" name="直接连接符 333"/>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844608;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y87dd1gAAAAgB&#10;AAAPAAAAAAAAAAEAIAAAACIAAABkcnMvZG93bnJldi54bWxQSwECFAAUAAAACACHTuJA2I3kq+QB&#10;AACBAwAADgAAAAAAAAABACAAAAAlAQAAZHJzL2Uyb0RvYy54bWxQSwUGAAAAAAYABgBZAQAAewUA&#10;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435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4" name="文本框 3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35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AbLsBv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766784" behindDoc="0" locked="0" layoutInCell="1" allowOverlap="1">
              <wp:simplePos x="0" y="0"/>
              <wp:positionH relativeFrom="column">
                <wp:posOffset>10795</wp:posOffset>
              </wp:positionH>
              <wp:positionV relativeFrom="paragraph">
                <wp:posOffset>-66675</wp:posOffset>
              </wp:positionV>
              <wp:extent cx="8847455" cy="10160"/>
              <wp:effectExtent l="0" t="4445" r="10795" b="13970"/>
              <wp:wrapNone/>
              <wp:docPr id="141" name="直接连接符 141"/>
              <wp:cNvGraphicFramePr/>
              <a:graphic xmlns:a="http://schemas.openxmlformats.org/drawingml/2006/main">
                <a:graphicData uri="http://schemas.microsoft.com/office/word/2010/wordprocessingShape">
                  <wps:wsp>
                    <wps:cNvCnPr/>
                    <wps:spPr>
                      <a:xfrm flipV="1">
                        <a:off x="1153795" y="9849485"/>
                        <a:ext cx="8847455" cy="10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25pt;height:0.8pt;width:696.65pt;z-index:251766784;mso-width-relative:page;mso-height-relative:page;" filled="f" stroked="t" coordsize="21600,21600" o:gfxdata="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F9JwvDWAAAACQEA&#10;AA8AAAAAAAAAAQAgAAAAIgAAAGRycy9kb3ducmV2LnhtbFBLAQIUABQAAAAIAIdO4kBKh4Tp4wEA&#10;AIEDAAAOAAAAAAAAAAEAIAAAACUBAABkcnMvZTJvRG9jLnhtbFBLBQYAAAAABgAGAFkBAAB6BQAA&#10;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657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57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VMIe4VAgAAFwQAAA4AAABkcnMvZTJvRG9jLnhtbK1Ty47TMBTdI/EP&#10;lvc0aQdG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OVMIe4VAgAAFw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770880"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144" name="直接连接符 144"/>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770880;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Lzt13WAAAACAEA&#10;AA8AAAAAAAAAAQAgAAAAIgAAAGRycy9kb3ducmV2LnhtbFBLAQIUABQAAAAIAIdO4kAtS//S4wEA&#10;AIEDAAAOAAAAAAAAAAEAIAAAACUBAABkcnMvZTJvRG9jLnhtbFBLBQYAAAAABgAGAFkBAAB6BQAA&#10;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698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698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3JhBMVAgAAFwQAAA4AAABkcnMvZTJvRG9jLnhtbK1Ty47TMBTdI/EP&#10;lvc0aWFG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B3JhBMVAgAAFw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52800" behindDoc="0" locked="0" layoutInCell="1" allowOverlap="1">
              <wp:simplePos x="0" y="0"/>
              <wp:positionH relativeFrom="column">
                <wp:posOffset>10795</wp:posOffset>
              </wp:positionH>
              <wp:positionV relativeFrom="paragraph">
                <wp:posOffset>-86360</wp:posOffset>
              </wp:positionV>
              <wp:extent cx="8854440" cy="29845"/>
              <wp:effectExtent l="0" t="4445" r="3810" b="22860"/>
              <wp:wrapNone/>
              <wp:docPr id="398" name="直接连接符 398"/>
              <wp:cNvGraphicFramePr/>
              <a:graphic xmlns:a="http://schemas.openxmlformats.org/drawingml/2006/main">
                <a:graphicData uri="http://schemas.microsoft.com/office/word/2010/wordprocessingShape">
                  <wps:wsp>
                    <wps:cNvCnPr/>
                    <wps:spPr>
                      <a:xfrm flipV="1">
                        <a:off x="1153795" y="9849485"/>
                        <a:ext cx="8854440" cy="298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6.8pt;height:2.35pt;width:697.2pt;z-index:251852800;mso-width-relative:page;mso-height-relative:page;" filled="f" stroked="t" coordsize="21600,21600" o:gfxdata="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PmoZi9YAAAAJAQAA&#10;DwAAAAAAAAABACAAAAAiAAAAZHJzL2Rvd25yZXYueG1sUEsBAhQAFAAAAAgAh07iQEvICVziAQAA&#10;gQMAAA4AAAAAAAAAAQAgAAAAJQEAAGRycy9lMm9Eb2MueG1sUEsFBgAAAAAGAAYAWQEAAHkFAAAA&#10;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51776" behindDoc="0" locked="0" layoutInCell="1" allowOverlap="1">
              <wp:simplePos x="0" y="0"/>
              <wp:positionH relativeFrom="margin">
                <wp:align>center</wp:align>
              </wp:positionH>
              <wp:positionV relativeFrom="paragraph">
                <wp:posOffset>0</wp:posOffset>
              </wp:positionV>
              <wp:extent cx="1828800" cy="1828800"/>
              <wp:effectExtent l="0" t="0" r="0" b="0"/>
              <wp:wrapNone/>
              <wp:docPr id="399" name="文本框 3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517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9+bnc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50752"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356" name="直接连接符 356"/>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850752;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y87dd1gAAAAgB&#10;AAAPAAAAAAAAAAEAIAAAACIAAABkcnMvZG93bnJldi54bWxQSwECFAAUAAAACACHTuJAep/vyOQB&#10;AACBAwAADgAAAAAAAAABACAAAAAlAQAAZHJzL2Uyb0RvYy54bWxQSwUGAAAAAAYABgBZAQAAewUA&#10;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49728" behindDoc="0" locked="0" layoutInCell="1" allowOverlap="1">
              <wp:simplePos x="0" y="0"/>
              <wp:positionH relativeFrom="margin">
                <wp:align>center</wp:align>
              </wp:positionH>
              <wp:positionV relativeFrom="paragraph">
                <wp:posOffset>0</wp:posOffset>
              </wp:positionV>
              <wp:extent cx="1828800" cy="1828800"/>
              <wp:effectExtent l="0" t="0" r="0" b="0"/>
              <wp:wrapNone/>
              <wp:docPr id="357" name="文本框 3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97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MM4mi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00576" behindDoc="0" locked="0" layoutInCell="1" allowOverlap="1">
              <wp:simplePos x="0" y="0"/>
              <wp:positionH relativeFrom="column">
                <wp:posOffset>10795</wp:posOffset>
              </wp:positionH>
              <wp:positionV relativeFrom="paragraph">
                <wp:posOffset>-78105</wp:posOffset>
              </wp:positionV>
              <wp:extent cx="8860790" cy="21590"/>
              <wp:effectExtent l="0" t="4445" r="16510" b="12065"/>
              <wp:wrapNone/>
              <wp:docPr id="226" name="直接连接符 226"/>
              <wp:cNvGraphicFramePr/>
              <a:graphic xmlns:a="http://schemas.openxmlformats.org/drawingml/2006/main">
                <a:graphicData uri="http://schemas.microsoft.com/office/word/2010/wordprocessingShape">
                  <wps:wsp>
                    <wps:cNvCnPr/>
                    <wps:spPr>
                      <a:xfrm flipV="1">
                        <a:off x="1153795" y="9849485"/>
                        <a:ext cx="8860790" cy="215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6.15pt;height:1.7pt;width:697.7pt;z-index:251800576;mso-width-relative:page;mso-height-relative:page;" filled="f" stroked="t" coordsize="21600,21600" o:gfxdata="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hK4fp1wAAAAkBAAAP&#10;AAAAAAAAAAEAIAAAACIAAABkcnMvZG93bnJldi54bWxQSwECFAAUAAAACACHTuJAziIuROABAACB&#10;AwAADgAAAAAAAAABACAAAAAmAQAAZHJzL2Uyb0RvYy54bWxQSwUGAAAAAAYABgBZAQAAeAUA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99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27" name="文本框 2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99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4bMI8WAgAAFwQAAA4AAABkcnMvZTJvRG9jLnhtbK1Ty47TMBTdI/EP&#10;lvc0aRFD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eGzCP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03648"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230" name="直接连接符 230"/>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803648;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Lzt13WAAAACAEA&#10;AA8AAAAAAAAAAQAgAAAAIgAAAGRycy9kb3ducmV2LnhtbFBLAQIUABQAAAAIAIdO4kARSRCc4wEA&#10;AIEDAAAOAAAAAAAAAAEAIAAAACUBAABkcnMvZTJvRG9jLnhtbFBLBQYAAAAABgAGAFkBAAB6BQAA&#10;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02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1" name="文本框 2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02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q4aagWAgAAFw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KuGmo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6120" w:firstLineChars="3400"/>
      <w:rPr>
        <w:rFonts w:hint="default"/>
        <w:lang w:val="en-US"/>
      </w:rPr>
    </w:pPr>
    <w:r>
      <w:rPr>
        <w:sz w:val="18"/>
      </w:rPr>
      <mc:AlternateContent>
        <mc:Choice Requires="wps">
          <w:drawing>
            <wp:anchor distT="0" distB="0" distL="114300" distR="114300" simplePos="0" relativeHeight="251784192"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150" name="直接连接符 150"/>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784192;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8vO3XdYAAAAIAQAA&#10;DwAAAAAAAAABACAAAAAiAAAAZHJzL2Rvd25yZXYueG1sUEsBAhQAFAAAAAgAh07iQOgWBqfiAQAA&#10;gQMAAA4AAAAAAAAAAQAgAAAAJQEAAGRycy9lMm9Eb2MueG1sUEsFBgAAAAAGAAYAWQEAAHkFAAAA&#10;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831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31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Be6NhwVAgAAFw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11700" w:firstLineChars="6500"/>
      <w:rPr>
        <w:rFonts w:hint="default"/>
        <w:lang w:val="en-US"/>
      </w:rPr>
    </w:pPr>
    <w:r>
      <w:rPr>
        <w:sz w:val="18"/>
      </w:rPr>
      <mc:AlternateContent>
        <mc:Choice Requires="wps">
          <w:drawing>
            <wp:anchor distT="0" distB="0" distL="114300" distR="114300" simplePos="0" relativeHeight="251815936" behindDoc="0" locked="0" layoutInCell="1" allowOverlap="1">
              <wp:simplePos x="0" y="0"/>
              <wp:positionH relativeFrom="column">
                <wp:posOffset>10795</wp:posOffset>
              </wp:positionH>
              <wp:positionV relativeFrom="paragraph">
                <wp:posOffset>-58420</wp:posOffset>
              </wp:positionV>
              <wp:extent cx="8837295" cy="1905"/>
              <wp:effectExtent l="0" t="0" r="0" b="0"/>
              <wp:wrapNone/>
              <wp:docPr id="273" name="直接连接符 273"/>
              <wp:cNvGraphicFramePr/>
              <a:graphic xmlns:a="http://schemas.openxmlformats.org/drawingml/2006/main">
                <a:graphicData uri="http://schemas.microsoft.com/office/word/2010/wordprocessingShape">
                  <wps:wsp>
                    <wps:cNvCnPr/>
                    <wps:spPr>
                      <a:xfrm flipV="1">
                        <a:off x="1153795" y="9849485"/>
                        <a:ext cx="8837295" cy="19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4.6pt;height:0.15pt;width:695.85pt;z-index:251815936;mso-width-relative:page;mso-height-relative:page;" filled="f" stroked="t" coordsize="21600,21600" o:gfxdata="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xcafwtYAAAAIAQAA&#10;DwAAAAAAAAABACAAAAAiAAAAZHJzL2Rvd25yZXYueG1sUEsBAhQAFAAAAAgAh07iQFgMjHziAQAA&#10;gAMAAA4AAAAAAAAAAQAgAAAAJQEAAGRycy9lMm9Eb2MueG1sUEsFBgAAAAAGAAYAWQEAAHkFAAAA&#10;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14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74" name="文本框 2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14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8agz2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665408" behindDoc="0" locked="0" layoutInCell="1" allowOverlap="1">
              <wp:simplePos x="0" y="0"/>
              <wp:positionH relativeFrom="column">
                <wp:posOffset>10795</wp:posOffset>
              </wp:positionH>
              <wp:positionV relativeFrom="paragraph">
                <wp:posOffset>-64770</wp:posOffset>
              </wp:positionV>
              <wp:extent cx="5270500" cy="8255"/>
              <wp:effectExtent l="0" t="0" r="0" b="0"/>
              <wp:wrapNone/>
              <wp:docPr id="8" name="直接连接符 8"/>
              <wp:cNvGraphicFramePr/>
              <a:graphic xmlns:a="http://schemas.openxmlformats.org/drawingml/2006/main">
                <a:graphicData uri="http://schemas.microsoft.com/office/word/2010/wordprocessingShape">
                  <wps:wsp>
                    <wps:cNvCnPr/>
                    <wps:spPr>
                      <a:xfrm flipV="1">
                        <a:off x="1153795" y="9849485"/>
                        <a:ext cx="5270500" cy="8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1pt;height:0.65pt;width:415pt;z-index:251665408;mso-width-relative:page;mso-height-relative:page;" filled="f" stroked="t" coordsize="21600,21600" o:gfxdata="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plIrS1AAAAAgBAAAPAAAA&#10;AAAAAAEAIAAAACIAAABkcnMvZG93bnJldi54bWxQSwECFAAUAAAACACHTuJA57eMPuABAAB8AwAA&#10;DgAAAAAAAAABACAAAAAjAQAAZHJzL2Uyb0RvYy54bWxQSwUGAAAAAAYABgBZAQAAdQUA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CPLFPAVAgAAEw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17984"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275" name="直接连接符 275"/>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817984;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Lzt13WAAAACAEA&#10;AA8AAAAAAAAAAQAgAAAAIgAAAGRycy9kb3ducmV2LnhtbFBLAQIUABQAAAAIAIdO4kCgDZyr4wEA&#10;AIEDAAAOAAAAAAAAAAEAIAAAACUBAABkcnMvZTJvRG9jLnhtbFBLBQYAAAAABgAGAFkBAAB6BQAA&#10;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16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76" name="文本框 2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16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rFEAU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20032" behindDoc="0" locked="0" layoutInCell="1" allowOverlap="1">
              <wp:simplePos x="0" y="0"/>
              <wp:positionH relativeFrom="column">
                <wp:posOffset>10795</wp:posOffset>
              </wp:positionH>
              <wp:positionV relativeFrom="paragraph">
                <wp:posOffset>-86995</wp:posOffset>
              </wp:positionV>
              <wp:extent cx="8837295" cy="30480"/>
              <wp:effectExtent l="0" t="4445" r="1905" b="22225"/>
              <wp:wrapNone/>
              <wp:docPr id="279" name="直接连接符 279"/>
              <wp:cNvGraphicFramePr/>
              <a:graphic xmlns:a="http://schemas.openxmlformats.org/drawingml/2006/main">
                <a:graphicData uri="http://schemas.microsoft.com/office/word/2010/wordprocessingShape">
                  <wps:wsp>
                    <wps:cNvCnPr/>
                    <wps:spPr>
                      <a:xfrm flipV="1">
                        <a:off x="1153795" y="9849485"/>
                        <a:ext cx="8837295" cy="304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6.85pt;height:2.4pt;width:695.85pt;z-index:251820032;mso-width-relative:page;mso-height-relative:page;" filled="f" stroked="t" coordsize="21600,21600" o:gfxdata="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wERgPWAAAACQEA&#10;AA8AAAAAAAAAAQAgAAAAIgAAAGRycy9kb3ducmV2LnhtbFBLAQIUABQAAAAIAIdO4kCEWZYB4wEA&#10;AIEDAAAOAAAAAAAAAAEAIAAAACUBAABkcnMvZTJvRG9jLnhtbFBLBQYAAAAABgAGAFkBAAB6BQAA&#10;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19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0" name="文本框 2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190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zSVju0AAAAAUBAAAPAAAAAAAAAAEA&#10;IAAAACIAAABkcnMvZG93bnJldi54bWxQSwECFAAUAAAACACHTuJA8UTW4RcCAAAXBAAADgAAAAAA&#10;AAABACAAAAAfAQAAZHJzL2Uyb0RvYy54bWxQSwUGAAAAAAYABgBZAQAAqA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22080"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281" name="直接连接符 281"/>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822080;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y87dd1gAAAAgB&#10;AAAPAAAAAAAAAAEAIAAAACIAAABkcnMvZG93bnJldi54bWxQSwECFAAUAAAACACHTuJAXfSAquQB&#10;AACBAwAADgAAAAAAAAABACAAAAAlAQAAZHJzL2Uyb0RvYy54bWxQSwUGAAAAAAYABgBZAQAAewUA&#10;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210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82" name="文本框 2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210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GY6mgMVAgAAFw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786240"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163" name="直接连接符 163"/>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786240;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Lzt13WAAAACAEA&#10;AA8AAAAAAAAAAQAgAAAAIgAAAGRycy9kb3ducmV2LnhtbFBLAQIUABQAAAAIAIdO4kBfz/tB4wEA&#10;AIEDAAAOAAAAAAAAAAEAIAAAACUBAABkcnMvZTJvRG9jLnhtbFBLBQYAAAAABgAGAFkBAAB6BQAA&#10;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7852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52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O8/k+EVAgAAFw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11700" w:firstLineChars="6500"/>
      <w:rPr>
        <w:rFonts w:hint="default"/>
        <w:lang w:val="en-US"/>
      </w:rPr>
    </w:pPr>
    <w:r>
      <w:rPr>
        <w:sz w:val="18"/>
      </w:rPr>
      <mc:AlternateContent>
        <mc:Choice Requires="wps">
          <w:drawing>
            <wp:anchor distT="0" distB="0" distL="114300" distR="114300" simplePos="0" relativeHeight="251824128" behindDoc="0" locked="0" layoutInCell="1" allowOverlap="1">
              <wp:simplePos x="0" y="0"/>
              <wp:positionH relativeFrom="column">
                <wp:posOffset>10795</wp:posOffset>
              </wp:positionH>
              <wp:positionV relativeFrom="paragraph">
                <wp:posOffset>-83185</wp:posOffset>
              </wp:positionV>
              <wp:extent cx="8831580" cy="26670"/>
              <wp:effectExtent l="0" t="4445" r="7620" b="6985"/>
              <wp:wrapNone/>
              <wp:docPr id="296" name="直接连接符 296"/>
              <wp:cNvGraphicFramePr/>
              <a:graphic xmlns:a="http://schemas.openxmlformats.org/drawingml/2006/main">
                <a:graphicData uri="http://schemas.microsoft.com/office/word/2010/wordprocessingShape">
                  <wps:wsp>
                    <wps:cNvCnPr/>
                    <wps:spPr>
                      <a:xfrm flipV="1">
                        <a:off x="1153795" y="9849485"/>
                        <a:ext cx="8831580" cy="266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6.55pt;height:2.1pt;width:695.4pt;z-index:251824128;mso-width-relative:page;mso-height-relative:page;" filled="f" stroked="t" coordsize="21600,21600" o:gfxdata="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0Jy92NcAAAAJ&#10;AQAADwAAAAAAAAABACAAAAAiAAAAZHJzL2Rvd25yZXYueG1sUEsBAhQAFAAAAAgAh07iQE4k69/k&#10;AQAAgQMAAA4AAAAAAAAAAQAgAAAAJgEAAGRycy9lMm9Eb2MueG1sUEsFBgAAAAAGAAYAWQEAAHwF&#10;AA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231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7" name="文本框 2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231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AOWxFa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6120" w:firstLineChars="3400"/>
      <w:rPr>
        <w:rFonts w:hint="default"/>
        <w:lang w:val="en-US"/>
      </w:rPr>
    </w:pPr>
    <w:r>
      <w:rPr>
        <w:sz w:val="18"/>
      </w:rPr>
      <mc:AlternateContent>
        <mc:Choice Requires="wps">
          <w:drawing>
            <wp:anchor distT="0" distB="0" distL="114300" distR="114300" simplePos="0" relativeHeight="251826176"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298" name="直接连接符 298"/>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826176;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y87dd1gAAAAgB&#10;AAAPAAAAAAAAAAEAIAAAACIAAABkcnMvZG93bnJldi54bWxQSwECFAAUAAAACACHTuJAlqyO/uQB&#10;AACBAwAADgAAAAAAAAABACAAAAAlAQAAZHJzL2Uyb0RvYy54bWxQSwUGAAAAAAYABgBZAQAAewUA&#10;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251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251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AoKGeY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11700" w:firstLineChars="6500"/>
      <w:rPr>
        <w:rFonts w:hint="default"/>
        <w:lang w:val="en-US"/>
      </w:rPr>
    </w:pPr>
    <w:r>
      <w:rPr>
        <w:sz w:val="18"/>
      </w:rPr>
      <mc:AlternateContent>
        <mc:Choice Requires="wps">
          <w:drawing>
            <wp:anchor distT="0" distB="0" distL="114300" distR="114300" simplePos="0" relativeHeight="251828224" behindDoc="0" locked="0" layoutInCell="1" allowOverlap="1">
              <wp:simplePos x="0" y="0"/>
              <wp:positionH relativeFrom="column">
                <wp:posOffset>10795</wp:posOffset>
              </wp:positionH>
              <wp:positionV relativeFrom="paragraph">
                <wp:posOffset>-71120</wp:posOffset>
              </wp:positionV>
              <wp:extent cx="8839835" cy="14605"/>
              <wp:effectExtent l="0" t="4445" r="18415" b="9525"/>
              <wp:wrapNone/>
              <wp:docPr id="283" name="直接连接符 283"/>
              <wp:cNvGraphicFramePr/>
              <a:graphic xmlns:a="http://schemas.openxmlformats.org/drawingml/2006/main">
                <a:graphicData uri="http://schemas.microsoft.com/office/word/2010/wordprocessingShape">
                  <wps:wsp>
                    <wps:cNvCnPr/>
                    <wps:spPr>
                      <a:xfrm flipV="1">
                        <a:off x="1153795" y="9849485"/>
                        <a:ext cx="883983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696.05pt;z-index:251828224;mso-width-relative:page;mso-height-relative:page;" filled="f" stroked="t" coordsize="21600,21600" o:gfxdata="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pgVGjtYAAAAJAQAA&#10;DwAAAAAAAAABACAAAAAiAAAAZHJzL2Rvd25yZXYueG1sUEsBAhQAFAAAAAgAh07iQMDx1ZDiAQAA&#10;gQMAAA4AAAAAAAAAAQAgAAAAJQEAAGRycy9lMm9Eb2MueG1sUEsFBgAAAAAGAAYAWQEAAHkFAAAA&#10;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272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84" name="文本框 2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272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P/4WAgAAFw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Cevz/+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6120" w:firstLineChars="3400"/>
      <w:rPr>
        <w:rFonts w:hint="default"/>
        <w:lang w:val="en-US"/>
      </w:rPr>
    </w:pPr>
    <w:r>
      <w:rPr>
        <w:sz w:val="18"/>
      </w:rPr>
      <mc:AlternateContent>
        <mc:Choice Requires="wps">
          <w:drawing>
            <wp:anchor distT="0" distB="0" distL="114300" distR="114300" simplePos="0" relativeHeight="251830272"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292" name="直接连接符 292"/>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830272;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y87dd1gAAAAgB&#10;AAAPAAAAAAAAAAEAIAAAACIAAABkcnMvZG93bnJldi54bWxQSwECFAAUAAAACACHTuJA+Xv6GOQB&#10;AACBAwAADgAAAAAAAAABACAAAAAlAQAAZHJzL2Uyb0RvYy54bWxQSwUGAAAAAAYABgBZAQAAewUA&#10;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29248" behindDoc="0" locked="0" layoutInCell="1" allowOverlap="1">
              <wp:simplePos x="0" y="0"/>
              <wp:positionH relativeFrom="margin">
                <wp:align>center</wp:align>
              </wp:positionH>
              <wp:positionV relativeFrom="paragraph">
                <wp:posOffset>0</wp:posOffset>
              </wp:positionV>
              <wp:extent cx="1828800" cy="1828800"/>
              <wp:effectExtent l="0" t="0" r="0" b="0"/>
              <wp:wrapNone/>
              <wp:docPr id="300" name="文本框 3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292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0lY7tAAAAAFAQAADwAAAAAAAAAB&#10;ACAAAAAiAAAAZHJzL2Rvd25yZXYueG1sUEsBAhQAFAAAAAgAh07iQIG5XMQYAgAAFwQAAA4AAAAA&#10;AAAAAQAgAAAAHwEAAGRycy9lMm9Eb2MueG1sUEsFBgAAAAAGAAYAWQEAAKk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6120" w:firstLineChars="3400"/>
      <w:rPr>
        <w:rFonts w:hint="default"/>
        <w:lang w:val="en-US"/>
      </w:rPr>
    </w:pPr>
    <w:r>
      <w:rPr>
        <w:sz w:val="18"/>
      </w:rPr>
      <mc:AlternateContent>
        <mc:Choice Requires="wps">
          <w:drawing>
            <wp:anchor distT="0" distB="0" distL="114300" distR="114300" simplePos="0" relativeHeight="251832320"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303" name="直接连接符 303"/>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832320;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y87dd1gAAAAgB&#10;AAAPAAAAAAAAAAEAIAAAACIAAABkcnMvZG93bnJldi54bWxQSwECFAAUAAAACACHTuJA4vOYOOQB&#10;AACBAwAADgAAAAAAAAABACAAAAAlAQAAZHJzL2Uyb0RvYy54bWxQSwUGAAAAAAYABgBZAQAAewUA&#10;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31296" behindDoc="0" locked="0" layoutInCell="1" allowOverlap="1">
              <wp:simplePos x="0" y="0"/>
              <wp:positionH relativeFrom="margin">
                <wp:align>center</wp:align>
              </wp:positionH>
              <wp:positionV relativeFrom="paragraph">
                <wp:posOffset>0</wp:posOffset>
              </wp:positionV>
              <wp:extent cx="1828800" cy="1828800"/>
              <wp:effectExtent l="0" t="0" r="0" b="0"/>
              <wp:wrapNone/>
              <wp:docPr id="304" name="文本框 3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12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5CtdsWAgAAFwQAAA4AAABkcnMvZTJvRG9jLnhtbK1Ty47TMBTdI/EP&#10;lvc0aQdG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uQrXb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34368"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305" name="直接连接符 305"/>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834368;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8vO3XdYAAAAIAQAA&#10;DwAAAAAAAAABACAAAAAiAAAAZHJzL2Rvd25yZXYueG1sUEsBAhQAFAAAAAgAh07iQPi8m9PiAQAA&#10;gQMAAA4AAAAAAAAAAQAgAAAAJQEAAGRycy9lMm9Eb2MueG1sUEsFBgAAAAAGAAYAWQEAAHkFAAAA&#10;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3334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6" name="文本框 3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33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B5PPk5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667456" behindDoc="0" locked="0" layoutInCell="1" allowOverlap="1">
              <wp:simplePos x="0" y="0"/>
              <wp:positionH relativeFrom="column">
                <wp:posOffset>10795</wp:posOffset>
              </wp:positionH>
              <wp:positionV relativeFrom="paragraph">
                <wp:posOffset>-56515</wp:posOffset>
              </wp:positionV>
              <wp:extent cx="8845550" cy="1905"/>
              <wp:effectExtent l="0" t="0" r="0" b="0"/>
              <wp:wrapNone/>
              <wp:docPr id="15" name="直接连接符 15"/>
              <wp:cNvGraphicFramePr/>
              <a:graphic xmlns:a="http://schemas.openxmlformats.org/drawingml/2006/main">
                <a:graphicData uri="http://schemas.microsoft.com/office/word/2010/wordprocessingShape">
                  <wps:wsp>
                    <wps:cNvCnPr/>
                    <wps:spPr>
                      <a:xfrm>
                        <a:off x="1153795" y="9849485"/>
                        <a:ext cx="8845550" cy="19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0.85pt;margin-top:-4.45pt;height:0.15pt;width:696.5pt;z-index:251667456;mso-width-relative:page;mso-height-relative:page;" filled="f" stroked="t" coordsize="21600,21600" o:gfxdata="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WGqWoNQAAAAIAQAADwAAAAAAAAABACAA&#10;AAAiAAAAZHJzL2Rvd25yZXYueG1sUEsBAhQAFAAAAAgAh07iQHUI8W3YAQAAdAMAAA4AAAAAAAAA&#10;AQAgAAAAIwEAAGRycy9lMm9Eb2MueG1sUEsFBgAAAAAGAAYAWQEAAG0FAA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wj4BmRQCAAAVBAAADgAAAAAAAAAB&#10;ACAAAAAfAQAAZHJzL2Uyb0RvYy54bWxQSwUGAAAAAAYABgBZAQAApQU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11700" w:firstLineChars="6500"/>
      <w:rPr>
        <w:rFonts w:hint="default"/>
        <w:lang w:val="en-US"/>
      </w:rPr>
    </w:pPr>
    <w:r>
      <w:rPr>
        <w:sz w:val="18"/>
      </w:rPr>
      <mc:AlternateContent>
        <mc:Choice Requires="wps">
          <w:drawing>
            <wp:anchor distT="0" distB="0" distL="114300" distR="114300" simplePos="0" relativeHeight="251836416" behindDoc="0" locked="0" layoutInCell="1" allowOverlap="1">
              <wp:simplePos x="0" y="0"/>
              <wp:positionH relativeFrom="column">
                <wp:posOffset>10795</wp:posOffset>
              </wp:positionH>
              <wp:positionV relativeFrom="paragraph">
                <wp:posOffset>-74295</wp:posOffset>
              </wp:positionV>
              <wp:extent cx="8855075" cy="17780"/>
              <wp:effectExtent l="0" t="4445" r="3175" b="6350"/>
              <wp:wrapNone/>
              <wp:docPr id="315" name="直接连接符 315"/>
              <wp:cNvGraphicFramePr/>
              <a:graphic xmlns:a="http://schemas.openxmlformats.org/drawingml/2006/main">
                <a:graphicData uri="http://schemas.microsoft.com/office/word/2010/wordprocessingShape">
                  <wps:wsp>
                    <wps:cNvCnPr/>
                    <wps:spPr>
                      <a:xfrm flipV="1">
                        <a:off x="1153795" y="9849485"/>
                        <a:ext cx="8855075" cy="17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85pt;height:1.4pt;width:697.25pt;z-index:251836416;mso-width-relative:page;mso-height-relative:page;" filled="f" stroked="t" coordsize="21600,21600" o:gfxdata="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nrR141gAAAAkB&#10;AAAPAAAAAAAAAAEAIAAAACIAAABkcnMvZG93bnJldi54bWxQSwECFAAUAAAACACHTuJA29N3bOQB&#10;AACBAwAADgAAAAAAAAABACAAAAAlAQAAZHJzL2Uyb0RvYy54bWxQSwUGAAAAAAYABgBZAQAAewUA&#10;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35392" behindDoc="0" locked="0" layoutInCell="1" allowOverlap="1">
              <wp:simplePos x="0" y="0"/>
              <wp:positionH relativeFrom="margin">
                <wp:align>center</wp:align>
              </wp:positionH>
              <wp:positionV relativeFrom="paragraph">
                <wp:posOffset>0</wp:posOffset>
              </wp:positionV>
              <wp:extent cx="1828800" cy="1828800"/>
              <wp:effectExtent l="0" t="0" r="0" b="0"/>
              <wp:wrapNone/>
              <wp:docPr id="316" name="文本框 3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53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AVGgXj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38464" behindDoc="0" locked="0" layoutInCell="1" allowOverlap="1">
              <wp:simplePos x="0" y="0"/>
              <wp:positionH relativeFrom="column">
                <wp:posOffset>10795</wp:posOffset>
              </wp:positionH>
              <wp:positionV relativeFrom="paragraph">
                <wp:posOffset>-73025</wp:posOffset>
              </wp:positionV>
              <wp:extent cx="5264150" cy="16510"/>
              <wp:effectExtent l="0" t="4445" r="12700" b="7620"/>
              <wp:wrapNone/>
              <wp:docPr id="317" name="直接连接符 317"/>
              <wp:cNvGraphicFramePr/>
              <a:graphic xmlns:a="http://schemas.openxmlformats.org/drawingml/2006/main">
                <a:graphicData uri="http://schemas.microsoft.com/office/word/2010/wordprocessingShape">
                  <wps:wsp>
                    <wps:cNvCnPr/>
                    <wps:spPr>
                      <a:xfrm flipV="1">
                        <a:off x="1153795" y="9849485"/>
                        <a:ext cx="5264150" cy="165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75pt;height:1.3pt;width:414.5pt;z-index:251838464;mso-width-relative:page;mso-height-relative:page;" filled="f" stroked="t" coordsize="21600,21600" o:gfxdata="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gl1/D9UAAAAIAQAA&#10;DwAAAAAAAAABACAAAAAiAAAAZHJzL2Rvd25yZXYueG1sUEsBAhQAFAAAAAgAh07iQIWK+yPjAQAA&#10;gQMAAA4AAAAAAAAAAQAgAAAAJAEAAGRycy9lMm9Eb2MueG1sUEsFBgAAAAAGAAYAWQEAAHkFAAAA&#10;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374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18" name="文本框 3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74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NpcyEWAgAAFw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AzaXMh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46656" behindDoc="0" locked="0" layoutInCell="1" allowOverlap="1">
              <wp:simplePos x="0" y="0"/>
              <wp:positionH relativeFrom="column">
                <wp:posOffset>10795</wp:posOffset>
              </wp:positionH>
              <wp:positionV relativeFrom="paragraph">
                <wp:posOffset>-73025</wp:posOffset>
              </wp:positionV>
              <wp:extent cx="5264150" cy="16510"/>
              <wp:effectExtent l="0" t="4445" r="12700" b="7620"/>
              <wp:wrapNone/>
              <wp:docPr id="326" name="直接连接符 326"/>
              <wp:cNvGraphicFramePr/>
              <a:graphic xmlns:a="http://schemas.openxmlformats.org/drawingml/2006/main">
                <a:graphicData uri="http://schemas.microsoft.com/office/word/2010/wordprocessingShape">
                  <wps:wsp>
                    <wps:cNvCnPr/>
                    <wps:spPr>
                      <a:xfrm flipV="1">
                        <a:off x="1153795" y="9849485"/>
                        <a:ext cx="5264150" cy="165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75pt;height:1.3pt;width:414.5pt;z-index:251846656;mso-width-relative:page;mso-height-relative:page;" filled="f" stroked="t" coordsize="21600,21600" o:gfxdata="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gl1/D9UAAAAIAQAA&#10;DwAAAAAAAAABACAAAAAiAAAAZHJzL2Rvd25yZXYueG1sUEsBAhQAFAAAAAgAh07iQMRpB5zjAQAA&#10;gQMAAA4AAAAAAAAAAQAgAAAAJAEAAGRycy9lMm9Eb2MueG1sUEsFBgAAAAAGAAYAWQEAAHkFAAAA&#10;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456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27" name="文本框 3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56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vK7ssWAgAAFwQAAA4AAABkcnMvZTJvRG9jLnhtbK1Ty47TMBTdI/EP&#10;lvc0aUcM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CLyu7L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848704" behindDoc="0" locked="0" layoutInCell="1" allowOverlap="1">
              <wp:simplePos x="0" y="0"/>
              <wp:positionH relativeFrom="column">
                <wp:posOffset>10795</wp:posOffset>
              </wp:positionH>
              <wp:positionV relativeFrom="paragraph">
                <wp:posOffset>-73025</wp:posOffset>
              </wp:positionV>
              <wp:extent cx="5264150" cy="16510"/>
              <wp:effectExtent l="0" t="4445" r="12700" b="7620"/>
              <wp:wrapNone/>
              <wp:docPr id="335" name="直接连接符 335"/>
              <wp:cNvGraphicFramePr/>
              <a:graphic xmlns:a="http://schemas.openxmlformats.org/drawingml/2006/main">
                <a:graphicData uri="http://schemas.microsoft.com/office/word/2010/wordprocessingShape">
                  <wps:wsp>
                    <wps:cNvCnPr/>
                    <wps:spPr>
                      <a:xfrm flipV="1">
                        <a:off x="1153795" y="9849485"/>
                        <a:ext cx="5264150" cy="165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75pt;height:1.3pt;width:414.5pt;z-index:251848704;mso-width-relative:page;mso-height-relative:page;" filled="f" stroked="t" coordsize="21600,21600" o:gfxdata="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gl1/D9UAAAAIAQAA&#10;DwAAAAAAAAABACAAAAAiAAAAZHJzL2Rvd25yZXYueG1sUEsBAhQAFAAAAAgAh07iQGDmfS7jAQAA&#10;gQMAAA4AAAAAAAAAAQAgAAAAJAEAAGRycy9lMm9Eb2MueG1sUEsFBgAAAAAGAAYAWQEAAHkFAAAA&#10;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8476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36" name="文本框 3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76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CMUIyNFgIAABcEAAAOAAAAAAAA&#10;AAEAIAAAAB8BAABkcnMvZTJvRG9jLnhtbFBLBQYAAAAABgAGAFkBAACnBQ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682816"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34" name="直接连接符 34"/>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682816;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Lzt13WAAAACAEA&#10;AA8AAAAAAAAAAQAgAAAAIgAAAGRycy9kb3ducmV2LnhtbFBLAQIUABQAAAAIAIdO4kBzZ3Ga4wEA&#10;AH8DAAAOAAAAAAAAAAEAIAAAACUBAABkcnMvZTJvRG9jLnhtbFBLBQYAAAAABgAGAFkBAAB6BQAA&#10;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CyowpkVAgAAFQ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11700" w:firstLineChars="6500"/>
      <w:rPr>
        <w:rFonts w:hint="default"/>
        <w:lang w:val="en-US"/>
      </w:rPr>
    </w:pPr>
    <w:r>
      <w:rPr>
        <w:sz w:val="18"/>
      </w:rPr>
      <mc:AlternateContent>
        <mc:Choice Requires="wps">
          <w:drawing>
            <wp:anchor distT="0" distB="0" distL="114300" distR="114300" simplePos="0" relativeHeight="251691008" behindDoc="0" locked="0" layoutInCell="1" allowOverlap="1">
              <wp:simplePos x="0" y="0"/>
              <wp:positionH relativeFrom="column">
                <wp:posOffset>10795</wp:posOffset>
              </wp:positionH>
              <wp:positionV relativeFrom="paragraph">
                <wp:posOffset>-83820</wp:posOffset>
              </wp:positionV>
              <wp:extent cx="8849995" cy="27305"/>
              <wp:effectExtent l="0" t="4445" r="8255" b="6350"/>
              <wp:wrapNone/>
              <wp:docPr id="37" name="直接连接符 37"/>
              <wp:cNvGraphicFramePr/>
              <a:graphic xmlns:a="http://schemas.openxmlformats.org/drawingml/2006/main">
                <a:graphicData uri="http://schemas.microsoft.com/office/word/2010/wordprocessingShape">
                  <wps:wsp>
                    <wps:cNvCnPr/>
                    <wps:spPr>
                      <a:xfrm flipV="1">
                        <a:off x="1153795" y="9849485"/>
                        <a:ext cx="8849995" cy="273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6.6pt;height:2.15pt;width:696.85pt;z-index:251691008;mso-width-relative:page;mso-height-relative:page;" filled="f" stroked="t" coordsize="21600,21600" o:gfxdata="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oktZ6NcAAAAJAQAA&#10;DwAAAAAAAAABACAAAAAiAAAAZHJzL2Rvd25yZXYueG1sUEsBAhQAFAAAAAgAh07iQPaQCgPhAQAA&#10;fwMAAA4AAAAAAAAAAQAgAAAAJgEAAGRycy9lMm9Eb2MueG1sUEsFBgAAAAAGAAYAWQEAAHkFAAAA&#10;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D2kG8VAgAAFQ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PD2kG8VAgAAFQ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693056"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39" name="直接连接符 39"/>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693056;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Lzt13WAAAACAEA&#10;AA8AAAAAAAAAAQAgAAAAIgAAAGRycy9kb3ducmV2LnhtbFBLAQIUABQAAAAIAIdO4kBcomad4wEA&#10;AH8DAAAOAAAAAAAAAAEAIAAAACUBAABkcnMvZTJvRG9jLnhtbFBLBQYAAAAABgAGAFkBAAB6BQAA&#10;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G6fxAgVAgAAFQ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695104" behindDoc="0" locked="0" layoutInCell="1" allowOverlap="1">
              <wp:simplePos x="0" y="0"/>
              <wp:positionH relativeFrom="column">
                <wp:posOffset>10795</wp:posOffset>
              </wp:positionH>
              <wp:positionV relativeFrom="paragraph">
                <wp:posOffset>-67310</wp:posOffset>
              </wp:positionV>
              <wp:extent cx="8862695" cy="10795"/>
              <wp:effectExtent l="0" t="4445" r="14605" b="13335"/>
              <wp:wrapNone/>
              <wp:docPr id="74" name="直接连接符 74"/>
              <wp:cNvGraphicFramePr/>
              <a:graphic xmlns:a="http://schemas.openxmlformats.org/drawingml/2006/main">
                <a:graphicData uri="http://schemas.microsoft.com/office/word/2010/wordprocessingShape">
                  <wps:wsp>
                    <wps:cNvCnPr/>
                    <wps:spPr>
                      <a:xfrm flipV="1">
                        <a:off x="1153795" y="9849485"/>
                        <a:ext cx="8862695" cy="107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3pt;height:0.85pt;width:697.85pt;z-index:251695104;mso-width-relative:page;mso-height-relative:page;" filled="f" stroked="t" coordsize="21600,21600" o:gfxdata="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EDnicjWAAAACQEAAA8A&#10;AAAAAAAAAQAgAAAAIgAAAGRycy9kb3ducmV2LnhtbFBLAQIUABQAAAAIAIdO4kDQSvdt4AEAAH8D&#10;AAAOAAAAAAAAAAEAIAAAACUBAABkcnMvZTJvRG9jLnhtbFBLBQYAAAAABgAGAFkBAAB3BQAA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694080"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40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9+p5QVAgAAFQQAAA4AAABkcnMvZTJvRG9jLnhtbK1Ty47TMBTdI/EP&#10;lvc0adEM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vrmiRDOFHZ2+fzv9+HX6+ZVAB4Ba62fw21h4hu6t6bDoQe+hjHN3&#10;lVPxxkQEdkB9vMArukB4DJpOptMcJg7b8ED+7DHcOh/eCaNIFArqsL8EKzusfehdB5dYTZtVI2Xa&#10;odSkLej166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L9+p5QVAgAAFQ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lang w:val="en-US"/>
      </w:rPr>
    </w:pPr>
    <w:r>
      <w:rPr>
        <w:sz w:val="18"/>
      </w:rPr>
      <mc:AlternateContent>
        <mc:Choice Requires="wps">
          <w:drawing>
            <wp:anchor distT="0" distB="0" distL="114300" distR="114300" simplePos="0" relativeHeight="251697152" behindDoc="0" locked="0" layoutInCell="1" allowOverlap="1">
              <wp:simplePos x="0" y="0"/>
              <wp:positionH relativeFrom="column">
                <wp:posOffset>10795</wp:posOffset>
              </wp:positionH>
              <wp:positionV relativeFrom="paragraph">
                <wp:posOffset>-71120</wp:posOffset>
              </wp:positionV>
              <wp:extent cx="5267325" cy="14605"/>
              <wp:effectExtent l="0" t="4445" r="9525" b="9525"/>
              <wp:wrapNone/>
              <wp:docPr id="76" name="直接连接符 76"/>
              <wp:cNvGraphicFramePr/>
              <a:graphic xmlns:a="http://schemas.openxmlformats.org/drawingml/2006/main">
                <a:graphicData uri="http://schemas.microsoft.com/office/word/2010/wordprocessingShape">
                  <wps:wsp>
                    <wps:cNvCnPr/>
                    <wps:spPr>
                      <a:xfrm flipV="1">
                        <a:off x="1153795" y="9849485"/>
                        <a:ext cx="5267325" cy="146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85pt;margin-top:-5.6pt;height:1.15pt;width:414.75pt;z-index:251697152;mso-width-relative:page;mso-height-relative:page;" filled="f" stroked="t" coordsize="21600,21600" o:gfxdata="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Lzt13WAAAACAEA&#10;AA8AAAAAAAAAAQAgAAAAIgAAAGRycy9kb3ducmV2LnhtbFBLAQIUABQAAAAIAIdO4kCoYD/f4wEA&#10;AH8DAAAOAAAAAAAAAAEAIAAAACUBAABkcnMvZTJvRG9jLnhtbFBLBQYAAAAABgAGAFkBAAB6BQAA&#10;AAA=&#10;">
              <v:fill on="f" focussize="0,0"/>
              <v:stroke weight="0.5pt" color="#000000 [3200]" miterlimit="8" joinstyle="miter"/>
              <v:imagedata o:title=""/>
              <o:lock v:ext="edit" aspectratio="f"/>
            </v:line>
          </w:pict>
        </mc:Fallback>
      </mc:AlternateContent>
    </w:r>
    <w:r>
      <w:rPr>
        <w:sz w:val="18"/>
      </w:rPr>
      <mc:AlternateContent>
        <mc:Choice Requires="wps">
          <w:drawing>
            <wp:anchor distT="0" distB="0" distL="114300" distR="114300" simplePos="0" relativeHeight="251696128" behindDoc="0" locked="0" layoutInCell="1" allowOverlap="1">
              <wp:simplePos x="0" y="0"/>
              <wp:positionH relativeFrom="margin">
                <wp:align>center</wp:align>
              </wp:positionH>
              <wp:positionV relativeFrom="paragraph">
                <wp:posOffset>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61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Hoo+ZAVAgAAFQQAAA4AAAAAAAAA&#10;AQAgAAAAHwEAAGRycy9lMm9Eb2MueG1sUEsFBgAAAAAGAAYAWQEAAKYFAAAAAA==&#10;">
              <v:fill on="f" focussize="0,0"/>
              <v:stroke on="f" weight="0.5pt"/>
              <v:imagedata o:title=""/>
              <o:lock v:ext="edit" aspectratio="f"/>
              <v:textbox inset="0mm,0mm,0mm,0mm" style="mso-fit-shape-to-text:t;">
                <w:txbxContent>
                  <w:p>
                    <w:pPr>
                      <w:pStyle w:val="15"/>
                    </w:pPr>
                    <w:r>
                      <w:fldChar w:fldCharType="begin"/>
                    </w:r>
                    <w:r>
                      <w:instrText xml:space="preserve"> PAGE  \* MERGEFORMAT </w:instrText>
                    </w:r>
                    <w:r>
                      <w:fldChar w:fldCharType="separate"/>
                    </w:r>
                    <w:r>
                      <w:t>2</w:t>
                    </w:r>
                    <w:r>
                      <w:fldChar w:fldCharType="end"/>
                    </w:r>
                  </w:p>
                </w:txbxContent>
              </v:textbox>
            </v:shape>
          </w:pict>
        </mc:Fallback>
      </mc:AlternateContent>
    </w:r>
    <w:r>
      <w:rPr>
        <w:rFonts w:hint="eastAsia"/>
        <w:lang w:val="en-US" w:eastAsia="zh-CN"/>
      </w:rPr>
      <w:t>山东省环境保护科学研究设计院有限公司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环境影响预测与评价</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环境影响预测与评价</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环境影响预测与评价</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污染防治措施及其技术经济论证</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污染防治措施及其技术经济论证</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污染防治措施及其技术经济论证</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污染防治措施及其技术经济论证</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污染防治措施及其技术经济论证</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项目产业政策符合性及选址合理性分析</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项目产业政策符合性及选址合理性分析</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项目产业政策符合性及选址合理性分析</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项目产业政策符合性及选址合理性分析</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项目产业政策符合性及选址合理性分析</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环境经济损益分析</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环境管理与监测计划</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环境管理与监测计划</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环境影响预测与评价</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污染物总量控制分析</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环境影响评价结论及建议</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single" w:color="auto" w:sz="4" w:space="1"/>
      </w:pBdr>
      <w:rPr>
        <w:rFonts w:hint="default"/>
        <w:lang w:val="en-US"/>
      </w:rPr>
    </w:pPr>
    <w:r>
      <w:rPr>
        <w:rFonts w:hint="eastAsia"/>
        <w:lang w:val="en-US" w:eastAsia="zh-CN"/>
      </w:rPr>
      <w:t>山东博汇纸业股份有限公司</w:t>
    </w:r>
    <w:r>
      <w:rPr>
        <w:rFonts w:hint="eastAsia"/>
        <w:lang w:eastAsia="zh-CN"/>
      </w:rPr>
      <w:t>年</w:t>
    </w:r>
    <w:r>
      <w:rPr>
        <w:rFonts w:hint="eastAsia"/>
        <w:lang w:val="en-US" w:eastAsia="zh-CN"/>
      </w:rPr>
      <w:t>产</w:t>
    </w:r>
    <w:r>
      <w:rPr>
        <w:rFonts w:hint="default" w:ascii="Times New Roman" w:hAnsi="Times New Roman" w:cs="Times New Roman"/>
        <w:lang w:val="en-US" w:eastAsia="zh-CN"/>
      </w:rPr>
      <w:t>20</w:t>
    </w:r>
    <w:r>
      <w:rPr>
        <w:rFonts w:hint="eastAsia"/>
        <w:lang w:val="en-US" w:eastAsia="zh-CN"/>
      </w:rPr>
      <w:t>万吨化机浆</w:t>
    </w:r>
    <w:r>
      <w:rPr>
        <w:rFonts w:hint="eastAsia"/>
        <w:lang w:eastAsia="zh-CN"/>
      </w:rPr>
      <w:t>项目</w:t>
    </w:r>
    <w:r>
      <w:rPr>
        <w:rFonts w:hint="eastAsia"/>
        <w:lang w:val="en-US" w:eastAsia="zh-CN"/>
      </w:rPr>
      <w:t>（</w:t>
    </w:r>
    <w:r>
      <w:rPr>
        <w:rFonts w:hint="default" w:ascii="Times New Roman" w:hAnsi="Times New Roman" w:cs="Times New Roman"/>
        <w:lang w:val="en-US" w:eastAsia="zh-CN"/>
      </w:rPr>
      <w:t>2#</w:t>
    </w:r>
    <w:r>
      <w:rPr>
        <w:rFonts w:hint="eastAsia"/>
        <w:lang w:val="en-US" w:eastAsia="zh-CN"/>
      </w:rPr>
      <w:t>）                       环境现状调查与评价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B916A0F"/>
    <w:multiLevelType w:val="singleLevel"/>
    <w:tmpl w:val="8B916A0F"/>
    <w:lvl w:ilvl="0" w:tentative="0">
      <w:start w:val="1"/>
      <w:numFmt w:val="bullet"/>
      <w:pStyle w:val="13"/>
      <w:lvlText w:val=""/>
      <w:lvlJc w:val="left"/>
      <w:pPr>
        <w:tabs>
          <w:tab w:val="left" w:pos="2040"/>
        </w:tabs>
        <w:ind w:left="2040" w:hanging="360"/>
      </w:pPr>
      <w:rPr>
        <w:rFonts w:hint="default" w:ascii="Wingdings" w:hAnsi="Wingdings"/>
      </w:rPr>
    </w:lvl>
  </w:abstractNum>
  <w:abstractNum w:abstractNumId="1">
    <w:nsid w:val="995B7F36"/>
    <w:multiLevelType w:val="singleLevel"/>
    <w:tmpl w:val="995B7F36"/>
    <w:lvl w:ilvl="0" w:tentative="0">
      <w:start w:val="1"/>
      <w:numFmt w:val="decimal"/>
      <w:suff w:val="nothing"/>
      <w:lvlText w:val="%1、"/>
      <w:lvlJc w:val="left"/>
    </w:lvl>
  </w:abstractNum>
  <w:abstractNum w:abstractNumId="2">
    <w:nsid w:val="ACAEE904"/>
    <w:multiLevelType w:val="singleLevel"/>
    <w:tmpl w:val="ACAEE904"/>
    <w:lvl w:ilvl="0" w:tentative="0">
      <w:start w:val="1"/>
      <w:numFmt w:val="decimal"/>
      <w:suff w:val="nothing"/>
      <w:lvlText w:val="（%1）"/>
      <w:lvlJc w:val="left"/>
    </w:lvl>
  </w:abstractNum>
  <w:abstractNum w:abstractNumId="3">
    <w:nsid w:val="FAEDC75B"/>
    <w:multiLevelType w:val="singleLevel"/>
    <w:tmpl w:val="FAEDC75B"/>
    <w:lvl w:ilvl="0" w:tentative="0">
      <w:start w:val="1"/>
      <w:numFmt w:val="decimal"/>
      <w:suff w:val="nothing"/>
      <w:lvlText w:val="（%1）"/>
      <w:lvlJc w:val="left"/>
    </w:lvl>
  </w:abstractNum>
  <w:abstractNum w:abstractNumId="4">
    <w:nsid w:val="FFE81017"/>
    <w:multiLevelType w:val="singleLevel"/>
    <w:tmpl w:val="FFE81017"/>
    <w:lvl w:ilvl="0" w:tentative="0">
      <w:start w:val="1"/>
      <w:numFmt w:val="decimal"/>
      <w:suff w:val="nothing"/>
      <w:lvlText w:val="%1、"/>
      <w:lvlJc w:val="left"/>
    </w:lvl>
  </w:abstractNum>
  <w:abstractNum w:abstractNumId="5">
    <w:nsid w:val="13424FEB"/>
    <w:multiLevelType w:val="singleLevel"/>
    <w:tmpl w:val="13424FEB"/>
    <w:lvl w:ilvl="0" w:tentative="0">
      <w:start w:val="1"/>
      <w:numFmt w:val="decimal"/>
      <w:suff w:val="nothing"/>
      <w:lvlText w:val="（%1）"/>
      <w:lvlJc w:val="left"/>
    </w:lvl>
  </w:abstractNum>
  <w:abstractNum w:abstractNumId="6">
    <w:nsid w:val="13DBBF36"/>
    <w:multiLevelType w:val="singleLevel"/>
    <w:tmpl w:val="13DBBF36"/>
    <w:lvl w:ilvl="0" w:tentative="0">
      <w:start w:val="1"/>
      <w:numFmt w:val="decimal"/>
      <w:suff w:val="nothing"/>
      <w:lvlText w:val="%1、"/>
      <w:lvlJc w:val="left"/>
    </w:lvl>
  </w:abstractNum>
  <w:abstractNum w:abstractNumId="7">
    <w:nsid w:val="3C309F7A"/>
    <w:multiLevelType w:val="singleLevel"/>
    <w:tmpl w:val="3C309F7A"/>
    <w:lvl w:ilvl="0" w:tentative="0">
      <w:start w:val="1"/>
      <w:numFmt w:val="decimal"/>
      <w:suff w:val="nothing"/>
      <w:lvlText w:val="（%1）"/>
      <w:lvlJc w:val="left"/>
    </w:lvl>
  </w:abstractNum>
  <w:abstractNum w:abstractNumId="8">
    <w:nsid w:val="713A9B2B"/>
    <w:multiLevelType w:val="singleLevel"/>
    <w:tmpl w:val="713A9B2B"/>
    <w:lvl w:ilvl="0" w:tentative="0">
      <w:start w:val="1"/>
      <w:numFmt w:val="decimal"/>
      <w:suff w:val="nothing"/>
      <w:lvlText w:val="（%1）"/>
      <w:lvlJc w:val="left"/>
    </w:lvl>
  </w:abstractNum>
  <w:abstractNum w:abstractNumId="9">
    <w:nsid w:val="7FB0AC81"/>
    <w:multiLevelType w:val="singleLevel"/>
    <w:tmpl w:val="7FB0AC81"/>
    <w:lvl w:ilvl="0" w:tentative="0">
      <w:start w:val="1"/>
      <w:numFmt w:val="decimal"/>
      <w:suff w:val="nothing"/>
      <w:lvlText w:val="（%1）"/>
      <w:lvlJc w:val="left"/>
    </w:lvl>
  </w:abstractNum>
  <w:num w:numId="1">
    <w:abstractNumId w:val="0"/>
  </w:num>
  <w:num w:numId="2">
    <w:abstractNumId w:val="6"/>
  </w:num>
  <w:num w:numId="3">
    <w:abstractNumId w:val="8"/>
  </w:num>
  <w:num w:numId="4">
    <w:abstractNumId w:val="2"/>
  </w:num>
  <w:num w:numId="5">
    <w:abstractNumId w:val="5"/>
  </w:num>
  <w:num w:numId="6">
    <w:abstractNumId w:val="7"/>
  </w:num>
  <w:num w:numId="7">
    <w:abstractNumId w:val="9"/>
  </w:num>
  <w:num w:numId="8">
    <w:abstractNumId w:val="1"/>
  </w:num>
  <w:num w:numId="9">
    <w:abstractNumId w:val="3"/>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D6008A7"/>
    <w:rsid w:val="4D6008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1"/>
      <w:lang w:val="en-US" w:eastAsia="zh-CN" w:bidi="ar-SA"/>
    </w:rPr>
  </w:style>
  <w:style w:type="paragraph" w:styleId="7">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8">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9">
    <w:name w:val="heading 3"/>
    <w:basedOn w:val="1"/>
    <w:next w:val="1"/>
    <w:qFormat/>
    <w:uiPriority w:val="1"/>
    <w:pPr>
      <w:spacing w:before="26" w:beforeLines="0" w:afterLines="0"/>
      <w:ind w:left="111"/>
      <w:outlineLvl w:val="2"/>
    </w:pPr>
    <w:rPr>
      <w:rFonts w:hint="eastAsia" w:ascii="宋体" w:hAnsi="宋体" w:eastAsia="宋体"/>
      <w:b/>
      <w:sz w:val="24"/>
    </w:rPr>
  </w:style>
  <w:style w:type="character" w:default="1" w:styleId="20">
    <w:name w:val="Default Paragraph Font"/>
    <w:semiHidden/>
    <w:uiPriority w:val="0"/>
  </w:style>
  <w:style w:type="table" w:default="1" w:styleId="18">
    <w:name w:val="Normal Table"/>
    <w:semiHidden/>
    <w:uiPriority w:val="0"/>
    <w:tblPr>
      <w:tblCellMar>
        <w:top w:w="0" w:type="dxa"/>
        <w:left w:w="108" w:type="dxa"/>
        <w:bottom w:w="0" w:type="dxa"/>
        <w:right w:w="108" w:type="dxa"/>
      </w:tblCellMar>
    </w:tblPr>
  </w:style>
  <w:style w:type="paragraph" w:styleId="2">
    <w:name w:val="Body Text First Indent 2"/>
    <w:basedOn w:val="3"/>
    <w:next w:val="5"/>
    <w:qFormat/>
    <w:uiPriority w:val="0"/>
    <w:pPr>
      <w:ind w:firstLine="420" w:firstLineChars="200"/>
    </w:pPr>
  </w:style>
  <w:style w:type="paragraph" w:styleId="3">
    <w:name w:val="Body Text Indent"/>
    <w:basedOn w:val="1"/>
    <w:next w:val="4"/>
    <w:qFormat/>
    <w:uiPriority w:val="99"/>
    <w:pPr>
      <w:spacing w:line="520" w:lineRule="exact"/>
      <w:ind w:firstLine="480" w:firstLineChars="200"/>
    </w:pPr>
    <w:rPr>
      <w:rFonts w:ascii="宋体" w:hAnsi="宋体"/>
      <w:color w:val="000000"/>
      <w:szCs w:val="20"/>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5">
    <w:name w:val="Default"/>
    <w:basedOn w:val="1"/>
    <w:next w:val="6"/>
    <w:qFormat/>
    <w:uiPriority w:val="0"/>
    <w:pPr>
      <w:autoSpaceDE w:val="0"/>
      <w:autoSpaceDN w:val="0"/>
      <w:adjustRightInd w:val="0"/>
      <w:jc w:val="left"/>
    </w:pPr>
    <w:rPr>
      <w:rFonts w:ascii="宋体" w:hAnsi="宋体" w:cs="宋体"/>
      <w:color w:val="000000"/>
      <w:kern w:val="0"/>
      <w:szCs w:val="24"/>
    </w:rPr>
  </w:style>
  <w:style w:type="paragraph" w:customStyle="1" w:styleId="6">
    <w:name w:val="样式35"/>
    <w:basedOn w:val="1"/>
    <w:next w:val="1"/>
    <w:qFormat/>
    <w:uiPriority w:val="0"/>
    <w:pPr>
      <w:spacing w:line="312" w:lineRule="auto"/>
      <w:ind w:firstLine="567"/>
    </w:pPr>
    <w:rPr>
      <w:rFonts w:ascii="宋体"/>
      <w:sz w:val="28"/>
    </w:rPr>
  </w:style>
  <w:style w:type="paragraph" w:styleId="10">
    <w:name w:val="Normal Indent"/>
    <w:basedOn w:val="1"/>
    <w:next w:val="11"/>
    <w:qFormat/>
    <w:uiPriority w:val="0"/>
    <w:pPr>
      <w:ind w:firstLine="420" w:firstLineChars="200"/>
    </w:pPr>
  </w:style>
  <w:style w:type="paragraph" w:customStyle="1" w:styleId="11">
    <w:name w:val="样式 正文文本 + 首行缩进:  2 字符"/>
    <w:basedOn w:val="12"/>
    <w:qFormat/>
    <w:uiPriority w:val="0"/>
    <w:pPr>
      <w:spacing w:line="480" w:lineRule="exact"/>
      <w:ind w:firstLine="480" w:firstLineChars="200"/>
    </w:pPr>
    <w:rPr>
      <w:rFonts w:ascii="宋体" w:hAnsi="宋体" w:eastAsia="宋体" w:cs="宋体"/>
      <w:sz w:val="24"/>
      <w:szCs w:val="20"/>
    </w:rPr>
  </w:style>
  <w:style w:type="paragraph" w:styleId="12">
    <w:name w:val="Body Text"/>
    <w:basedOn w:val="1"/>
    <w:next w:val="13"/>
    <w:qFormat/>
    <w:uiPriority w:val="0"/>
    <w:pPr>
      <w:spacing w:after="120"/>
    </w:pPr>
  </w:style>
  <w:style w:type="paragraph" w:styleId="13">
    <w:name w:val="List Bullet 5"/>
    <w:basedOn w:val="1"/>
    <w:uiPriority w:val="0"/>
    <w:pPr>
      <w:numPr>
        <w:ilvl w:val="0"/>
        <w:numId w:val="1"/>
      </w:numPr>
    </w:pPr>
  </w:style>
  <w:style w:type="paragraph" w:styleId="14">
    <w:name w:val="Plain Text"/>
    <w:basedOn w:val="1"/>
    <w:qFormat/>
    <w:uiPriority w:val="0"/>
    <w:rPr>
      <w:rFonts w:ascii="宋体" w:hAnsi="Courier New"/>
      <w:szCs w:val="20"/>
    </w:rPr>
  </w:style>
  <w:style w:type="paragraph" w:styleId="15">
    <w:name w:val="footer"/>
    <w:basedOn w:val="1"/>
    <w:qFormat/>
    <w:uiPriority w:val="0"/>
    <w:pPr>
      <w:tabs>
        <w:tab w:val="center" w:pos="4153"/>
        <w:tab w:val="right" w:pos="8306"/>
      </w:tabs>
      <w:snapToGrid w:val="0"/>
      <w:jc w:val="left"/>
    </w:pPr>
    <w:rPr>
      <w:sz w:val="18"/>
    </w:rPr>
  </w:style>
  <w:style w:type="paragraph" w:styleId="16">
    <w:name w:val="toc 2"/>
    <w:basedOn w:val="1"/>
    <w:next w:val="1"/>
    <w:qFormat/>
    <w:uiPriority w:val="0"/>
    <w:pPr>
      <w:ind w:left="420" w:leftChars="200"/>
    </w:pPr>
  </w:style>
  <w:style w:type="paragraph" w:styleId="17">
    <w:name w:val="Body Text First Indent"/>
    <w:basedOn w:val="12"/>
    <w:next w:val="1"/>
    <w:qFormat/>
    <w:uiPriority w:val="0"/>
    <w:pPr>
      <w:ind w:firstLine="420" w:firstLineChars="100"/>
    </w:p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1">
    <w:name w:val="正文 首行缩进:  2 字符"/>
    <w:basedOn w:val="1"/>
    <w:qFormat/>
    <w:uiPriority w:val="0"/>
    <w:pPr>
      <w:ind w:firstLine="480" w:firstLineChars="200"/>
    </w:pPr>
    <w:rPr>
      <w:rFonts w:cs="宋体"/>
      <w:szCs w:val="20"/>
    </w:rPr>
  </w:style>
  <w:style w:type="paragraph" w:customStyle="1" w:styleId="22">
    <w:name w:val="表格内容"/>
    <w:basedOn w:val="1"/>
    <w:qFormat/>
    <w:uiPriority w:val="0"/>
    <w:pPr>
      <w:overflowPunct w:val="0"/>
      <w:adjustRightInd w:val="0"/>
      <w:spacing w:line="340" w:lineRule="exact"/>
      <w:jc w:val="center"/>
      <w:textAlignment w:val="baseline"/>
    </w:pPr>
    <w:rPr>
      <w:rFonts w:ascii="宋体" w:hAnsi="宋体"/>
      <w:color w:val="000000"/>
      <w:kern w:val="0"/>
      <w:szCs w:val="20"/>
    </w:rPr>
  </w:style>
  <w:style w:type="paragraph" w:customStyle="1" w:styleId="23">
    <w:name w:val="Char Char"/>
    <w:basedOn w:val="1"/>
    <w:semiHidden/>
    <w:qFormat/>
    <w:uiPriority w:val="0"/>
    <w:pPr>
      <w:tabs>
        <w:tab w:val="left" w:pos="0"/>
      </w:tabs>
    </w:pPr>
    <w:rPr>
      <w:szCs w:val="21"/>
    </w:rPr>
  </w:style>
  <w:style w:type="paragraph" w:customStyle="1" w:styleId="24">
    <w:name w:val="！正文ctrl-4"/>
    <w:basedOn w:val="1"/>
    <w:qFormat/>
    <w:uiPriority w:val="0"/>
    <w:pPr>
      <w:spacing w:before="156" w:beforeLines="50" w:line="360" w:lineRule="auto"/>
      <w:ind w:firstLine="480" w:firstLineChars="200"/>
      <w:jc w:val="both"/>
    </w:pPr>
  </w:style>
  <w:style w:type="paragraph" w:customStyle="1" w:styleId="25">
    <w:name w:val="样式 样式 样式 样式 小四 左 首行缩进:  2 字符 + 首行缩进:  2 字符 Char + 右  0 字符1 + 首行缩...3"/>
    <w:basedOn w:val="1"/>
    <w:qFormat/>
    <w:uiPriority w:val="0"/>
    <w:pPr>
      <w:adjustRightInd w:val="0"/>
      <w:spacing w:line="360" w:lineRule="auto"/>
      <w:ind w:firstLine="480" w:firstLineChars="200"/>
      <w:jc w:val="left"/>
      <w:textAlignment w:val="baseline"/>
    </w:pPr>
    <w:rPr>
      <w:rFonts w:cs="宋体"/>
      <w:sz w:val="24"/>
      <w:szCs w:val="20"/>
    </w:rPr>
  </w:style>
  <w:style w:type="paragraph" w:customStyle="1" w:styleId="26">
    <w:name w:val="君邦正文"/>
    <w:qFormat/>
    <w:uiPriority w:val="0"/>
    <w:pPr>
      <w:spacing w:after="60" w:line="360" w:lineRule="auto"/>
      <w:ind w:firstLine="480" w:firstLineChars="200"/>
      <w:jc w:val="both"/>
    </w:pPr>
    <w:rPr>
      <w:rFonts w:ascii="Times New Roman" w:hAnsi="Times New Roman" w:eastAsia="宋体" w:cs="Times New Roman"/>
      <w:sz w:val="24"/>
      <w:szCs w:val="22"/>
      <w:lang w:val="en-US" w:eastAsia="zh-CN" w:bidi="ar-SA"/>
    </w:rPr>
  </w:style>
  <w:style w:type="paragraph" w:customStyle="1" w:styleId="27">
    <w:name w:val="Table Paragraph"/>
    <w:basedOn w:val="1"/>
    <w:unhideWhenUsed/>
    <w:qFormat/>
    <w:uiPriority w:val="0"/>
    <w:rPr>
      <w:rFonts w:hint="default"/>
      <w:sz w:val="24"/>
    </w:rPr>
  </w:style>
  <w:style w:type="character" w:customStyle="1" w:styleId="28">
    <w:name w:val="font41"/>
    <w:basedOn w:val="20"/>
    <w:qFormat/>
    <w:uiPriority w:val="0"/>
    <w:rPr>
      <w:rFonts w:hint="eastAsia" w:ascii="宋体" w:hAnsi="宋体" w:eastAsia="宋体" w:cs="宋体"/>
      <w:color w:val="000000"/>
      <w:sz w:val="20"/>
      <w:szCs w:val="20"/>
      <w:u w:val="none"/>
    </w:rPr>
  </w:style>
  <w:style w:type="paragraph" w:customStyle="1" w:styleId="29">
    <w:name w:val="xl25"/>
    <w:basedOn w:val="1"/>
    <w:qFormat/>
    <w:uiPriority w:val="0"/>
    <w:pPr>
      <w:widowControl/>
      <w:pBdr>
        <w:bottom w:val="single" w:color="auto" w:sz="4" w:space="0"/>
        <w:right w:val="single" w:color="auto" w:sz="4" w:space="0"/>
      </w:pBdr>
      <w:spacing w:before="100" w:beforeAutospacing="1" w:after="100" w:afterAutospacing="1"/>
    </w:pPr>
    <w:rPr>
      <w:kern w:val="0"/>
      <w:szCs w:val="21"/>
    </w:rPr>
  </w:style>
  <w:style w:type="paragraph" w:customStyle="1" w:styleId="30">
    <w:name w:val="xl36"/>
    <w:basedOn w:val="1"/>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character" w:customStyle="1" w:styleId="31">
    <w:name w:val="font11"/>
    <w:basedOn w:val="20"/>
    <w:qFormat/>
    <w:uiPriority w:val="0"/>
    <w:rPr>
      <w:rFonts w:hint="default" w:ascii="MingLiU" w:hAnsi="MingLiU" w:eastAsia="MingLiU" w:cs="MingLiU"/>
      <w:color w:val="000000"/>
      <w:sz w:val="20"/>
      <w:szCs w:val="20"/>
      <w:u w:val="none"/>
    </w:rPr>
  </w:style>
  <w:style w:type="character" w:customStyle="1" w:styleId="32">
    <w:name w:val="font21"/>
    <w:basedOn w:val="20"/>
    <w:qFormat/>
    <w:uiPriority w:val="0"/>
    <w:rPr>
      <w:rFonts w:ascii="Arial" w:hAnsi="Arial" w:cs="Arial"/>
      <w:color w:val="000000"/>
      <w:sz w:val="18"/>
      <w:szCs w:val="18"/>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wmf"/><Relationship Id="rId98" Type="http://schemas.openxmlformats.org/officeDocument/2006/relationships/oleObject" Target="embeddings/oleObject1.bin"/><Relationship Id="rId97" Type="http://schemas.openxmlformats.org/officeDocument/2006/relationships/image" Target="media/image7.jpeg"/><Relationship Id="rId96" Type="http://schemas.openxmlformats.org/officeDocument/2006/relationships/image" Target="media/image6.png"/><Relationship Id="rId95" Type="http://schemas.openxmlformats.org/officeDocument/2006/relationships/image" Target="media/image5.png"/><Relationship Id="rId94" Type="http://schemas.openxmlformats.org/officeDocument/2006/relationships/image" Target="media/image4.jpeg"/><Relationship Id="rId93" Type="http://schemas.openxmlformats.org/officeDocument/2006/relationships/image" Target="media/image3.png"/><Relationship Id="rId92" Type="http://schemas.openxmlformats.org/officeDocument/2006/relationships/image" Target="media/image2.png"/><Relationship Id="rId91" Type="http://schemas.openxmlformats.org/officeDocument/2006/relationships/image" Target="media/image1.png"/><Relationship Id="rId90" Type="http://schemas.openxmlformats.org/officeDocument/2006/relationships/theme" Target="theme/theme1.xml"/><Relationship Id="rId9" Type="http://schemas.openxmlformats.org/officeDocument/2006/relationships/header" Target="header4.xml"/><Relationship Id="rId89" Type="http://schemas.openxmlformats.org/officeDocument/2006/relationships/footer" Target="footer43.xml"/><Relationship Id="rId88" Type="http://schemas.openxmlformats.org/officeDocument/2006/relationships/header" Target="header44.xml"/><Relationship Id="rId87" Type="http://schemas.openxmlformats.org/officeDocument/2006/relationships/footer" Target="footer42.xml"/><Relationship Id="rId86" Type="http://schemas.openxmlformats.org/officeDocument/2006/relationships/header" Target="header43.xml"/><Relationship Id="rId85" Type="http://schemas.openxmlformats.org/officeDocument/2006/relationships/footer" Target="footer41.xml"/><Relationship Id="rId84" Type="http://schemas.openxmlformats.org/officeDocument/2006/relationships/header" Target="header42.xml"/><Relationship Id="rId83" Type="http://schemas.openxmlformats.org/officeDocument/2006/relationships/footer" Target="footer40.xml"/><Relationship Id="rId82" Type="http://schemas.openxmlformats.org/officeDocument/2006/relationships/header" Target="header41.xml"/><Relationship Id="rId81" Type="http://schemas.openxmlformats.org/officeDocument/2006/relationships/footer" Target="footer39.xml"/><Relationship Id="rId80" Type="http://schemas.openxmlformats.org/officeDocument/2006/relationships/header" Target="header40.xml"/><Relationship Id="rId8" Type="http://schemas.openxmlformats.org/officeDocument/2006/relationships/footer" Target="footer3.xml"/><Relationship Id="rId79" Type="http://schemas.openxmlformats.org/officeDocument/2006/relationships/footer" Target="footer38.xml"/><Relationship Id="rId78" Type="http://schemas.openxmlformats.org/officeDocument/2006/relationships/header" Target="header39.xml"/><Relationship Id="rId77" Type="http://schemas.openxmlformats.org/officeDocument/2006/relationships/footer" Target="footer37.xml"/><Relationship Id="rId76" Type="http://schemas.openxmlformats.org/officeDocument/2006/relationships/header" Target="header38.xml"/><Relationship Id="rId75" Type="http://schemas.openxmlformats.org/officeDocument/2006/relationships/footer" Target="footer36.xml"/><Relationship Id="rId74" Type="http://schemas.openxmlformats.org/officeDocument/2006/relationships/header" Target="header37.xml"/><Relationship Id="rId73" Type="http://schemas.openxmlformats.org/officeDocument/2006/relationships/footer" Target="footer35.xml"/><Relationship Id="rId72" Type="http://schemas.openxmlformats.org/officeDocument/2006/relationships/header" Target="header36.xml"/><Relationship Id="rId71" Type="http://schemas.openxmlformats.org/officeDocument/2006/relationships/footer" Target="footer34.xml"/><Relationship Id="rId70" Type="http://schemas.openxmlformats.org/officeDocument/2006/relationships/header" Target="header35.xml"/><Relationship Id="rId7" Type="http://schemas.openxmlformats.org/officeDocument/2006/relationships/header" Target="header3.xml"/><Relationship Id="rId69" Type="http://schemas.openxmlformats.org/officeDocument/2006/relationships/footer" Target="footer33.xml"/><Relationship Id="rId68" Type="http://schemas.openxmlformats.org/officeDocument/2006/relationships/header" Target="header34.xml"/><Relationship Id="rId67" Type="http://schemas.openxmlformats.org/officeDocument/2006/relationships/footer" Target="footer32.xml"/><Relationship Id="rId66" Type="http://schemas.openxmlformats.org/officeDocument/2006/relationships/header" Target="header33.xml"/><Relationship Id="rId65" Type="http://schemas.openxmlformats.org/officeDocument/2006/relationships/footer" Target="footer31.xml"/><Relationship Id="rId64" Type="http://schemas.openxmlformats.org/officeDocument/2006/relationships/header" Target="header32.xml"/><Relationship Id="rId63" Type="http://schemas.openxmlformats.org/officeDocument/2006/relationships/footer" Target="footer30.xml"/><Relationship Id="rId62" Type="http://schemas.openxmlformats.org/officeDocument/2006/relationships/header" Target="header31.xml"/><Relationship Id="rId61" Type="http://schemas.openxmlformats.org/officeDocument/2006/relationships/footer" Target="footer29.xml"/><Relationship Id="rId60" Type="http://schemas.openxmlformats.org/officeDocument/2006/relationships/header" Target="header30.xml"/><Relationship Id="rId6" Type="http://schemas.openxmlformats.org/officeDocument/2006/relationships/footer" Target="footer2.xml"/><Relationship Id="rId59" Type="http://schemas.openxmlformats.org/officeDocument/2006/relationships/footer" Target="footer28.xml"/><Relationship Id="rId58" Type="http://schemas.openxmlformats.org/officeDocument/2006/relationships/header" Target="header29.xml"/><Relationship Id="rId57" Type="http://schemas.openxmlformats.org/officeDocument/2006/relationships/footer" Target="footer27.xml"/><Relationship Id="rId56" Type="http://schemas.openxmlformats.org/officeDocument/2006/relationships/header" Target="header28.xml"/><Relationship Id="rId55" Type="http://schemas.openxmlformats.org/officeDocument/2006/relationships/footer" Target="footer26.xml"/><Relationship Id="rId54" Type="http://schemas.openxmlformats.org/officeDocument/2006/relationships/header" Target="header27.xml"/><Relationship Id="rId53" Type="http://schemas.openxmlformats.org/officeDocument/2006/relationships/footer" Target="footer25.xml"/><Relationship Id="rId52" Type="http://schemas.openxmlformats.org/officeDocument/2006/relationships/header" Target="header26.xml"/><Relationship Id="rId51" Type="http://schemas.openxmlformats.org/officeDocument/2006/relationships/footer" Target="footer24.xml"/><Relationship Id="rId50" Type="http://schemas.openxmlformats.org/officeDocument/2006/relationships/header" Target="header25.xml"/><Relationship Id="rId5" Type="http://schemas.openxmlformats.org/officeDocument/2006/relationships/header" Target="header2.xml"/><Relationship Id="rId49" Type="http://schemas.openxmlformats.org/officeDocument/2006/relationships/footer" Target="footer23.xml"/><Relationship Id="rId48" Type="http://schemas.openxmlformats.org/officeDocument/2006/relationships/header" Target="header24.xml"/><Relationship Id="rId47" Type="http://schemas.openxmlformats.org/officeDocument/2006/relationships/footer" Target="footer22.xml"/><Relationship Id="rId46" Type="http://schemas.openxmlformats.org/officeDocument/2006/relationships/header" Target="header23.xml"/><Relationship Id="rId45" Type="http://schemas.openxmlformats.org/officeDocument/2006/relationships/footer" Target="footer21.xml"/><Relationship Id="rId44" Type="http://schemas.openxmlformats.org/officeDocument/2006/relationships/header" Target="header22.xml"/><Relationship Id="rId43" Type="http://schemas.openxmlformats.org/officeDocument/2006/relationships/footer" Target="footer20.xml"/><Relationship Id="rId42" Type="http://schemas.openxmlformats.org/officeDocument/2006/relationships/header" Target="header21.xml"/><Relationship Id="rId41" Type="http://schemas.openxmlformats.org/officeDocument/2006/relationships/header" Target="header20.xml"/><Relationship Id="rId40" Type="http://schemas.openxmlformats.org/officeDocument/2006/relationships/footer" Target="footer19.xml"/><Relationship Id="rId4" Type="http://schemas.openxmlformats.org/officeDocument/2006/relationships/footer" Target="footer1.xml"/><Relationship Id="rId39" Type="http://schemas.openxmlformats.org/officeDocument/2006/relationships/header" Target="header19.xml"/><Relationship Id="rId38" Type="http://schemas.openxmlformats.org/officeDocument/2006/relationships/footer" Target="footer18.xml"/><Relationship Id="rId37" Type="http://schemas.openxmlformats.org/officeDocument/2006/relationships/header" Target="header18.xml"/><Relationship Id="rId36" Type="http://schemas.openxmlformats.org/officeDocument/2006/relationships/footer" Target="footer17.xml"/><Relationship Id="rId35" Type="http://schemas.openxmlformats.org/officeDocument/2006/relationships/header" Target="header17.xml"/><Relationship Id="rId34" Type="http://schemas.openxmlformats.org/officeDocument/2006/relationships/footer" Target="footer16.xml"/><Relationship Id="rId33" Type="http://schemas.openxmlformats.org/officeDocument/2006/relationships/header" Target="header16.xml"/><Relationship Id="rId32" Type="http://schemas.openxmlformats.org/officeDocument/2006/relationships/footer" Target="footer15.xml"/><Relationship Id="rId31" Type="http://schemas.openxmlformats.org/officeDocument/2006/relationships/header" Target="header15.xml"/><Relationship Id="rId30" Type="http://schemas.openxmlformats.org/officeDocument/2006/relationships/footer" Target="footer14.xml"/><Relationship Id="rId3" Type="http://schemas.openxmlformats.org/officeDocument/2006/relationships/header" Target="header1.xml"/><Relationship Id="rId29" Type="http://schemas.openxmlformats.org/officeDocument/2006/relationships/header" Target="header14.xml"/><Relationship Id="rId28" Type="http://schemas.openxmlformats.org/officeDocument/2006/relationships/footer" Target="footer13.xml"/><Relationship Id="rId27" Type="http://schemas.openxmlformats.org/officeDocument/2006/relationships/header" Target="header13.xml"/><Relationship Id="rId26" Type="http://schemas.openxmlformats.org/officeDocument/2006/relationships/footer" Target="footer12.xml"/><Relationship Id="rId25" Type="http://schemas.openxmlformats.org/officeDocument/2006/relationships/header" Target="header12.xml"/><Relationship Id="rId24" Type="http://schemas.openxmlformats.org/officeDocument/2006/relationships/footer" Target="footer11.xml"/><Relationship Id="rId23" Type="http://schemas.openxmlformats.org/officeDocument/2006/relationships/header" Target="header11.xml"/><Relationship Id="rId22" Type="http://schemas.openxmlformats.org/officeDocument/2006/relationships/footer" Target="footer10.xml"/><Relationship Id="rId21" Type="http://schemas.openxmlformats.org/officeDocument/2006/relationships/header" Target="header10.xml"/><Relationship Id="rId20" Type="http://schemas.openxmlformats.org/officeDocument/2006/relationships/footer" Target="footer9.xml"/><Relationship Id="rId2" Type="http://schemas.openxmlformats.org/officeDocument/2006/relationships/settings" Target="settings.xml"/><Relationship Id="rId193" Type="http://schemas.openxmlformats.org/officeDocument/2006/relationships/fontTable" Target="fontTable.xml"/><Relationship Id="rId192" Type="http://schemas.openxmlformats.org/officeDocument/2006/relationships/numbering" Target="numbering.xml"/><Relationship Id="rId191" Type="http://schemas.openxmlformats.org/officeDocument/2006/relationships/customXml" Target="../customXml/item1.xml"/><Relationship Id="rId190" Type="http://schemas.openxmlformats.org/officeDocument/2006/relationships/image" Target="media/image75.png"/><Relationship Id="rId19" Type="http://schemas.openxmlformats.org/officeDocument/2006/relationships/header" Target="header9.xml"/><Relationship Id="rId189" Type="http://schemas.openxmlformats.org/officeDocument/2006/relationships/image" Target="media/image74.png"/><Relationship Id="rId188" Type="http://schemas.openxmlformats.org/officeDocument/2006/relationships/image" Target="media/image73.png"/><Relationship Id="rId187" Type="http://schemas.openxmlformats.org/officeDocument/2006/relationships/image" Target="media/image72.png"/><Relationship Id="rId186" Type="http://schemas.openxmlformats.org/officeDocument/2006/relationships/image" Target="media/image71.png"/><Relationship Id="rId185" Type="http://schemas.openxmlformats.org/officeDocument/2006/relationships/image" Target="media/image70.png"/><Relationship Id="rId184" Type="http://schemas.openxmlformats.org/officeDocument/2006/relationships/image" Target="media/image69.png"/><Relationship Id="rId183" Type="http://schemas.openxmlformats.org/officeDocument/2006/relationships/image" Target="media/image68.png"/><Relationship Id="rId182" Type="http://schemas.openxmlformats.org/officeDocument/2006/relationships/image" Target="media/image67.jpeg"/><Relationship Id="rId181" Type="http://schemas.openxmlformats.org/officeDocument/2006/relationships/image" Target="media/image66.png"/><Relationship Id="rId180" Type="http://schemas.openxmlformats.org/officeDocument/2006/relationships/image" Target="media/image65.jpeg"/><Relationship Id="rId18" Type="http://schemas.openxmlformats.org/officeDocument/2006/relationships/footer" Target="footer8.xml"/><Relationship Id="rId179" Type="http://schemas.openxmlformats.org/officeDocument/2006/relationships/image" Target="media/image64.wmf"/><Relationship Id="rId178" Type="http://schemas.openxmlformats.org/officeDocument/2006/relationships/oleObject" Target="embeddings/oleObject25.bin"/><Relationship Id="rId177" Type="http://schemas.openxmlformats.org/officeDocument/2006/relationships/image" Target="media/image63.wmf"/><Relationship Id="rId176" Type="http://schemas.openxmlformats.org/officeDocument/2006/relationships/oleObject" Target="embeddings/oleObject24.bin"/><Relationship Id="rId175" Type="http://schemas.openxmlformats.org/officeDocument/2006/relationships/image" Target="media/image62.png"/><Relationship Id="rId174" Type="http://schemas.openxmlformats.org/officeDocument/2006/relationships/image" Target="media/image61.png"/><Relationship Id="rId173" Type="http://schemas.openxmlformats.org/officeDocument/2006/relationships/image" Target="media/image60.png"/><Relationship Id="rId172" Type="http://schemas.openxmlformats.org/officeDocument/2006/relationships/image" Target="media/image59.png"/><Relationship Id="rId171" Type="http://schemas.openxmlformats.org/officeDocument/2006/relationships/image" Target="media/image58.jpeg"/><Relationship Id="rId170" Type="http://schemas.openxmlformats.org/officeDocument/2006/relationships/image" Target="media/image57.jpeg"/><Relationship Id="rId17" Type="http://schemas.openxmlformats.org/officeDocument/2006/relationships/header" Target="header8.xml"/><Relationship Id="rId169" Type="http://schemas.openxmlformats.org/officeDocument/2006/relationships/image" Target="media/image56.emf"/><Relationship Id="rId168" Type="http://schemas.openxmlformats.org/officeDocument/2006/relationships/oleObject" Target="embeddings/oleObject23.bin"/><Relationship Id="rId167" Type="http://schemas.openxmlformats.org/officeDocument/2006/relationships/image" Target="media/image55.jpeg"/><Relationship Id="rId166" Type="http://schemas.openxmlformats.org/officeDocument/2006/relationships/image" Target="media/image54.jpeg"/><Relationship Id="rId165" Type="http://schemas.openxmlformats.org/officeDocument/2006/relationships/image" Target="media/image53.jpeg"/><Relationship Id="rId164" Type="http://schemas.openxmlformats.org/officeDocument/2006/relationships/image" Target="media/image52.jpeg"/><Relationship Id="rId163" Type="http://schemas.openxmlformats.org/officeDocument/2006/relationships/image" Target="media/image51.jpeg"/><Relationship Id="rId162" Type="http://schemas.openxmlformats.org/officeDocument/2006/relationships/image" Target="media/image50.jpeg"/><Relationship Id="rId161" Type="http://schemas.openxmlformats.org/officeDocument/2006/relationships/image" Target="media/image49.jpeg"/><Relationship Id="rId160" Type="http://schemas.openxmlformats.org/officeDocument/2006/relationships/image" Target="media/image48.jpeg"/><Relationship Id="rId16" Type="http://schemas.openxmlformats.org/officeDocument/2006/relationships/footer" Target="footer7.xml"/><Relationship Id="rId159" Type="http://schemas.openxmlformats.org/officeDocument/2006/relationships/image" Target="media/image47.jpeg"/><Relationship Id="rId158" Type="http://schemas.openxmlformats.org/officeDocument/2006/relationships/image" Target="media/image46.jpeg"/><Relationship Id="rId157" Type="http://schemas.openxmlformats.org/officeDocument/2006/relationships/image" Target="media/image45.jpeg"/><Relationship Id="rId156" Type="http://schemas.openxmlformats.org/officeDocument/2006/relationships/image" Target="media/image44.jpeg"/><Relationship Id="rId155" Type="http://schemas.openxmlformats.org/officeDocument/2006/relationships/image" Target="media/image43.jpeg"/><Relationship Id="rId154" Type="http://schemas.openxmlformats.org/officeDocument/2006/relationships/image" Target="media/image42.jpeg"/><Relationship Id="rId153" Type="http://schemas.openxmlformats.org/officeDocument/2006/relationships/image" Target="media/image41.jpeg"/><Relationship Id="rId152" Type="http://schemas.openxmlformats.org/officeDocument/2006/relationships/image" Target="media/image40.jpeg"/><Relationship Id="rId151" Type="http://schemas.openxmlformats.org/officeDocument/2006/relationships/image" Target="media/image39.wmf"/><Relationship Id="rId150" Type="http://schemas.openxmlformats.org/officeDocument/2006/relationships/oleObject" Target="embeddings/oleObject22.bin"/><Relationship Id="rId15" Type="http://schemas.openxmlformats.org/officeDocument/2006/relationships/header" Target="header7.xml"/><Relationship Id="rId149" Type="http://schemas.openxmlformats.org/officeDocument/2006/relationships/image" Target="media/image38.wmf"/><Relationship Id="rId148" Type="http://schemas.openxmlformats.org/officeDocument/2006/relationships/oleObject" Target="embeddings/oleObject21.bin"/><Relationship Id="rId147" Type="http://schemas.openxmlformats.org/officeDocument/2006/relationships/image" Target="media/image37.wmf"/><Relationship Id="rId146" Type="http://schemas.openxmlformats.org/officeDocument/2006/relationships/oleObject" Target="embeddings/oleObject20.bin"/><Relationship Id="rId145" Type="http://schemas.openxmlformats.org/officeDocument/2006/relationships/image" Target="media/image36.wmf"/><Relationship Id="rId144" Type="http://schemas.openxmlformats.org/officeDocument/2006/relationships/oleObject" Target="embeddings/oleObject19.bin"/><Relationship Id="rId143" Type="http://schemas.openxmlformats.org/officeDocument/2006/relationships/image" Target="media/image35.wmf"/><Relationship Id="rId142" Type="http://schemas.openxmlformats.org/officeDocument/2006/relationships/oleObject" Target="embeddings/oleObject18.bin"/><Relationship Id="rId141" Type="http://schemas.openxmlformats.org/officeDocument/2006/relationships/image" Target="media/image34.wmf"/><Relationship Id="rId140" Type="http://schemas.openxmlformats.org/officeDocument/2006/relationships/oleObject" Target="embeddings/oleObject17.bin"/><Relationship Id="rId14" Type="http://schemas.openxmlformats.org/officeDocument/2006/relationships/footer" Target="footer6.xml"/><Relationship Id="rId139" Type="http://schemas.openxmlformats.org/officeDocument/2006/relationships/image" Target="media/image33.wmf"/><Relationship Id="rId138" Type="http://schemas.openxmlformats.org/officeDocument/2006/relationships/oleObject" Target="embeddings/oleObject16.bin"/><Relationship Id="rId137" Type="http://schemas.openxmlformats.org/officeDocument/2006/relationships/image" Target="media/image32.wmf"/><Relationship Id="rId136" Type="http://schemas.openxmlformats.org/officeDocument/2006/relationships/oleObject" Target="embeddings/oleObject15.bin"/><Relationship Id="rId135" Type="http://schemas.openxmlformats.org/officeDocument/2006/relationships/image" Target="media/image31.wmf"/><Relationship Id="rId134" Type="http://schemas.openxmlformats.org/officeDocument/2006/relationships/oleObject" Target="embeddings/oleObject14.bin"/><Relationship Id="rId133" Type="http://schemas.openxmlformats.org/officeDocument/2006/relationships/image" Target="media/image30.wmf"/><Relationship Id="rId132" Type="http://schemas.openxmlformats.org/officeDocument/2006/relationships/oleObject" Target="embeddings/oleObject13.bin"/><Relationship Id="rId131" Type="http://schemas.openxmlformats.org/officeDocument/2006/relationships/image" Target="media/image29.wmf"/><Relationship Id="rId130" Type="http://schemas.openxmlformats.org/officeDocument/2006/relationships/oleObject" Target="embeddings/oleObject12.bin"/><Relationship Id="rId13" Type="http://schemas.openxmlformats.org/officeDocument/2006/relationships/header" Target="header6.xml"/><Relationship Id="rId129" Type="http://schemas.openxmlformats.org/officeDocument/2006/relationships/image" Target="media/image28.png"/><Relationship Id="rId128" Type="http://schemas.openxmlformats.org/officeDocument/2006/relationships/image" Target="media/image27.wmf"/><Relationship Id="rId127" Type="http://schemas.openxmlformats.org/officeDocument/2006/relationships/oleObject" Target="embeddings/oleObject11.bin"/><Relationship Id="rId126" Type="http://schemas.openxmlformats.org/officeDocument/2006/relationships/image" Target="media/image26.wmf"/><Relationship Id="rId125" Type="http://schemas.openxmlformats.org/officeDocument/2006/relationships/oleObject" Target="embeddings/oleObject10.bin"/><Relationship Id="rId124" Type="http://schemas.openxmlformats.org/officeDocument/2006/relationships/image" Target="media/image25.wmf"/><Relationship Id="rId123" Type="http://schemas.openxmlformats.org/officeDocument/2006/relationships/oleObject" Target="embeddings/oleObject9.bin"/><Relationship Id="rId122" Type="http://schemas.openxmlformats.org/officeDocument/2006/relationships/image" Target="media/image24.png"/><Relationship Id="rId121" Type="http://schemas.openxmlformats.org/officeDocument/2006/relationships/image" Target="media/image23.png"/><Relationship Id="rId120" Type="http://schemas.openxmlformats.org/officeDocument/2006/relationships/image" Target="media/image22.png"/><Relationship Id="rId12" Type="http://schemas.openxmlformats.org/officeDocument/2006/relationships/footer" Target="footer5.xml"/><Relationship Id="rId119" Type="http://schemas.openxmlformats.org/officeDocument/2006/relationships/image" Target="media/image21.png"/><Relationship Id="rId118" Type="http://schemas.openxmlformats.org/officeDocument/2006/relationships/image" Target="media/image20.png"/><Relationship Id="rId117" Type="http://schemas.openxmlformats.org/officeDocument/2006/relationships/image" Target="media/image19.png"/><Relationship Id="rId116" Type="http://schemas.openxmlformats.org/officeDocument/2006/relationships/image" Target="media/image18.png"/><Relationship Id="rId115" Type="http://schemas.openxmlformats.org/officeDocument/2006/relationships/image" Target="media/image17.wmf"/><Relationship Id="rId114" Type="http://schemas.openxmlformats.org/officeDocument/2006/relationships/oleObject" Target="embeddings/oleObject8.bin"/><Relationship Id="rId113" Type="http://schemas.openxmlformats.org/officeDocument/2006/relationships/image" Target="media/image16.png"/><Relationship Id="rId112" Type="http://schemas.openxmlformats.org/officeDocument/2006/relationships/image" Target="media/image15.wmf"/><Relationship Id="rId111" Type="http://schemas.openxmlformats.org/officeDocument/2006/relationships/oleObject" Target="embeddings/oleObject7.bin"/><Relationship Id="rId110" Type="http://schemas.openxmlformats.org/officeDocument/2006/relationships/image" Target="media/image14.png"/><Relationship Id="rId11" Type="http://schemas.openxmlformats.org/officeDocument/2006/relationships/header" Target="header5.xml"/><Relationship Id="rId109" Type="http://schemas.openxmlformats.org/officeDocument/2006/relationships/image" Target="media/image13.jpeg"/><Relationship Id="rId108" Type="http://schemas.openxmlformats.org/officeDocument/2006/relationships/image" Target="media/image12.png"/><Relationship Id="rId107" Type="http://schemas.openxmlformats.org/officeDocument/2006/relationships/oleObject" Target="embeddings/oleObject6.bin"/><Relationship Id="rId106" Type="http://schemas.openxmlformats.org/officeDocument/2006/relationships/oleObject" Target="embeddings/oleObject5.bin"/><Relationship Id="rId105" Type="http://schemas.openxmlformats.org/officeDocument/2006/relationships/oleObject" Target="embeddings/oleObject4.bin"/><Relationship Id="rId104" Type="http://schemas.openxmlformats.org/officeDocument/2006/relationships/image" Target="media/image11.png"/><Relationship Id="rId103" Type="http://schemas.openxmlformats.org/officeDocument/2006/relationships/image" Target="media/image10.wmf"/><Relationship Id="rId102" Type="http://schemas.openxmlformats.org/officeDocument/2006/relationships/oleObject" Target="embeddings/oleObject3.bin"/><Relationship Id="rId101" Type="http://schemas.openxmlformats.org/officeDocument/2006/relationships/image" Target="media/image9.wmf"/><Relationship Id="rId100" Type="http://schemas.openxmlformats.org/officeDocument/2006/relationships/oleObject" Target="embeddings/oleObject2.bin"/><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Office_11.8.6.9023_F1E327BC-269C-435d-A152-05C5408002CA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2022-08-01T08:55:00Z</dcterms:created>
  <dc:creator>金</dc:creator>
  <cp:lastModifiedBy>金</cp:lastModifiedBy>
  <dcterms:modified xsi:type="dcterms:W3CDTF">2022-08-01T09:04:41Z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2052-11.8.6.9023</vt:lpwstr>
  </property>
</Properties>
</file>